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7B505">
      <w:pPr>
        <w:pStyle w:val="4"/>
        <w:spacing w:before="0" w:beforeAutospacing="0" w:after="0" w:afterAutospacing="0" w:line="596" w:lineRule="exact"/>
        <w:jc w:val="both"/>
        <w:rPr>
          <w:rFonts w:hint="default" w:ascii="方正小标宋_GBK" w:hAnsi="方正小标宋_GBK" w:eastAsia="方正小标宋_GBK" w:cs="方正小标宋_GBK"/>
          <w:sz w:val="36"/>
          <w:szCs w:val="36"/>
        </w:rPr>
      </w:pPr>
      <w:bookmarkStart w:id="0" w:name="_GoBack"/>
      <w:bookmarkEnd w:id="0"/>
    </w:p>
    <w:p w14:paraId="45204F31">
      <w:pPr>
        <w:pStyle w:val="4"/>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中国人民政治协商会议重庆市渝中区委员会办公室</w:t>
      </w:r>
    </w:p>
    <w:p w14:paraId="4B074E0E">
      <w:pPr>
        <w:pStyle w:val="4"/>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427166CD">
      <w:pPr>
        <w:keepNext w:val="0"/>
        <w:keepLines w:val="0"/>
        <w:pageBreakBefore w:val="0"/>
        <w:widowControl w:val="0"/>
        <w:numPr>
          <w:ilvl w:val="0"/>
          <w:numId w:val="0"/>
        </w:numPr>
        <w:kinsoku/>
        <w:wordWrap/>
        <w:overflowPunct/>
        <w:topLinePunct w:val="0"/>
        <w:autoSpaceDE/>
        <w:autoSpaceDN/>
        <w:bidi w:val="0"/>
        <w:adjustRightInd/>
        <w:snapToGrid/>
        <w:spacing w:afterAutospacing="0" w:line="594" w:lineRule="exact"/>
        <w:ind w:left="0" w:leftChars="0" w:firstLine="640" w:firstLineChars="200"/>
        <w:textAlignment w:val="auto"/>
        <w:rPr>
          <w:rFonts w:hint="default" w:ascii="Times New Roman" w:hAnsi="Times New Roman" w:eastAsia="方正黑体_GBK" w:cs="Times New Roman"/>
          <w:sz w:val="32"/>
          <w:szCs w:val="32"/>
          <w:lang w:val="en-US" w:eastAsia="zh-CN"/>
        </w:rPr>
      </w:pPr>
    </w:p>
    <w:p w14:paraId="0276AED5">
      <w:pPr>
        <w:keepNext w:val="0"/>
        <w:keepLines w:val="0"/>
        <w:pageBreakBefore w:val="0"/>
        <w:widowControl w:val="0"/>
        <w:numPr>
          <w:ilvl w:val="0"/>
          <w:numId w:val="0"/>
        </w:numPr>
        <w:kinsoku/>
        <w:wordWrap/>
        <w:overflowPunct/>
        <w:topLinePunct w:val="0"/>
        <w:autoSpaceDE/>
        <w:autoSpaceDN/>
        <w:bidi w:val="0"/>
        <w:adjustRightInd/>
        <w:snapToGrid/>
        <w:spacing w:afterAutospacing="0" w:line="594" w:lineRule="exact"/>
        <w:ind w:left="0" w:leftChars="0" w:firstLine="640" w:firstLineChars="20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一、</w:t>
      </w:r>
      <w:r>
        <w:rPr>
          <w:rFonts w:hint="default" w:ascii="Times New Roman" w:hAnsi="Times New Roman" w:eastAsia="方正黑体_GBK" w:cs="Times New Roman"/>
          <w:sz w:val="32"/>
          <w:szCs w:val="32"/>
          <w:lang w:val="en-US" w:eastAsia="zh-CN"/>
        </w:rPr>
        <w:t>部门基本情况</w:t>
      </w:r>
    </w:p>
    <w:p w14:paraId="36932804">
      <w:pPr>
        <w:keepNext w:val="0"/>
        <w:keepLines w:val="0"/>
        <w:pageBreakBefore w:val="0"/>
        <w:widowControl w:val="0"/>
        <w:numPr>
          <w:ilvl w:val="0"/>
          <w:numId w:val="0"/>
        </w:numPr>
        <w:kinsoku/>
        <w:wordWrap/>
        <w:overflowPunct/>
        <w:topLinePunct w:val="0"/>
        <w:autoSpaceDE/>
        <w:autoSpaceDN/>
        <w:bidi w:val="0"/>
        <w:adjustRightInd/>
        <w:snapToGrid/>
        <w:spacing w:afterAutospacing="0" w:line="594" w:lineRule="exact"/>
        <w:ind w:left="0" w:leftChars="0" w:firstLine="640" w:firstLineChars="200"/>
        <w:textAlignment w:val="auto"/>
        <w:rPr>
          <w:rFonts w:hint="eastAsia" w:ascii="Times New Roman" w:hAnsi="Times New Roman" w:eastAsia="方正楷体_GBK" w:cs="方正楷体_GBK"/>
          <w:b w:val="0"/>
          <w:bCs w:val="0"/>
          <w:color w:val="auto"/>
          <w:kern w:val="0"/>
          <w:sz w:val="32"/>
          <w:szCs w:val="32"/>
          <w:lang w:eastAsia="zh-CN"/>
        </w:rPr>
      </w:pPr>
      <w:r>
        <w:rPr>
          <w:rFonts w:hint="eastAsia" w:ascii="Times New Roman" w:hAnsi="Times New Roman" w:eastAsia="方正楷体_GBK" w:cs="方正楷体_GBK"/>
          <w:b w:val="0"/>
          <w:bCs w:val="0"/>
          <w:color w:val="auto"/>
          <w:kern w:val="0"/>
          <w:sz w:val="32"/>
          <w:szCs w:val="32"/>
          <w:lang w:eastAsia="zh-CN"/>
        </w:rPr>
        <w:t>（一）职能职责</w:t>
      </w:r>
    </w:p>
    <w:p w14:paraId="218E040E">
      <w:pPr>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94" w:lineRule="exact"/>
        <w:ind w:left="0" w:firstLine="640" w:firstLineChars="200"/>
        <w:jc w:val="both"/>
        <w:textAlignment w:val="auto"/>
        <w:rPr>
          <w:rFonts w:hint="eastAsia" w:ascii="Times New Roman" w:hAnsi="Times New Roman" w:eastAsia="方正仿宋_GBK" w:cs="方正仿宋_GBK"/>
          <w:b w:val="0"/>
          <w:bCs w:val="0"/>
          <w:color w:val="auto"/>
          <w:kern w:val="0"/>
          <w:sz w:val="32"/>
          <w:szCs w:val="32"/>
        </w:rPr>
      </w:pPr>
      <w:r>
        <w:rPr>
          <w:rFonts w:hint="eastAsia" w:ascii="Times New Roman" w:hAnsi="Times New Roman" w:eastAsia="方正仿宋_GBK" w:cs="方正仿宋_GBK"/>
          <w:b w:val="0"/>
          <w:bCs w:val="0"/>
          <w:color w:val="auto"/>
          <w:kern w:val="0"/>
          <w:sz w:val="32"/>
          <w:szCs w:val="32"/>
        </w:rPr>
        <w:t>渝中区政协是渝中区爱国统一战线的组织，是中国共产党领导的多党合作和政治协商的重要机构，由中共渝中区委与渝中区各民主党派、各人民团体、无党派、工业、商业、科技、教育、体育、卫生、民族宗教等24个界别的各族各界代表人士协商组成。其主要职能是政治协商、民主监督和参政议政。</w:t>
      </w:r>
    </w:p>
    <w:p w14:paraId="60061359">
      <w:pPr>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94" w:lineRule="exact"/>
        <w:ind w:left="0" w:firstLine="640" w:firstLineChars="200"/>
        <w:jc w:val="both"/>
        <w:textAlignment w:val="auto"/>
        <w:rPr>
          <w:rFonts w:hint="eastAsia" w:ascii="Times New Roman" w:hAnsi="Times New Roman" w:eastAsia="方正楷体_GBK" w:cs="方正楷体_GBK"/>
          <w:b w:val="0"/>
          <w:bCs w:val="0"/>
          <w:color w:val="auto"/>
          <w:kern w:val="0"/>
          <w:sz w:val="32"/>
          <w:szCs w:val="32"/>
          <w:lang w:eastAsia="zh-CN"/>
        </w:rPr>
      </w:pPr>
      <w:r>
        <w:rPr>
          <w:rFonts w:hint="eastAsia" w:ascii="Times New Roman" w:hAnsi="Times New Roman" w:eastAsia="方正楷体_GBK" w:cs="方正楷体_GBK"/>
          <w:b w:val="0"/>
          <w:bCs w:val="0"/>
          <w:color w:val="auto"/>
          <w:kern w:val="0"/>
          <w:sz w:val="32"/>
          <w:szCs w:val="32"/>
          <w:lang w:eastAsia="zh-CN"/>
        </w:rPr>
        <w:t>（二）机构设置</w:t>
      </w:r>
    </w:p>
    <w:p w14:paraId="45F6C477">
      <w:pPr>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94" w:lineRule="exact"/>
        <w:ind w:left="0" w:firstLine="640" w:firstLineChars="200"/>
        <w:jc w:val="both"/>
        <w:textAlignment w:val="auto"/>
        <w:rPr>
          <w:rFonts w:hint="default" w:ascii="Times New Roman" w:hAnsi="Times New Roman" w:eastAsia="方正仿宋_GBK" w:cs="方正仿宋_GBK"/>
          <w:b w:val="0"/>
          <w:bCs w:val="0"/>
          <w:color w:val="auto"/>
          <w:kern w:val="0"/>
          <w:sz w:val="32"/>
          <w:szCs w:val="32"/>
        </w:rPr>
      </w:pPr>
      <w:r>
        <w:rPr>
          <w:rFonts w:hint="default" w:ascii="Times New Roman" w:hAnsi="Times New Roman" w:eastAsia="方正仿宋_GBK" w:cs="方正仿宋_GBK"/>
          <w:b w:val="0"/>
          <w:bCs w:val="0"/>
          <w:color w:val="auto"/>
          <w:kern w:val="0"/>
          <w:sz w:val="32"/>
          <w:szCs w:val="32"/>
        </w:rPr>
        <w:t>渝中区政协机关是为政协履职提供服务保障的行政机构，内设</w:t>
      </w:r>
      <w:r>
        <w:rPr>
          <w:rFonts w:hint="eastAsia" w:ascii="Times New Roman" w:hAnsi="Times New Roman" w:eastAsia="方正仿宋_GBK" w:cs="方正仿宋_GBK"/>
          <w:b w:val="0"/>
          <w:bCs w:val="0"/>
          <w:color w:val="auto"/>
          <w:kern w:val="0"/>
          <w:sz w:val="32"/>
          <w:szCs w:val="32"/>
          <w:lang w:val="en-US" w:eastAsia="zh-CN"/>
        </w:rPr>
        <w:t>1</w:t>
      </w:r>
      <w:r>
        <w:rPr>
          <w:rFonts w:hint="default" w:ascii="Times New Roman" w:hAnsi="Times New Roman" w:eastAsia="方正仿宋_GBK" w:cs="方正仿宋_GBK"/>
          <w:b w:val="0"/>
          <w:bCs w:val="0"/>
          <w:color w:val="auto"/>
          <w:kern w:val="0"/>
          <w:sz w:val="32"/>
          <w:szCs w:val="32"/>
        </w:rPr>
        <w:t>个办公室和</w:t>
      </w:r>
      <w:r>
        <w:rPr>
          <w:rFonts w:hint="eastAsia" w:ascii="Times New Roman" w:hAnsi="Times New Roman" w:eastAsia="方正仿宋_GBK" w:cs="方正仿宋_GBK"/>
          <w:b w:val="0"/>
          <w:bCs w:val="0"/>
          <w:color w:val="auto"/>
          <w:kern w:val="0"/>
          <w:sz w:val="32"/>
          <w:szCs w:val="32"/>
          <w:lang w:val="en-US" w:eastAsia="zh-CN"/>
        </w:rPr>
        <w:t>8</w:t>
      </w:r>
      <w:r>
        <w:rPr>
          <w:rFonts w:hint="default" w:ascii="Times New Roman" w:hAnsi="Times New Roman" w:eastAsia="方正仿宋_GBK" w:cs="方正仿宋_GBK"/>
          <w:b w:val="0"/>
          <w:bCs w:val="0"/>
          <w:color w:val="auto"/>
          <w:kern w:val="0"/>
          <w:sz w:val="32"/>
          <w:szCs w:val="32"/>
        </w:rPr>
        <w:t>个专门委员会，即办公室、委员联络</w:t>
      </w:r>
      <w:r>
        <w:rPr>
          <w:rFonts w:hint="eastAsia" w:ascii="Times New Roman" w:hAnsi="Times New Roman" w:eastAsia="方正仿宋_GBK" w:cs="方正仿宋_GBK"/>
          <w:b w:val="0"/>
          <w:bCs w:val="0"/>
          <w:color w:val="auto"/>
          <w:kern w:val="0"/>
          <w:sz w:val="32"/>
          <w:szCs w:val="32"/>
          <w:lang w:eastAsia="zh-CN"/>
        </w:rPr>
        <w:t>委</w:t>
      </w:r>
      <w:r>
        <w:rPr>
          <w:rFonts w:hint="default" w:ascii="Times New Roman" w:hAnsi="Times New Roman" w:eastAsia="方正仿宋_GBK" w:cs="方正仿宋_GBK"/>
          <w:b w:val="0"/>
          <w:bCs w:val="0"/>
          <w:color w:val="auto"/>
          <w:kern w:val="0"/>
          <w:sz w:val="32"/>
          <w:szCs w:val="32"/>
        </w:rPr>
        <w:t>、提案委、教科卫体委、社法委、文化文史委、经济委、城环委、民宗海联委，另有全额拨款正科级事业单位2个：区政协调研信息中心、区政协社情民意信息中心，为委员履行职能、助推发展、联系群众服务。</w:t>
      </w:r>
    </w:p>
    <w:p w14:paraId="44B13F1B">
      <w:pPr>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94" w:lineRule="exact"/>
        <w:ind w:left="0" w:firstLine="640" w:firstLineChars="200"/>
        <w:jc w:val="both"/>
        <w:textAlignment w:val="auto"/>
        <w:rPr>
          <w:rFonts w:hint="eastAsia" w:ascii="Times New Roman" w:hAnsi="Times New Roman" w:eastAsia="方正楷体_GBK" w:cs="方正楷体_GBK"/>
          <w:b w:val="0"/>
          <w:bCs w:val="0"/>
          <w:color w:val="auto"/>
          <w:kern w:val="0"/>
          <w:sz w:val="32"/>
          <w:szCs w:val="32"/>
          <w:lang w:eastAsia="zh-CN"/>
        </w:rPr>
      </w:pPr>
      <w:r>
        <w:rPr>
          <w:rFonts w:hint="eastAsia" w:ascii="Times New Roman" w:hAnsi="Times New Roman" w:eastAsia="方正楷体_GBK" w:cs="方正楷体_GBK"/>
          <w:b w:val="0"/>
          <w:bCs w:val="0"/>
          <w:color w:val="auto"/>
          <w:kern w:val="0"/>
          <w:sz w:val="32"/>
          <w:szCs w:val="32"/>
          <w:lang w:eastAsia="zh-CN"/>
        </w:rPr>
        <w:t>（三）单位构成</w:t>
      </w:r>
    </w:p>
    <w:p w14:paraId="2D4B5D51">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594" w:lineRule="exact"/>
        <w:ind w:left="0" w:firstLine="640" w:firstLineChars="200"/>
        <w:jc w:val="both"/>
        <w:textAlignment w:val="auto"/>
        <w:rPr>
          <w:rFonts w:hint="default" w:ascii="Times New Roman" w:hAnsi="Times New Roman" w:eastAsia="方正仿宋_GBK" w:cs="方正仿宋_GBK"/>
          <w:b w:val="0"/>
          <w:bCs w:val="0"/>
          <w:color w:val="auto"/>
          <w:kern w:val="0"/>
          <w:sz w:val="32"/>
          <w:szCs w:val="32"/>
        </w:rPr>
      </w:pPr>
      <w:r>
        <w:rPr>
          <w:rFonts w:hint="default" w:ascii="Times New Roman" w:hAnsi="Times New Roman" w:eastAsia="方正仿宋_GBK" w:cs="方正仿宋_GBK"/>
          <w:b w:val="0"/>
          <w:bCs w:val="0"/>
          <w:color w:val="auto"/>
          <w:kern w:val="0"/>
          <w:sz w:val="32"/>
          <w:szCs w:val="32"/>
        </w:rPr>
        <w:t>本部门202</w:t>
      </w:r>
      <w:r>
        <w:rPr>
          <w:rFonts w:hint="eastAsia" w:ascii="Times New Roman" w:hAnsi="Times New Roman" w:eastAsia="方正仿宋_GBK" w:cs="方正仿宋_GBK"/>
          <w:b w:val="0"/>
          <w:bCs w:val="0"/>
          <w:color w:val="auto"/>
          <w:kern w:val="0"/>
          <w:sz w:val="32"/>
          <w:szCs w:val="32"/>
          <w:lang w:val="en-US" w:eastAsia="zh-CN"/>
        </w:rPr>
        <w:t>4</w:t>
      </w:r>
      <w:r>
        <w:rPr>
          <w:rFonts w:hint="default" w:ascii="Times New Roman" w:hAnsi="Times New Roman" w:eastAsia="方正仿宋_GBK" w:cs="方正仿宋_GBK"/>
          <w:b w:val="0"/>
          <w:bCs w:val="0"/>
          <w:color w:val="auto"/>
          <w:kern w:val="0"/>
          <w:sz w:val="32"/>
          <w:szCs w:val="32"/>
        </w:rPr>
        <w:t>年度决算编制</w:t>
      </w:r>
      <w:r>
        <w:rPr>
          <w:rFonts w:hint="eastAsia" w:ascii="Times New Roman" w:hAnsi="Times New Roman" w:eastAsia="方正仿宋_GBK" w:cs="方正仿宋_GBK"/>
          <w:b w:val="0"/>
          <w:bCs w:val="0"/>
          <w:color w:val="auto"/>
          <w:kern w:val="0"/>
          <w:sz w:val="32"/>
          <w:szCs w:val="32"/>
          <w:lang w:eastAsia="zh-CN"/>
        </w:rPr>
        <w:t>有两个二级预算</w:t>
      </w:r>
      <w:r>
        <w:rPr>
          <w:rFonts w:hint="default" w:ascii="Times New Roman" w:hAnsi="Times New Roman" w:eastAsia="方正仿宋_GBK" w:cs="方正仿宋_GBK"/>
          <w:b w:val="0"/>
          <w:bCs w:val="0"/>
          <w:color w:val="auto"/>
          <w:kern w:val="0"/>
          <w:sz w:val="32"/>
          <w:szCs w:val="32"/>
        </w:rPr>
        <w:t>全额拨款正科级事业单位2个</w:t>
      </w:r>
      <w:r>
        <w:rPr>
          <w:rFonts w:hint="eastAsia" w:ascii="Times New Roman" w:hAnsi="Times New Roman" w:eastAsia="方正仿宋_GBK" w:cs="方正仿宋_GBK"/>
          <w:b w:val="0"/>
          <w:bCs w:val="0"/>
          <w:color w:val="auto"/>
          <w:kern w:val="0"/>
          <w:sz w:val="32"/>
          <w:szCs w:val="32"/>
          <w:lang w:eastAsia="zh-CN"/>
        </w:rPr>
        <w:t>：</w:t>
      </w:r>
      <w:r>
        <w:rPr>
          <w:rFonts w:hint="default" w:ascii="Times New Roman" w:hAnsi="Times New Roman" w:eastAsia="方正仿宋_GBK" w:cs="方正仿宋_GBK"/>
          <w:b w:val="0"/>
          <w:bCs w:val="0"/>
          <w:color w:val="auto"/>
          <w:kern w:val="0"/>
          <w:sz w:val="32"/>
          <w:szCs w:val="32"/>
        </w:rPr>
        <w:t>区政协调研信息中心、区政协社情民意信息中心，为委员履行职能、助推发展、联系群众服务。</w:t>
      </w:r>
    </w:p>
    <w:p w14:paraId="1DB88C14">
      <w:pPr>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94" w:lineRule="exact"/>
        <w:ind w:left="0"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二、</w:t>
      </w:r>
      <w:r>
        <w:rPr>
          <w:rFonts w:hint="default" w:ascii="Times New Roman" w:hAnsi="Times New Roman" w:eastAsia="方正黑体_GBK" w:cs="Times New Roman"/>
          <w:sz w:val="32"/>
          <w:szCs w:val="32"/>
          <w:lang w:val="en-US" w:eastAsia="zh-CN"/>
        </w:rPr>
        <w:t>部门决算情况说明</w:t>
      </w:r>
    </w:p>
    <w:p w14:paraId="5F71B667">
      <w:pPr>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94" w:lineRule="exact"/>
        <w:ind w:left="0" w:firstLine="640" w:firstLineChars="200"/>
        <w:jc w:val="both"/>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（一）收入支出决算总体情况说明</w:t>
      </w:r>
    </w:p>
    <w:p w14:paraId="1D59CADE">
      <w:pPr>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94" w:lineRule="exact"/>
        <w:ind w:left="0" w:firstLine="643" w:firstLineChars="200"/>
        <w:jc w:val="both"/>
        <w:textAlignment w:val="auto"/>
        <w:rPr>
          <w:rFonts w:hint="default" w:ascii="Times New Roman" w:hAnsi="Times New Roman" w:eastAsia="方正仿宋_GBK" w:cs="方正仿宋_GBK"/>
          <w:b w:val="0"/>
          <w:bCs w:val="0"/>
          <w:color w:val="auto"/>
          <w:kern w:val="0"/>
          <w:sz w:val="32"/>
          <w:szCs w:val="32"/>
          <w:lang w:val="en-US" w:eastAsia="zh-CN"/>
        </w:rPr>
      </w:pPr>
      <w:r>
        <w:rPr>
          <w:rFonts w:hint="default" w:ascii="Times New Roman" w:hAnsi="Times New Roman" w:eastAsia="方正仿宋_GBK" w:cs="方正仿宋_GBK"/>
          <w:b/>
          <w:bCs/>
          <w:color w:val="auto"/>
          <w:kern w:val="0"/>
          <w:sz w:val="32"/>
          <w:szCs w:val="32"/>
        </w:rPr>
        <w:t>1.总体情况。</w:t>
      </w:r>
      <w:r>
        <w:rPr>
          <w:rFonts w:hint="default" w:ascii="Times New Roman" w:hAnsi="Times New Roman" w:eastAsia="方正仿宋_GBK" w:cs="方正仿宋_GBK"/>
          <w:b w:val="0"/>
          <w:bCs w:val="0"/>
          <w:color w:val="auto"/>
          <w:kern w:val="0"/>
          <w:sz w:val="32"/>
          <w:szCs w:val="32"/>
        </w:rPr>
        <w:t>202</w:t>
      </w:r>
      <w:r>
        <w:rPr>
          <w:rFonts w:hint="eastAsia" w:ascii="Times New Roman" w:hAnsi="Times New Roman" w:eastAsia="方正仿宋_GBK" w:cs="方正仿宋_GBK"/>
          <w:b w:val="0"/>
          <w:bCs w:val="0"/>
          <w:color w:val="auto"/>
          <w:kern w:val="0"/>
          <w:sz w:val="32"/>
          <w:szCs w:val="32"/>
          <w:lang w:val="en-US" w:eastAsia="zh-CN"/>
        </w:rPr>
        <w:t>4</w:t>
      </w:r>
      <w:r>
        <w:rPr>
          <w:rFonts w:hint="default" w:ascii="Times New Roman" w:hAnsi="Times New Roman" w:eastAsia="方正仿宋_GBK" w:cs="方正仿宋_GBK"/>
          <w:b w:val="0"/>
          <w:bCs w:val="0"/>
          <w:color w:val="auto"/>
          <w:kern w:val="0"/>
          <w:sz w:val="32"/>
          <w:szCs w:val="32"/>
        </w:rPr>
        <w:t>年度收入总计1854.42万元，支出总计</w:t>
      </w:r>
      <w:r>
        <w:rPr>
          <w:rFonts w:hint="eastAsia" w:ascii="Times New Roman" w:hAnsi="Times New Roman" w:eastAsia="仿宋_GB2312"/>
          <w:color w:val="auto"/>
          <w:sz w:val="32"/>
          <w:szCs w:val="32"/>
          <w:highlight w:val="none"/>
          <w:u w:val="none"/>
          <w:lang w:val="en-US" w:eastAsia="zh-CN"/>
        </w:rPr>
        <w:t>1854.42</w:t>
      </w:r>
      <w:r>
        <w:rPr>
          <w:rFonts w:hint="default" w:ascii="Times New Roman" w:hAnsi="Times New Roman" w:eastAsia="方正仿宋_GBK" w:cs="方正仿宋_GBK"/>
          <w:b w:val="0"/>
          <w:bCs w:val="0"/>
          <w:color w:val="auto"/>
          <w:kern w:val="0"/>
          <w:sz w:val="32"/>
          <w:szCs w:val="32"/>
        </w:rPr>
        <w:t>万元。收、支与2023年度相比，减少257.49万元，下降12.2</w:t>
      </w:r>
      <w:r>
        <w:rPr>
          <w:rFonts w:hint="eastAsia" w:ascii="Times New Roman" w:hAnsi="Times New Roman" w:eastAsia="方正仿宋_GBK" w:cs="方正仿宋_GBK"/>
          <w:b w:val="0"/>
          <w:bCs w:val="0"/>
          <w:color w:val="auto"/>
          <w:kern w:val="0"/>
          <w:sz w:val="32"/>
          <w:szCs w:val="32"/>
          <w:lang w:val="en-US" w:eastAsia="zh-CN"/>
        </w:rPr>
        <w:t>0</w:t>
      </w:r>
      <w:r>
        <w:rPr>
          <w:rFonts w:hint="default" w:ascii="Times New Roman" w:hAnsi="Times New Roman" w:eastAsia="方正仿宋_GBK" w:cs="方正仿宋_GBK"/>
          <w:b w:val="0"/>
          <w:bCs w:val="0"/>
          <w:color w:val="auto"/>
          <w:kern w:val="0"/>
          <w:sz w:val="32"/>
          <w:szCs w:val="32"/>
        </w:rPr>
        <w:t>%，</w:t>
      </w:r>
      <w:r>
        <w:rPr>
          <w:rFonts w:hint="eastAsia" w:ascii="Times New Roman" w:hAnsi="Times New Roman" w:eastAsia="仿宋_GB2312"/>
          <w:color w:val="auto"/>
          <w:sz w:val="32"/>
          <w:szCs w:val="32"/>
          <w:highlight w:val="none"/>
          <w:u w:val="none"/>
        </w:rPr>
        <w:t>主要原因</w:t>
      </w:r>
      <w:r>
        <w:rPr>
          <w:rFonts w:hint="eastAsia" w:ascii="Times New Roman" w:hAnsi="Times New Roman" w:eastAsia="仿宋_GB2312"/>
          <w:color w:val="auto"/>
          <w:sz w:val="32"/>
          <w:szCs w:val="32"/>
          <w:highlight w:val="none"/>
          <w:u w:val="none"/>
          <w:lang w:eastAsia="zh-CN"/>
        </w:rPr>
        <w:t>一是严格贯彻落实“过紧日子”要求，坚持厉行节约、压紧支出；二是</w:t>
      </w:r>
      <w:r>
        <w:rPr>
          <w:rFonts w:hint="eastAsia" w:ascii="Times New Roman" w:hAnsi="Times New Roman" w:eastAsia="仿宋_GB2312"/>
          <w:color w:val="auto"/>
          <w:sz w:val="32"/>
          <w:szCs w:val="32"/>
          <w:highlight w:val="none"/>
          <w:u w:val="none"/>
        </w:rPr>
        <w:t>按财政要求，事业单位2024年起独立财务核算</w:t>
      </w:r>
      <w:r>
        <w:rPr>
          <w:rFonts w:hint="default" w:ascii="Times New Roman" w:hAnsi="Times New Roman" w:eastAsia="方正仿宋_GBK" w:cs="方正仿宋_GBK"/>
          <w:b w:val="0"/>
          <w:bCs w:val="0"/>
          <w:color w:val="auto"/>
          <w:kern w:val="0"/>
          <w:sz w:val="32"/>
          <w:szCs w:val="32"/>
          <w:lang w:val="en-US" w:eastAsia="zh-CN"/>
        </w:rPr>
        <w:t>。</w:t>
      </w:r>
    </w:p>
    <w:p w14:paraId="49A1BE4E">
      <w:pPr>
        <w:pStyle w:val="4"/>
        <w:snapToGrid w:val="0"/>
        <w:spacing w:before="0" w:beforeAutospacing="0" w:after="0" w:afterAutospacing="0" w:line="600" w:lineRule="exact"/>
        <w:ind w:firstLine="643" w:firstLineChars="200"/>
        <w:jc w:val="both"/>
        <w:rPr>
          <w:rFonts w:hint="default" w:ascii="Times New Roman" w:hAnsi="Times New Roman" w:eastAsia="方正仿宋_GBK" w:cs="方正仿宋_GBK"/>
          <w:b w:val="0"/>
          <w:bCs w:val="0"/>
          <w:color w:val="auto"/>
          <w:kern w:val="0"/>
          <w:sz w:val="32"/>
          <w:szCs w:val="32"/>
        </w:rPr>
      </w:pPr>
      <w:r>
        <w:rPr>
          <w:rFonts w:hint="default" w:ascii="Times New Roman" w:hAnsi="Times New Roman" w:eastAsia="方正仿宋_GBK" w:cs="方正仿宋_GBK"/>
          <w:b/>
          <w:bCs/>
          <w:color w:val="auto"/>
          <w:kern w:val="0"/>
          <w:sz w:val="32"/>
          <w:szCs w:val="32"/>
        </w:rPr>
        <w:t>2.收入情况。</w:t>
      </w:r>
      <w:r>
        <w:rPr>
          <w:rFonts w:hint="default" w:ascii="Times New Roman" w:hAnsi="Times New Roman" w:eastAsia="方正仿宋_GBK" w:cs="方正仿宋_GBK"/>
          <w:b w:val="0"/>
          <w:bCs w:val="0"/>
          <w:color w:val="auto"/>
          <w:kern w:val="0"/>
          <w:sz w:val="32"/>
          <w:szCs w:val="32"/>
        </w:rPr>
        <w:t>202</w:t>
      </w:r>
      <w:r>
        <w:rPr>
          <w:rFonts w:hint="eastAsia" w:ascii="Times New Roman" w:hAnsi="Times New Roman" w:eastAsia="方正仿宋_GBK" w:cs="方正仿宋_GBK"/>
          <w:b w:val="0"/>
          <w:bCs w:val="0"/>
          <w:color w:val="auto"/>
          <w:kern w:val="0"/>
          <w:sz w:val="32"/>
          <w:szCs w:val="32"/>
          <w:lang w:val="en-US" w:eastAsia="zh-CN"/>
        </w:rPr>
        <w:t>4</w:t>
      </w:r>
      <w:r>
        <w:rPr>
          <w:rFonts w:hint="default" w:ascii="Times New Roman" w:hAnsi="Times New Roman" w:eastAsia="方正仿宋_GBK" w:cs="方正仿宋_GBK"/>
          <w:b w:val="0"/>
          <w:bCs w:val="0"/>
          <w:color w:val="auto"/>
          <w:kern w:val="0"/>
          <w:sz w:val="32"/>
          <w:szCs w:val="32"/>
        </w:rPr>
        <w:t>年度收入合计</w:t>
      </w:r>
      <w:r>
        <w:rPr>
          <w:rFonts w:hint="eastAsia" w:ascii="Times New Roman" w:hAnsi="Times New Roman" w:eastAsia="仿宋_GB2312"/>
          <w:color w:val="auto"/>
          <w:sz w:val="32"/>
          <w:szCs w:val="32"/>
          <w:highlight w:val="none"/>
          <w:u w:val="none"/>
          <w:lang w:val="en-US" w:eastAsia="zh-CN"/>
        </w:rPr>
        <w:t>1840.15</w:t>
      </w:r>
      <w:r>
        <w:rPr>
          <w:rFonts w:hint="default" w:ascii="Times New Roman" w:hAnsi="Times New Roman" w:eastAsia="方正仿宋_GBK" w:cs="方正仿宋_GBK"/>
          <w:b w:val="0"/>
          <w:bCs w:val="0"/>
          <w:color w:val="auto"/>
          <w:kern w:val="0"/>
          <w:sz w:val="32"/>
          <w:szCs w:val="32"/>
        </w:rPr>
        <w:t>万元，较上年决算数</w:t>
      </w:r>
      <w:r>
        <w:rPr>
          <w:rFonts w:hint="eastAsia" w:ascii="Times New Roman" w:hAnsi="Times New Roman" w:eastAsia="仿宋_GB2312"/>
          <w:color w:val="auto"/>
          <w:sz w:val="32"/>
          <w:szCs w:val="32"/>
          <w:highlight w:val="none"/>
          <w:u w:val="none"/>
        </w:rPr>
        <w:t>减少</w:t>
      </w:r>
      <w:r>
        <w:rPr>
          <w:rFonts w:hint="eastAsia" w:ascii="Times New Roman" w:hAnsi="Times New Roman" w:eastAsia="仿宋_GB2312"/>
          <w:color w:val="auto"/>
          <w:sz w:val="32"/>
          <w:szCs w:val="32"/>
          <w:highlight w:val="none"/>
          <w:u w:val="none"/>
          <w:lang w:val="en-US" w:eastAsia="zh-CN"/>
        </w:rPr>
        <w:t>271.77</w:t>
      </w:r>
      <w:r>
        <w:rPr>
          <w:rFonts w:hint="default" w:ascii="Times New Roman" w:hAnsi="Times New Roman" w:eastAsia="方正仿宋_GBK" w:cs="方正仿宋_GBK"/>
          <w:b w:val="0"/>
          <w:bCs w:val="0"/>
          <w:color w:val="auto"/>
          <w:kern w:val="0"/>
          <w:sz w:val="32"/>
          <w:szCs w:val="32"/>
        </w:rPr>
        <w:t>万元</w:t>
      </w:r>
      <w:r>
        <w:rPr>
          <w:rFonts w:hint="eastAsia" w:ascii="Times New Roman" w:hAnsi="Times New Roman" w:eastAsia="方正仿宋_GBK" w:cs="方正仿宋_GBK"/>
          <w:b w:val="0"/>
          <w:bCs w:val="0"/>
          <w:color w:val="auto"/>
          <w:kern w:val="0"/>
          <w:sz w:val="32"/>
          <w:szCs w:val="32"/>
          <w:lang w:eastAsia="zh-CN"/>
        </w:rPr>
        <w:t>，减少</w:t>
      </w:r>
      <w:r>
        <w:rPr>
          <w:rFonts w:hint="eastAsia" w:ascii="Times New Roman" w:hAnsi="Times New Roman" w:eastAsia="方正仿宋_GBK" w:cs="方正仿宋_GBK"/>
          <w:b w:val="0"/>
          <w:bCs w:val="0"/>
          <w:color w:val="auto"/>
          <w:kern w:val="0"/>
          <w:sz w:val="32"/>
          <w:szCs w:val="32"/>
          <w:lang w:val="en-US" w:eastAsia="zh-CN"/>
        </w:rPr>
        <w:t>12.87</w:t>
      </w:r>
      <w:r>
        <w:rPr>
          <w:rFonts w:hint="default" w:ascii="Times New Roman" w:hAnsi="Times New Roman" w:eastAsia="方正仿宋_GBK" w:cs="方正仿宋_GBK"/>
          <w:b w:val="0"/>
          <w:bCs w:val="0"/>
          <w:color w:val="auto"/>
          <w:kern w:val="0"/>
          <w:sz w:val="32"/>
          <w:szCs w:val="32"/>
        </w:rPr>
        <w:t>%，主要原因</w:t>
      </w:r>
      <w:r>
        <w:rPr>
          <w:rFonts w:hint="eastAsia" w:ascii="Times New Roman" w:hAnsi="Times New Roman" w:eastAsia="仿宋_GB2312"/>
          <w:color w:val="auto"/>
          <w:sz w:val="32"/>
          <w:szCs w:val="32"/>
          <w:highlight w:val="none"/>
          <w:u w:val="none"/>
          <w:lang w:eastAsia="zh-CN"/>
        </w:rPr>
        <w:t>一是严格贯彻落实“过紧日子”要求，坚持厉行节约、压紧支出；二</w:t>
      </w:r>
      <w:r>
        <w:rPr>
          <w:rFonts w:hint="default" w:ascii="Times New Roman" w:hAnsi="Times New Roman" w:eastAsia="方正仿宋_GBK" w:cs="方正仿宋_GBK"/>
          <w:b w:val="0"/>
          <w:bCs w:val="0"/>
          <w:color w:val="auto"/>
          <w:kern w:val="0"/>
          <w:sz w:val="32"/>
          <w:szCs w:val="32"/>
        </w:rPr>
        <w:t>是</w:t>
      </w:r>
      <w:r>
        <w:rPr>
          <w:rFonts w:hint="eastAsia" w:ascii="Times New Roman" w:hAnsi="Times New Roman" w:eastAsia="仿宋_GB2312"/>
          <w:color w:val="auto"/>
          <w:sz w:val="32"/>
          <w:szCs w:val="32"/>
          <w:highlight w:val="none"/>
          <w:u w:val="none"/>
        </w:rPr>
        <w:t>按财政要求，事业单位2024年起独立财务核算</w:t>
      </w:r>
      <w:r>
        <w:rPr>
          <w:rFonts w:hint="default" w:ascii="Times New Roman" w:hAnsi="Times New Roman" w:eastAsia="方正仿宋_GBK" w:cs="方正仿宋_GBK"/>
          <w:b w:val="0"/>
          <w:bCs w:val="0"/>
          <w:color w:val="auto"/>
          <w:kern w:val="0"/>
          <w:sz w:val="32"/>
          <w:szCs w:val="32"/>
          <w:lang w:val="en-US" w:eastAsia="zh-CN"/>
        </w:rPr>
        <w:t>。</w:t>
      </w:r>
      <w:r>
        <w:rPr>
          <w:rFonts w:hint="default" w:ascii="Times New Roman" w:hAnsi="Times New Roman" w:eastAsia="方正仿宋_GBK" w:cs="方正仿宋_GBK"/>
          <w:b w:val="0"/>
          <w:bCs w:val="0"/>
          <w:color w:val="auto"/>
          <w:kern w:val="0"/>
          <w:sz w:val="32"/>
          <w:szCs w:val="32"/>
        </w:rPr>
        <w:t>其中：财政拨款收入1840.15万元，占100.00%；事业收入0.00万元，占0.00%；经营收入0.00万元，占0.00%；其他收入0.00万元，占0.00%。此外，使用非财政拨款结余和专用结余0.00万元，年初结转和结余14.27万元。</w:t>
      </w:r>
    </w:p>
    <w:p w14:paraId="3FC35A90">
      <w:pPr>
        <w:pStyle w:val="4"/>
        <w:snapToGrid w:val="0"/>
        <w:spacing w:before="0" w:beforeAutospacing="0" w:after="0" w:afterAutospacing="0" w:line="600" w:lineRule="exact"/>
        <w:ind w:firstLine="643" w:firstLineChars="200"/>
        <w:jc w:val="both"/>
        <w:rPr>
          <w:rFonts w:hint="default" w:ascii="Times New Roman" w:hAnsi="Times New Roman" w:eastAsia="方正仿宋_GBK" w:cs="方正仿宋_GBK"/>
          <w:b w:val="0"/>
          <w:bCs w:val="0"/>
          <w:color w:val="auto"/>
          <w:kern w:val="0"/>
          <w:sz w:val="32"/>
          <w:szCs w:val="32"/>
          <w:lang w:eastAsia="zh-CN"/>
        </w:rPr>
      </w:pPr>
      <w:r>
        <w:rPr>
          <w:rFonts w:hint="default" w:ascii="Times New Roman" w:hAnsi="Times New Roman" w:eastAsia="方正仿宋_GBK" w:cs="方正仿宋_GBK"/>
          <w:b/>
          <w:bCs/>
          <w:color w:val="auto"/>
          <w:kern w:val="0"/>
          <w:sz w:val="32"/>
          <w:szCs w:val="32"/>
        </w:rPr>
        <w:t>3.支出情况。</w:t>
      </w:r>
      <w:r>
        <w:rPr>
          <w:rFonts w:hint="default" w:ascii="Times New Roman" w:hAnsi="Times New Roman" w:eastAsia="方正仿宋_GBK" w:cs="方正仿宋_GBK"/>
          <w:b w:val="0"/>
          <w:bCs w:val="0"/>
          <w:color w:val="auto"/>
          <w:kern w:val="0"/>
          <w:sz w:val="32"/>
          <w:szCs w:val="32"/>
        </w:rPr>
        <w:t>202</w:t>
      </w:r>
      <w:r>
        <w:rPr>
          <w:rFonts w:hint="eastAsia" w:ascii="Times New Roman" w:hAnsi="Times New Roman" w:eastAsia="方正仿宋_GBK" w:cs="方正仿宋_GBK"/>
          <w:b w:val="0"/>
          <w:bCs w:val="0"/>
          <w:color w:val="auto"/>
          <w:kern w:val="0"/>
          <w:sz w:val="32"/>
          <w:szCs w:val="32"/>
          <w:lang w:val="en-US" w:eastAsia="zh-CN"/>
        </w:rPr>
        <w:t>4</w:t>
      </w:r>
      <w:r>
        <w:rPr>
          <w:rFonts w:hint="default" w:ascii="Times New Roman" w:hAnsi="Times New Roman" w:eastAsia="方正仿宋_GBK" w:cs="方正仿宋_GBK"/>
          <w:b w:val="0"/>
          <w:bCs w:val="0"/>
          <w:color w:val="auto"/>
          <w:kern w:val="0"/>
          <w:sz w:val="32"/>
          <w:szCs w:val="32"/>
        </w:rPr>
        <w:t>年度支出合计</w:t>
      </w:r>
      <w:r>
        <w:rPr>
          <w:rFonts w:hint="eastAsia" w:ascii="Times New Roman" w:hAnsi="Times New Roman" w:eastAsia="仿宋_GB2312"/>
          <w:color w:val="auto"/>
          <w:sz w:val="32"/>
          <w:szCs w:val="32"/>
          <w:highlight w:val="none"/>
          <w:u w:val="none"/>
          <w:lang w:val="en-US" w:eastAsia="zh-CN"/>
        </w:rPr>
        <w:t>1854.42</w:t>
      </w:r>
      <w:r>
        <w:rPr>
          <w:rFonts w:hint="default" w:ascii="Times New Roman" w:hAnsi="Times New Roman" w:eastAsia="方正仿宋_GBK" w:cs="方正仿宋_GBK"/>
          <w:b w:val="0"/>
          <w:bCs w:val="0"/>
          <w:color w:val="auto"/>
          <w:kern w:val="0"/>
          <w:sz w:val="32"/>
          <w:szCs w:val="32"/>
        </w:rPr>
        <w:t>万元，与2023年度相比，减少</w:t>
      </w:r>
      <w:r>
        <w:rPr>
          <w:rFonts w:hint="eastAsia" w:ascii="Times New Roman" w:hAnsi="Times New Roman" w:eastAsia="方正仿宋_GBK" w:cs="方正仿宋_GBK"/>
          <w:b w:val="0"/>
          <w:bCs w:val="0"/>
          <w:color w:val="auto"/>
          <w:kern w:val="0"/>
          <w:sz w:val="32"/>
          <w:szCs w:val="32"/>
          <w:lang w:val="en-US" w:eastAsia="zh-CN"/>
        </w:rPr>
        <w:t>257.49</w:t>
      </w:r>
      <w:r>
        <w:rPr>
          <w:rFonts w:hint="default" w:ascii="Times New Roman" w:hAnsi="Times New Roman" w:eastAsia="方正仿宋_GBK" w:cs="方正仿宋_GBK"/>
          <w:b w:val="0"/>
          <w:bCs w:val="0"/>
          <w:color w:val="auto"/>
          <w:kern w:val="0"/>
          <w:sz w:val="32"/>
          <w:szCs w:val="32"/>
        </w:rPr>
        <w:t>万元，</w:t>
      </w:r>
      <w:r>
        <w:rPr>
          <w:rFonts w:hint="eastAsia" w:ascii="Times New Roman" w:hAnsi="Times New Roman" w:eastAsia="方正仿宋_GBK" w:cs="方正仿宋_GBK"/>
          <w:b w:val="0"/>
          <w:bCs w:val="0"/>
          <w:color w:val="auto"/>
          <w:kern w:val="0"/>
          <w:sz w:val="32"/>
          <w:szCs w:val="32"/>
          <w:lang w:eastAsia="zh-CN"/>
        </w:rPr>
        <w:t>减少</w:t>
      </w:r>
      <w:r>
        <w:rPr>
          <w:rFonts w:hint="eastAsia" w:ascii="Times New Roman" w:hAnsi="Times New Roman" w:eastAsia="方正仿宋_GBK" w:cs="方正仿宋_GBK"/>
          <w:b w:val="0"/>
          <w:bCs w:val="0"/>
          <w:color w:val="auto"/>
          <w:kern w:val="0"/>
          <w:sz w:val="32"/>
          <w:szCs w:val="32"/>
          <w:lang w:val="en-US" w:eastAsia="zh-CN"/>
        </w:rPr>
        <w:t>12.20</w:t>
      </w:r>
      <w:r>
        <w:rPr>
          <w:rFonts w:hint="default" w:ascii="Times New Roman" w:hAnsi="Times New Roman" w:eastAsia="方正仿宋_GBK" w:cs="方正仿宋_GBK"/>
          <w:b w:val="0"/>
          <w:bCs w:val="0"/>
          <w:color w:val="auto"/>
          <w:kern w:val="0"/>
          <w:sz w:val="32"/>
          <w:szCs w:val="32"/>
        </w:rPr>
        <w:t>%，主要原因</w:t>
      </w:r>
      <w:r>
        <w:rPr>
          <w:rFonts w:hint="eastAsia" w:ascii="Times New Roman" w:hAnsi="Times New Roman" w:eastAsia="仿宋_GB2312"/>
          <w:color w:val="auto"/>
          <w:sz w:val="32"/>
          <w:szCs w:val="32"/>
          <w:highlight w:val="none"/>
          <w:u w:val="none"/>
          <w:lang w:eastAsia="zh-CN"/>
        </w:rPr>
        <w:t>一是严格贯彻落实“过紧日子”要求，坚持厉行节约、压紧支出；二</w:t>
      </w:r>
      <w:r>
        <w:rPr>
          <w:rFonts w:hint="default" w:ascii="Times New Roman" w:hAnsi="Times New Roman" w:eastAsia="方正仿宋_GBK" w:cs="方正仿宋_GBK"/>
          <w:b w:val="0"/>
          <w:bCs w:val="0"/>
          <w:color w:val="auto"/>
          <w:kern w:val="0"/>
          <w:sz w:val="32"/>
          <w:szCs w:val="32"/>
        </w:rPr>
        <w:t>是</w:t>
      </w:r>
      <w:r>
        <w:rPr>
          <w:rFonts w:hint="eastAsia" w:ascii="Times New Roman" w:hAnsi="Times New Roman" w:eastAsia="仿宋_GB2312"/>
          <w:color w:val="auto"/>
          <w:sz w:val="32"/>
          <w:szCs w:val="32"/>
          <w:highlight w:val="none"/>
          <w:u w:val="none"/>
        </w:rPr>
        <w:t>按财政要求，事业单位2024年起独立财务核算</w:t>
      </w:r>
      <w:r>
        <w:rPr>
          <w:rFonts w:hint="default" w:ascii="Times New Roman" w:hAnsi="Times New Roman" w:eastAsia="方正仿宋_GBK" w:cs="方正仿宋_GBK"/>
          <w:b w:val="0"/>
          <w:bCs w:val="0"/>
          <w:color w:val="auto"/>
          <w:kern w:val="0"/>
          <w:sz w:val="32"/>
          <w:szCs w:val="32"/>
          <w:lang w:val="en-US" w:eastAsia="zh-CN"/>
        </w:rPr>
        <w:t>。</w:t>
      </w:r>
      <w:r>
        <w:rPr>
          <w:rFonts w:hint="default" w:ascii="Times New Roman" w:hAnsi="Times New Roman" w:eastAsia="方正仿宋_GBK" w:cs="方正仿宋_GBK"/>
          <w:b w:val="0"/>
          <w:bCs w:val="0"/>
          <w:color w:val="auto"/>
          <w:kern w:val="0"/>
          <w:sz w:val="32"/>
          <w:szCs w:val="32"/>
          <w:lang w:eastAsia="zh-CN"/>
        </w:rPr>
        <w:t>其中：</w:t>
      </w:r>
      <w:r>
        <w:rPr>
          <w:rFonts w:hint="eastAsia" w:ascii="Times New Roman" w:hAnsi="Times New Roman" w:eastAsia="方正仿宋_GBK" w:cs="方正仿宋_GBK"/>
          <w:b w:val="0"/>
          <w:bCs w:val="0"/>
          <w:color w:val="auto"/>
          <w:kern w:val="0"/>
          <w:sz w:val="32"/>
          <w:szCs w:val="32"/>
          <w:lang w:eastAsia="zh-CN"/>
        </w:rPr>
        <w:t>基本支出1396.47万元，占75.30%；项目支出457.95万元，占24.70%；经营支出0.00万元，占0.00%。此外，结余分配0.00万元。</w:t>
      </w:r>
    </w:p>
    <w:p w14:paraId="7AC024E8">
      <w:pPr>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94" w:lineRule="exact"/>
        <w:ind w:left="0" w:firstLine="643" w:firstLineChars="200"/>
        <w:jc w:val="both"/>
        <w:textAlignment w:val="auto"/>
        <w:rPr>
          <w:rFonts w:hint="eastAsia" w:ascii="Times New Roman" w:hAnsi="Times New Roman" w:eastAsia="方正仿宋_GBK" w:cs="方正仿宋_GBK"/>
          <w:b w:val="0"/>
          <w:bCs w:val="0"/>
          <w:color w:val="auto"/>
          <w:kern w:val="0"/>
          <w:sz w:val="32"/>
          <w:szCs w:val="32"/>
          <w:lang w:eastAsia="zh-CN"/>
        </w:rPr>
      </w:pPr>
      <w:r>
        <w:rPr>
          <w:rFonts w:hint="default" w:ascii="Times New Roman" w:hAnsi="Times New Roman" w:eastAsia="方正仿宋_GBK" w:cs="方正仿宋_GBK"/>
          <w:b/>
          <w:bCs/>
          <w:color w:val="auto"/>
          <w:kern w:val="0"/>
          <w:sz w:val="32"/>
          <w:szCs w:val="32"/>
        </w:rPr>
        <w:t>4.结转结余情况。</w:t>
      </w:r>
      <w:r>
        <w:rPr>
          <w:rFonts w:hint="default" w:ascii="Times New Roman" w:hAnsi="Times New Roman" w:eastAsia="方正仿宋_GBK" w:cs="方正仿宋_GBK"/>
          <w:b w:val="0"/>
          <w:bCs w:val="0"/>
          <w:color w:val="auto"/>
          <w:kern w:val="0"/>
          <w:sz w:val="32"/>
          <w:szCs w:val="32"/>
        </w:rPr>
        <w:t>202</w:t>
      </w:r>
      <w:r>
        <w:rPr>
          <w:rFonts w:hint="eastAsia" w:ascii="Times New Roman" w:hAnsi="Times New Roman" w:eastAsia="方正仿宋_GBK" w:cs="方正仿宋_GBK"/>
          <w:b w:val="0"/>
          <w:bCs w:val="0"/>
          <w:color w:val="auto"/>
          <w:kern w:val="0"/>
          <w:sz w:val="32"/>
          <w:szCs w:val="32"/>
          <w:lang w:val="en-US" w:eastAsia="zh-CN"/>
        </w:rPr>
        <w:t>4</w:t>
      </w:r>
      <w:r>
        <w:rPr>
          <w:rFonts w:hint="default" w:ascii="Times New Roman" w:hAnsi="Times New Roman" w:eastAsia="方正仿宋_GBK" w:cs="方正仿宋_GBK"/>
          <w:b w:val="0"/>
          <w:bCs w:val="0"/>
          <w:color w:val="auto"/>
          <w:kern w:val="0"/>
          <w:sz w:val="32"/>
          <w:szCs w:val="32"/>
        </w:rPr>
        <w:t>年度年末结转和结余</w:t>
      </w:r>
      <w:r>
        <w:rPr>
          <w:rFonts w:hint="eastAsia" w:ascii="Times New Roman" w:hAnsi="Times New Roman" w:eastAsia="方正仿宋_GBK" w:cs="方正仿宋_GBK"/>
          <w:b w:val="0"/>
          <w:bCs w:val="0"/>
          <w:color w:val="auto"/>
          <w:kern w:val="0"/>
          <w:sz w:val="32"/>
          <w:szCs w:val="32"/>
          <w:lang w:val="en-US" w:eastAsia="zh-CN"/>
        </w:rPr>
        <w:t>0</w:t>
      </w:r>
      <w:r>
        <w:rPr>
          <w:rFonts w:hint="default" w:ascii="Times New Roman" w:hAnsi="Times New Roman" w:eastAsia="方正仿宋_GBK" w:cs="方正仿宋_GBK"/>
          <w:b w:val="0"/>
          <w:bCs w:val="0"/>
          <w:color w:val="auto"/>
          <w:kern w:val="0"/>
          <w:sz w:val="32"/>
          <w:szCs w:val="32"/>
        </w:rPr>
        <w:t>万元</w:t>
      </w:r>
      <w:r>
        <w:rPr>
          <w:rFonts w:hint="eastAsia" w:ascii="Times New Roman" w:hAnsi="Times New Roman" w:eastAsia="方正仿宋_GBK" w:cs="方正仿宋_GBK"/>
          <w:b w:val="0"/>
          <w:bCs w:val="0"/>
          <w:color w:val="auto"/>
          <w:kern w:val="0"/>
          <w:sz w:val="32"/>
          <w:szCs w:val="32"/>
          <w:lang w:eastAsia="zh-CN"/>
        </w:rPr>
        <w:t>，</w:t>
      </w:r>
      <w:r>
        <w:rPr>
          <w:rFonts w:hint="default" w:ascii="Times New Roman" w:hAnsi="Times New Roman" w:eastAsia="方正仿宋_GBK" w:cs="方正仿宋_GBK"/>
          <w:b w:val="0"/>
          <w:bCs w:val="0"/>
          <w:color w:val="auto"/>
          <w:kern w:val="0"/>
          <w:sz w:val="32"/>
          <w:szCs w:val="32"/>
        </w:rPr>
        <w:t>与2023年度相比，无增减</w:t>
      </w:r>
      <w:r>
        <w:rPr>
          <w:rFonts w:hint="eastAsia" w:ascii="Times New Roman" w:hAnsi="Times New Roman" w:eastAsia="方正仿宋_GBK" w:cs="方正仿宋_GBK"/>
          <w:b w:val="0"/>
          <w:bCs w:val="0"/>
          <w:color w:val="auto"/>
          <w:kern w:val="0"/>
          <w:sz w:val="32"/>
          <w:szCs w:val="32"/>
          <w:lang w:eastAsia="zh-CN"/>
        </w:rPr>
        <w:t>。</w:t>
      </w:r>
    </w:p>
    <w:p w14:paraId="619B9168">
      <w:pPr>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94" w:lineRule="exact"/>
        <w:ind w:left="0" w:firstLine="640" w:firstLineChars="200"/>
        <w:jc w:val="both"/>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（二）财政拨款收入支出决算总体情况说明</w:t>
      </w:r>
    </w:p>
    <w:p w14:paraId="2B23B6F2">
      <w:pPr>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94" w:lineRule="exact"/>
        <w:ind w:left="0" w:firstLine="640" w:firstLineChars="200"/>
        <w:jc w:val="both"/>
        <w:textAlignment w:val="auto"/>
        <w:rPr>
          <w:rFonts w:hint="default" w:ascii="Times New Roman" w:hAnsi="Times New Roman" w:eastAsia="方正仿宋_GBK" w:cs="方正仿宋_GBK"/>
          <w:b w:val="0"/>
          <w:bCs w:val="0"/>
          <w:color w:val="auto"/>
          <w:kern w:val="0"/>
          <w:sz w:val="32"/>
          <w:szCs w:val="32"/>
          <w:lang w:val="en-US" w:eastAsia="zh-CN"/>
        </w:rPr>
      </w:pPr>
      <w:r>
        <w:rPr>
          <w:rFonts w:hint="default" w:ascii="Times New Roman" w:hAnsi="Times New Roman" w:eastAsia="方正仿宋_GBK" w:cs="Times New Roman"/>
          <w:color w:val="auto"/>
          <w:sz w:val="32"/>
          <w:szCs w:val="32"/>
          <w:shd w:val="clear" w:color="auto" w:fill="FFFFFF"/>
        </w:rPr>
        <w:t>2024年度财政拨款收、支总计1854.42万元。与202</w:t>
      </w:r>
      <w:r>
        <w:rPr>
          <w:rFonts w:hint="eastAsia"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年相比，</w:t>
      </w:r>
      <w:r>
        <w:rPr>
          <w:rFonts w:hint="default" w:ascii="Times New Roman" w:hAnsi="Times New Roman" w:eastAsia="方正仿宋_GBK" w:cs="方正仿宋_GBK"/>
          <w:b w:val="0"/>
          <w:bCs w:val="0"/>
          <w:color w:val="auto"/>
          <w:kern w:val="0"/>
          <w:sz w:val="32"/>
          <w:szCs w:val="32"/>
        </w:rPr>
        <w:t>收</w:t>
      </w:r>
      <w:r>
        <w:rPr>
          <w:rFonts w:hint="eastAsia" w:ascii="Times New Roman" w:hAnsi="Times New Roman" w:eastAsia="方正仿宋_GBK" w:cs="方正仿宋_GBK"/>
          <w:b w:val="0"/>
          <w:bCs w:val="0"/>
          <w:color w:val="auto"/>
          <w:kern w:val="0"/>
          <w:sz w:val="32"/>
          <w:szCs w:val="32"/>
          <w:lang w:eastAsia="zh-CN"/>
        </w:rPr>
        <w:t>入</w:t>
      </w:r>
      <w:r>
        <w:rPr>
          <w:rFonts w:hint="default" w:ascii="Times New Roman" w:hAnsi="Times New Roman" w:eastAsia="方正仿宋_GBK" w:cs="方正仿宋_GBK"/>
          <w:b w:val="0"/>
          <w:bCs w:val="0"/>
          <w:color w:val="auto"/>
          <w:kern w:val="0"/>
          <w:sz w:val="32"/>
          <w:szCs w:val="32"/>
        </w:rPr>
        <w:t>较上年决算数</w:t>
      </w:r>
      <w:r>
        <w:rPr>
          <w:rFonts w:hint="eastAsia" w:ascii="Times New Roman" w:hAnsi="Times New Roman" w:eastAsia="仿宋_GB2312"/>
          <w:color w:val="auto"/>
          <w:sz w:val="32"/>
          <w:szCs w:val="32"/>
          <w:highlight w:val="none"/>
          <w:u w:val="none"/>
        </w:rPr>
        <w:t>减少</w:t>
      </w:r>
      <w:r>
        <w:rPr>
          <w:rFonts w:hint="eastAsia" w:ascii="Times New Roman" w:hAnsi="Times New Roman" w:eastAsia="仿宋_GB2312"/>
          <w:color w:val="auto"/>
          <w:sz w:val="32"/>
          <w:szCs w:val="32"/>
          <w:highlight w:val="none"/>
          <w:u w:val="none"/>
          <w:lang w:val="en-US" w:eastAsia="zh-CN"/>
        </w:rPr>
        <w:t>271.77</w:t>
      </w:r>
      <w:r>
        <w:rPr>
          <w:rFonts w:hint="default" w:ascii="Times New Roman" w:hAnsi="Times New Roman" w:eastAsia="方正仿宋_GBK" w:cs="方正仿宋_GBK"/>
          <w:b w:val="0"/>
          <w:bCs w:val="0"/>
          <w:color w:val="auto"/>
          <w:kern w:val="0"/>
          <w:sz w:val="32"/>
          <w:szCs w:val="32"/>
        </w:rPr>
        <w:t>万元，</w:t>
      </w:r>
      <w:r>
        <w:rPr>
          <w:rFonts w:hint="eastAsia" w:ascii="Times New Roman" w:hAnsi="Times New Roman" w:eastAsia="方正仿宋_GBK" w:cs="方正仿宋_GBK"/>
          <w:b w:val="0"/>
          <w:bCs w:val="0"/>
          <w:color w:val="auto"/>
          <w:kern w:val="0"/>
          <w:sz w:val="32"/>
          <w:szCs w:val="32"/>
          <w:lang w:eastAsia="zh-CN"/>
        </w:rPr>
        <w:t>下降</w:t>
      </w:r>
      <w:r>
        <w:rPr>
          <w:rFonts w:hint="eastAsia" w:ascii="Times New Roman" w:hAnsi="Times New Roman" w:eastAsia="方正仿宋_GBK" w:cs="方正仿宋_GBK"/>
          <w:b w:val="0"/>
          <w:bCs w:val="0"/>
          <w:color w:val="auto"/>
          <w:kern w:val="0"/>
          <w:sz w:val="32"/>
          <w:szCs w:val="32"/>
          <w:lang w:val="en-US" w:eastAsia="zh-CN"/>
        </w:rPr>
        <w:t>12.90</w:t>
      </w:r>
      <w:r>
        <w:rPr>
          <w:rFonts w:hint="default" w:ascii="Times New Roman" w:hAnsi="Times New Roman" w:eastAsia="方正仿宋_GBK" w:cs="方正仿宋_GBK"/>
          <w:b w:val="0"/>
          <w:bCs w:val="0"/>
          <w:color w:val="auto"/>
          <w:kern w:val="0"/>
          <w:sz w:val="32"/>
          <w:szCs w:val="32"/>
        </w:rPr>
        <w:t>%，</w:t>
      </w:r>
      <w:r>
        <w:rPr>
          <w:rFonts w:hint="eastAsia" w:ascii="Times New Roman" w:hAnsi="Times New Roman" w:eastAsia="方正仿宋_GBK" w:cs="方正仿宋_GBK"/>
          <w:b w:val="0"/>
          <w:bCs w:val="0"/>
          <w:color w:val="auto"/>
          <w:kern w:val="0"/>
          <w:sz w:val="32"/>
          <w:szCs w:val="32"/>
          <w:lang w:eastAsia="zh-CN"/>
        </w:rPr>
        <w:t>支出</w:t>
      </w:r>
      <w:r>
        <w:rPr>
          <w:rFonts w:hint="default" w:ascii="Times New Roman" w:hAnsi="Times New Roman" w:eastAsia="方正仿宋_GBK" w:cs="方正仿宋_GBK"/>
          <w:b w:val="0"/>
          <w:bCs w:val="0"/>
          <w:color w:val="auto"/>
          <w:kern w:val="0"/>
          <w:sz w:val="32"/>
          <w:szCs w:val="32"/>
        </w:rPr>
        <w:t>较上年决算数</w:t>
      </w:r>
      <w:r>
        <w:rPr>
          <w:rFonts w:hint="eastAsia" w:ascii="Times New Roman" w:hAnsi="Times New Roman" w:eastAsia="仿宋_GB2312"/>
          <w:color w:val="auto"/>
          <w:sz w:val="32"/>
          <w:szCs w:val="32"/>
          <w:highlight w:val="none"/>
          <w:u w:val="none"/>
        </w:rPr>
        <w:t>减少</w:t>
      </w:r>
      <w:r>
        <w:rPr>
          <w:rFonts w:hint="eastAsia" w:ascii="Times New Roman" w:hAnsi="Times New Roman" w:eastAsia="仿宋_GB2312"/>
          <w:color w:val="auto"/>
          <w:sz w:val="32"/>
          <w:szCs w:val="32"/>
          <w:highlight w:val="none"/>
          <w:u w:val="none"/>
          <w:lang w:val="en-US" w:eastAsia="zh-CN"/>
        </w:rPr>
        <w:t>257.49</w:t>
      </w:r>
      <w:r>
        <w:rPr>
          <w:rFonts w:hint="default" w:ascii="Times New Roman" w:hAnsi="Times New Roman" w:eastAsia="方正仿宋_GBK" w:cs="方正仿宋_GBK"/>
          <w:b w:val="0"/>
          <w:bCs w:val="0"/>
          <w:color w:val="auto"/>
          <w:kern w:val="0"/>
          <w:sz w:val="32"/>
          <w:szCs w:val="32"/>
        </w:rPr>
        <w:t>万元，</w:t>
      </w:r>
      <w:r>
        <w:rPr>
          <w:rFonts w:hint="eastAsia" w:ascii="Times New Roman" w:hAnsi="Times New Roman" w:eastAsia="方正仿宋_GBK" w:cs="方正仿宋_GBK"/>
          <w:b w:val="0"/>
          <w:bCs w:val="0"/>
          <w:color w:val="auto"/>
          <w:kern w:val="0"/>
          <w:sz w:val="32"/>
          <w:szCs w:val="32"/>
          <w:lang w:eastAsia="zh-CN"/>
        </w:rPr>
        <w:t>下降</w:t>
      </w:r>
      <w:r>
        <w:rPr>
          <w:rFonts w:hint="eastAsia" w:ascii="Times New Roman" w:hAnsi="Times New Roman" w:eastAsia="方正仿宋_GBK" w:cs="方正仿宋_GBK"/>
          <w:b w:val="0"/>
          <w:bCs w:val="0"/>
          <w:color w:val="auto"/>
          <w:kern w:val="0"/>
          <w:sz w:val="32"/>
          <w:szCs w:val="32"/>
          <w:lang w:val="en-US" w:eastAsia="zh-CN"/>
        </w:rPr>
        <w:t>12.20</w:t>
      </w:r>
      <w:r>
        <w:rPr>
          <w:rFonts w:hint="default" w:ascii="Times New Roman" w:hAnsi="Times New Roman" w:eastAsia="方正仿宋_GBK" w:cs="方正仿宋_GBK"/>
          <w:b w:val="0"/>
          <w:bCs w:val="0"/>
          <w:color w:val="auto"/>
          <w:kern w:val="0"/>
          <w:sz w:val="32"/>
          <w:szCs w:val="32"/>
        </w:rPr>
        <w:t>%</w:t>
      </w:r>
      <w:r>
        <w:rPr>
          <w:rFonts w:hint="eastAsia" w:ascii="Times New Roman" w:hAnsi="Times New Roman" w:eastAsia="方正仿宋_GBK" w:cs="方正仿宋_GBK"/>
          <w:b w:val="0"/>
          <w:bCs w:val="0"/>
          <w:color w:val="auto"/>
          <w:kern w:val="0"/>
          <w:sz w:val="32"/>
          <w:szCs w:val="32"/>
          <w:lang w:eastAsia="zh-CN"/>
        </w:rPr>
        <w:t>。</w:t>
      </w:r>
      <w:r>
        <w:rPr>
          <w:rFonts w:hint="eastAsia" w:ascii="Times New Roman" w:hAnsi="Times New Roman" w:eastAsia="仿宋_GB2312"/>
          <w:color w:val="auto"/>
          <w:sz w:val="32"/>
          <w:szCs w:val="32"/>
          <w:highlight w:val="none"/>
          <w:u w:val="none"/>
        </w:rPr>
        <w:t>主要原因</w:t>
      </w:r>
      <w:r>
        <w:rPr>
          <w:rFonts w:hint="eastAsia" w:ascii="Times New Roman" w:hAnsi="Times New Roman" w:eastAsia="仿宋_GB2312"/>
          <w:color w:val="auto"/>
          <w:sz w:val="32"/>
          <w:szCs w:val="32"/>
          <w:highlight w:val="none"/>
          <w:u w:val="none"/>
          <w:lang w:eastAsia="zh-CN"/>
        </w:rPr>
        <w:t>一是严格贯彻落实“过紧日子”要求，坚持厉行节约、压紧支出；二</w:t>
      </w:r>
      <w:r>
        <w:rPr>
          <w:rFonts w:hint="eastAsia" w:ascii="Times New Roman" w:hAnsi="Times New Roman" w:eastAsia="仿宋_GB2312"/>
          <w:color w:val="auto"/>
          <w:sz w:val="32"/>
          <w:szCs w:val="32"/>
          <w:highlight w:val="none"/>
          <w:u w:val="none"/>
        </w:rPr>
        <w:t>是按财政要求，事业单位</w:t>
      </w:r>
      <w:r>
        <w:rPr>
          <w:rFonts w:hint="eastAsia" w:ascii="Times New Roman" w:hAnsi="Times New Roman" w:eastAsia="仿宋_GB2312"/>
          <w:color w:val="auto"/>
          <w:sz w:val="32"/>
          <w:szCs w:val="32"/>
          <w:highlight w:val="none"/>
          <w:u w:val="none"/>
          <w:lang w:eastAsia="zh-CN"/>
        </w:rPr>
        <w:t>于</w:t>
      </w:r>
      <w:r>
        <w:rPr>
          <w:rFonts w:hint="eastAsia" w:ascii="Times New Roman" w:hAnsi="Times New Roman" w:eastAsia="仿宋_GB2312"/>
          <w:color w:val="auto"/>
          <w:sz w:val="32"/>
          <w:szCs w:val="32"/>
          <w:highlight w:val="none"/>
          <w:u w:val="none"/>
        </w:rPr>
        <w:t>2024年起独立财务核算</w:t>
      </w:r>
      <w:r>
        <w:rPr>
          <w:rFonts w:hint="default" w:ascii="Times New Roman" w:hAnsi="Times New Roman" w:eastAsia="方正仿宋_GBK" w:cs="方正仿宋_GBK"/>
          <w:b w:val="0"/>
          <w:bCs w:val="0"/>
          <w:color w:val="auto"/>
          <w:kern w:val="0"/>
          <w:sz w:val="32"/>
          <w:szCs w:val="32"/>
          <w:lang w:val="en-US" w:eastAsia="zh-CN"/>
        </w:rPr>
        <w:t>。</w:t>
      </w:r>
    </w:p>
    <w:p w14:paraId="4C50CC0E">
      <w:pPr>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94" w:lineRule="exact"/>
        <w:ind w:left="0" w:firstLine="640" w:firstLineChars="200"/>
        <w:jc w:val="both"/>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（三）一般公共预算财政拨款收入支出决算情况说明</w:t>
      </w:r>
    </w:p>
    <w:p w14:paraId="3D3FC299">
      <w:pPr>
        <w:pStyle w:val="4"/>
        <w:snapToGrid w:val="0"/>
        <w:spacing w:before="0" w:beforeAutospacing="0" w:after="0" w:afterAutospacing="0" w:line="600" w:lineRule="exact"/>
        <w:ind w:firstLine="643" w:firstLineChars="200"/>
        <w:jc w:val="both"/>
        <w:rPr>
          <w:rFonts w:hint="default" w:ascii="Times New Roman" w:hAnsi="Times New Roman" w:eastAsia="仿宋_GB2312"/>
          <w:color w:val="auto"/>
          <w:sz w:val="32"/>
          <w:szCs w:val="32"/>
          <w:highlight w:val="none"/>
          <w:u w:val="none"/>
        </w:rPr>
      </w:pPr>
      <w:r>
        <w:rPr>
          <w:rStyle w:val="7"/>
          <w:rFonts w:hint="default" w:ascii="Times New Roman" w:hAnsi="Times New Roman" w:eastAsia="方正仿宋_GBK" w:cs="Times New Roman"/>
          <w:color w:val="auto"/>
          <w:sz w:val="32"/>
          <w:szCs w:val="32"/>
          <w:shd w:val="clear" w:color="auto" w:fill="FFFFFF"/>
        </w:rPr>
        <w:t>1.收入情况。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年度一般公共预算财政拨款收入</w:t>
      </w:r>
      <w:r>
        <w:rPr>
          <w:rFonts w:hint="eastAsia" w:ascii="Times New Roman" w:hAnsi="Times New Roman" w:eastAsia="仿宋_GB2312"/>
          <w:color w:val="auto"/>
          <w:sz w:val="32"/>
          <w:szCs w:val="32"/>
          <w:highlight w:val="none"/>
          <w:u w:val="none"/>
          <w:lang w:val="en-US" w:eastAsia="zh-CN"/>
        </w:rPr>
        <w:t>1840.15</w:t>
      </w:r>
      <w:r>
        <w:rPr>
          <w:rFonts w:hint="default" w:ascii="Times New Roman" w:hAnsi="Times New Roman" w:eastAsia="方正仿宋_GBK" w:cs="Times New Roman"/>
          <w:color w:val="auto"/>
          <w:sz w:val="32"/>
          <w:szCs w:val="32"/>
          <w:shd w:val="clear" w:color="auto" w:fill="FFFFFF"/>
        </w:rPr>
        <w:t>万元，与2023年度相比</w:t>
      </w:r>
      <w:r>
        <w:rPr>
          <w:rFonts w:hint="eastAsia" w:ascii="Times New Roman" w:hAnsi="Times New Roman" w:eastAsia="方正仿宋_GBK" w:cs="Times New Roman"/>
          <w:color w:val="auto"/>
          <w:sz w:val="32"/>
          <w:szCs w:val="32"/>
          <w:shd w:val="clear" w:color="auto" w:fill="FFFFFF"/>
          <w:lang w:eastAsia="zh-CN"/>
        </w:rPr>
        <w:t>，</w:t>
      </w:r>
      <w:r>
        <w:rPr>
          <w:rFonts w:hint="eastAsia" w:ascii="Times New Roman" w:hAnsi="Times New Roman" w:eastAsia="仿宋_GB2312"/>
          <w:color w:val="auto"/>
          <w:sz w:val="32"/>
          <w:szCs w:val="32"/>
          <w:highlight w:val="none"/>
          <w:u w:val="none"/>
        </w:rPr>
        <w:t>减少</w:t>
      </w:r>
      <w:r>
        <w:rPr>
          <w:rFonts w:hint="eastAsia" w:ascii="Times New Roman" w:hAnsi="Times New Roman" w:eastAsia="仿宋_GB2312"/>
          <w:color w:val="auto"/>
          <w:sz w:val="32"/>
          <w:szCs w:val="32"/>
          <w:highlight w:val="none"/>
          <w:u w:val="none"/>
          <w:lang w:val="en-US" w:eastAsia="zh-CN"/>
        </w:rPr>
        <w:t>271.76</w:t>
      </w:r>
      <w:r>
        <w:rPr>
          <w:rFonts w:hint="default" w:ascii="Times New Roman" w:hAnsi="Times New Roman" w:eastAsia="方正仿宋_GBK" w:cs="方正仿宋_GBK"/>
          <w:b w:val="0"/>
          <w:bCs w:val="0"/>
          <w:color w:val="auto"/>
          <w:kern w:val="0"/>
          <w:sz w:val="32"/>
          <w:szCs w:val="32"/>
        </w:rPr>
        <w:t>万元</w:t>
      </w: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方正仿宋_GBK" w:cs="Times New Roman"/>
          <w:color w:val="auto"/>
          <w:sz w:val="32"/>
          <w:szCs w:val="32"/>
          <w:shd w:val="clear" w:color="auto" w:fill="FFFFFF"/>
          <w:lang w:eastAsia="zh-CN"/>
        </w:rPr>
        <w:t>下降</w:t>
      </w:r>
      <w:r>
        <w:rPr>
          <w:rFonts w:hint="eastAsia" w:ascii="Times New Roman" w:hAnsi="Times New Roman" w:eastAsia="方正仿宋_GBK" w:cs="方正仿宋_GBK"/>
          <w:b w:val="0"/>
          <w:bCs w:val="0"/>
          <w:color w:val="auto"/>
          <w:kern w:val="0"/>
          <w:sz w:val="32"/>
          <w:szCs w:val="32"/>
          <w:lang w:val="en-US" w:eastAsia="zh-CN"/>
        </w:rPr>
        <w:t>12.90</w:t>
      </w:r>
      <w:r>
        <w:rPr>
          <w:rFonts w:hint="default" w:ascii="Times New Roman" w:hAnsi="Times New Roman" w:eastAsia="方正仿宋_GBK" w:cs="方正仿宋_GBK"/>
          <w:b w:val="0"/>
          <w:bCs w:val="0"/>
          <w:color w:val="auto"/>
          <w:kern w:val="0"/>
          <w:sz w:val="32"/>
          <w:szCs w:val="32"/>
        </w:rPr>
        <w:t>%</w:t>
      </w:r>
      <w:r>
        <w:rPr>
          <w:rFonts w:hint="eastAsia" w:ascii="Times New Roman" w:hAnsi="Times New Roman" w:eastAsia="方正仿宋_GBK" w:cs="方正仿宋_GBK"/>
          <w:b w:val="0"/>
          <w:bCs w:val="0"/>
          <w:color w:val="auto"/>
          <w:kern w:val="0"/>
          <w:sz w:val="32"/>
          <w:szCs w:val="32"/>
          <w:lang w:eastAsia="zh-CN"/>
        </w:rPr>
        <w:t>；</w:t>
      </w:r>
      <w:r>
        <w:rPr>
          <w:rFonts w:hint="default" w:ascii="Times New Roman" w:hAnsi="Times New Roman" w:eastAsia="方正仿宋_GBK" w:cs="Times New Roman"/>
          <w:color w:val="auto"/>
          <w:sz w:val="32"/>
          <w:szCs w:val="32"/>
          <w:shd w:val="clear" w:color="auto" w:fill="FFFFFF"/>
        </w:rPr>
        <w:t>主要原因</w:t>
      </w:r>
      <w:r>
        <w:rPr>
          <w:rFonts w:hint="eastAsia" w:ascii="Times New Roman" w:hAnsi="Times New Roman" w:eastAsia="仿宋_GB2312"/>
          <w:color w:val="auto"/>
          <w:sz w:val="32"/>
          <w:szCs w:val="32"/>
          <w:highlight w:val="none"/>
          <w:u w:val="none"/>
          <w:lang w:eastAsia="zh-CN"/>
        </w:rPr>
        <w:t>一是严格贯彻落实“过紧日子”要求，坚持厉行节约、压紧支出；二是</w:t>
      </w:r>
      <w:r>
        <w:rPr>
          <w:rFonts w:hint="eastAsia" w:ascii="Times New Roman" w:hAnsi="Times New Roman" w:eastAsia="仿宋_GB2312"/>
          <w:color w:val="auto"/>
          <w:sz w:val="32"/>
          <w:szCs w:val="32"/>
          <w:highlight w:val="none"/>
          <w:u w:val="none"/>
        </w:rPr>
        <w:t>按财政要求，事业单位2024年起独立财务核算</w:t>
      </w:r>
      <w:r>
        <w:rPr>
          <w:rFonts w:hint="default" w:ascii="Times New Roman" w:hAnsi="Times New Roman" w:eastAsia="方正仿宋_GBK" w:cs="方正仿宋_GBK"/>
          <w:b w:val="0"/>
          <w:bCs w:val="0"/>
          <w:color w:val="auto"/>
          <w:kern w:val="0"/>
          <w:sz w:val="32"/>
          <w:szCs w:val="32"/>
          <w:lang w:val="en-US" w:eastAsia="zh-CN"/>
        </w:rPr>
        <w:t>。</w:t>
      </w:r>
      <w:r>
        <w:rPr>
          <w:rFonts w:hint="default" w:ascii="Times New Roman" w:hAnsi="Times New Roman" w:eastAsia="方正仿宋_GBK" w:cs="Times New Roman"/>
          <w:color w:val="auto"/>
          <w:sz w:val="32"/>
          <w:szCs w:val="32"/>
          <w:shd w:val="clear" w:color="auto" w:fill="FFFFFF"/>
        </w:rPr>
        <w:t>较年初预算数</w:t>
      </w:r>
      <w:r>
        <w:rPr>
          <w:rFonts w:hint="eastAsia" w:ascii="Times New Roman" w:hAnsi="Times New Roman" w:eastAsia="方正仿宋_GBK" w:cs="Times New Roman"/>
          <w:color w:val="auto"/>
          <w:sz w:val="32"/>
          <w:szCs w:val="32"/>
          <w:shd w:val="clear" w:color="auto" w:fill="FFFFFF"/>
          <w:lang w:val="en-US" w:eastAsia="zh-CN"/>
        </w:rPr>
        <w:t>1887.47万元</w:t>
      </w:r>
      <w:r>
        <w:rPr>
          <w:rFonts w:hint="eastAsia" w:ascii="Times New Roman" w:hAnsi="Times New Roman" w:eastAsia="方正仿宋_GBK" w:cs="Times New Roman"/>
          <w:color w:val="auto"/>
          <w:sz w:val="32"/>
          <w:szCs w:val="32"/>
          <w:shd w:val="clear" w:color="auto" w:fill="FFFFFF"/>
          <w:lang w:eastAsia="zh-CN"/>
        </w:rPr>
        <w:t>减少了</w:t>
      </w:r>
      <w:r>
        <w:rPr>
          <w:rFonts w:hint="eastAsia" w:ascii="Times New Roman" w:hAnsi="Times New Roman" w:eastAsia="方正仿宋_GBK" w:cs="Times New Roman"/>
          <w:color w:val="auto"/>
          <w:sz w:val="32"/>
          <w:szCs w:val="32"/>
          <w:shd w:val="clear" w:color="auto" w:fill="FFFFFF"/>
          <w:lang w:val="en-US" w:eastAsia="zh-CN"/>
        </w:rPr>
        <w:t>47.32</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eastAsia="zh-CN"/>
        </w:rPr>
        <w:t>下降</w:t>
      </w:r>
      <w:r>
        <w:rPr>
          <w:rFonts w:hint="eastAsia" w:ascii="Times New Roman" w:hAnsi="Times New Roman" w:eastAsia="方正仿宋_GBK" w:cs="Times New Roman"/>
          <w:color w:val="auto"/>
          <w:sz w:val="32"/>
          <w:szCs w:val="32"/>
          <w:shd w:val="clear" w:color="auto" w:fill="FFFFFF"/>
          <w:lang w:val="en-US" w:eastAsia="zh-CN"/>
        </w:rPr>
        <w:t>2.50</w:t>
      </w:r>
      <w:r>
        <w:rPr>
          <w:rFonts w:hint="default" w:ascii="Times New Roman" w:hAnsi="Times New Roman" w:eastAsia="方正仿宋_GBK" w:cs="Times New Roman"/>
          <w:color w:val="auto"/>
          <w:sz w:val="32"/>
          <w:szCs w:val="32"/>
          <w:shd w:val="clear" w:color="auto" w:fill="FFFFFF"/>
        </w:rPr>
        <w:t>%。主要原因</w:t>
      </w:r>
      <w:r>
        <w:rPr>
          <w:rFonts w:hint="eastAsia" w:ascii="Times New Roman" w:hAnsi="Times New Roman" w:eastAsia="仿宋_GB2312"/>
          <w:color w:val="auto"/>
          <w:sz w:val="32"/>
          <w:szCs w:val="32"/>
          <w:highlight w:val="none"/>
          <w:u w:val="none"/>
          <w:lang w:eastAsia="zh-CN"/>
        </w:rPr>
        <w:t>一是严格贯彻落实“过紧日子”要求，坚持厉行节约、压紧支出；二是</w:t>
      </w:r>
      <w:r>
        <w:rPr>
          <w:rFonts w:hint="eastAsia" w:ascii="Times New Roman" w:hAnsi="Times New Roman" w:eastAsia="仿宋_GB2312"/>
          <w:color w:val="auto"/>
          <w:sz w:val="32"/>
          <w:szCs w:val="32"/>
          <w:highlight w:val="none"/>
          <w:u w:val="none"/>
        </w:rPr>
        <w:t>按财政要求，事业单位2024年起独立财务核算</w:t>
      </w:r>
      <w:r>
        <w:rPr>
          <w:rFonts w:hint="default" w:ascii="Times New Roman" w:hAnsi="Times New Roman" w:eastAsia="方正仿宋_GBK" w:cs="方正仿宋_GBK"/>
          <w:b w:val="0"/>
          <w:bCs w:val="0"/>
          <w:color w:val="auto"/>
          <w:kern w:val="0"/>
          <w:sz w:val="32"/>
          <w:szCs w:val="32"/>
          <w:lang w:val="en-US" w:eastAsia="zh-CN"/>
        </w:rPr>
        <w:t>。</w:t>
      </w:r>
      <w:r>
        <w:rPr>
          <w:rFonts w:hint="default" w:ascii="Times New Roman" w:hAnsi="Times New Roman" w:eastAsia="方正仿宋_GBK" w:cs="Times New Roman"/>
          <w:color w:val="auto"/>
          <w:sz w:val="32"/>
          <w:szCs w:val="32"/>
          <w:shd w:val="clear" w:color="auto" w:fill="FFFFFF"/>
        </w:rPr>
        <w:t>此外，</w:t>
      </w:r>
      <w:r>
        <w:rPr>
          <w:rFonts w:hint="eastAsia" w:ascii="Times New Roman" w:hAnsi="Times New Roman" w:eastAsia="仿宋_GB2312"/>
          <w:color w:val="auto"/>
          <w:sz w:val="32"/>
          <w:szCs w:val="32"/>
          <w:highlight w:val="none"/>
          <w:u w:val="none"/>
        </w:rPr>
        <w:t>年初财政拨款结转和结余14.27万元。</w:t>
      </w:r>
    </w:p>
    <w:p w14:paraId="0B11D3EA">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方正仿宋_GBK"/>
          <w:b w:val="0"/>
          <w:bCs w:val="0"/>
          <w:color w:val="auto"/>
          <w:kern w:val="0"/>
          <w:sz w:val="32"/>
          <w:szCs w:val="32"/>
          <w:lang w:val="en-US" w:eastAsia="zh-CN"/>
        </w:rPr>
      </w:pPr>
      <w:r>
        <w:rPr>
          <w:rStyle w:val="7"/>
          <w:rFonts w:hint="default" w:ascii="Times New Roman" w:hAnsi="Times New Roman" w:eastAsia="方正仿宋_GBK" w:cs="Times New Roman"/>
          <w:color w:val="auto"/>
          <w:sz w:val="32"/>
          <w:szCs w:val="32"/>
          <w:shd w:val="clear" w:color="auto" w:fill="FFFFFF"/>
        </w:rPr>
        <w:t>2.支出情况。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年度一般公共预算财政拨款支出</w:t>
      </w:r>
      <w:r>
        <w:rPr>
          <w:rFonts w:hint="eastAsia" w:ascii="Times New Roman" w:hAnsi="Times New Roman" w:eastAsia="仿宋_GB2312"/>
          <w:color w:val="auto"/>
          <w:sz w:val="32"/>
          <w:szCs w:val="32"/>
          <w:highlight w:val="none"/>
          <w:u w:val="none"/>
          <w:lang w:val="en-US" w:eastAsia="zh-CN"/>
        </w:rPr>
        <w:t>1854.42</w:t>
      </w:r>
      <w:r>
        <w:rPr>
          <w:rFonts w:hint="default" w:ascii="Times New Roman" w:hAnsi="Times New Roman" w:eastAsia="方正仿宋_GBK" w:cs="Times New Roman"/>
          <w:color w:val="auto"/>
          <w:sz w:val="32"/>
          <w:szCs w:val="32"/>
          <w:shd w:val="clear" w:color="auto" w:fill="FFFFFF"/>
        </w:rPr>
        <w:t>万元，与2023年度相比</w:t>
      </w:r>
      <w:r>
        <w:rPr>
          <w:rFonts w:hint="eastAsia" w:ascii="Times New Roman" w:hAnsi="Times New Roman" w:eastAsia="方正仿宋_GBK" w:cs="Times New Roman"/>
          <w:color w:val="auto"/>
          <w:sz w:val="32"/>
          <w:szCs w:val="32"/>
          <w:shd w:val="clear" w:color="auto" w:fill="FFFFFF"/>
          <w:lang w:eastAsia="zh-CN"/>
        </w:rPr>
        <w:t>，</w:t>
      </w:r>
      <w:r>
        <w:rPr>
          <w:rFonts w:hint="eastAsia" w:ascii="Times New Roman" w:hAnsi="Times New Roman" w:eastAsia="仿宋_GB2312"/>
          <w:color w:val="auto"/>
          <w:sz w:val="32"/>
          <w:szCs w:val="32"/>
          <w:highlight w:val="none"/>
          <w:u w:val="none"/>
        </w:rPr>
        <w:t>减少</w:t>
      </w:r>
      <w:r>
        <w:rPr>
          <w:rFonts w:hint="eastAsia" w:ascii="Times New Roman" w:hAnsi="Times New Roman" w:eastAsia="仿宋_GB2312"/>
          <w:color w:val="auto"/>
          <w:sz w:val="32"/>
          <w:szCs w:val="32"/>
          <w:highlight w:val="none"/>
          <w:u w:val="none"/>
          <w:lang w:val="en-US" w:eastAsia="zh-CN"/>
        </w:rPr>
        <w:t>257.49</w:t>
      </w:r>
      <w:r>
        <w:rPr>
          <w:rFonts w:hint="default" w:ascii="Times New Roman" w:hAnsi="Times New Roman" w:eastAsia="方正仿宋_GBK" w:cs="方正仿宋_GBK"/>
          <w:b w:val="0"/>
          <w:bCs w:val="0"/>
          <w:color w:val="auto"/>
          <w:kern w:val="0"/>
          <w:sz w:val="32"/>
          <w:szCs w:val="32"/>
        </w:rPr>
        <w:t>万元</w:t>
      </w: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方正仿宋_GBK" w:cs="Times New Roman"/>
          <w:color w:val="auto"/>
          <w:sz w:val="32"/>
          <w:szCs w:val="32"/>
          <w:shd w:val="clear" w:color="auto" w:fill="FFFFFF"/>
          <w:lang w:eastAsia="zh-CN"/>
        </w:rPr>
        <w:t>下降</w:t>
      </w:r>
      <w:r>
        <w:rPr>
          <w:rFonts w:hint="eastAsia" w:ascii="Times New Roman" w:hAnsi="Times New Roman" w:eastAsia="方正仿宋_GBK" w:cs="方正仿宋_GBK"/>
          <w:b w:val="0"/>
          <w:bCs w:val="0"/>
          <w:color w:val="auto"/>
          <w:kern w:val="0"/>
          <w:sz w:val="32"/>
          <w:szCs w:val="32"/>
          <w:lang w:val="en-US" w:eastAsia="zh-CN"/>
        </w:rPr>
        <w:t>12.20</w:t>
      </w:r>
      <w:r>
        <w:rPr>
          <w:rFonts w:hint="default" w:ascii="Times New Roman" w:hAnsi="Times New Roman" w:eastAsia="方正仿宋_GBK" w:cs="方正仿宋_GBK"/>
          <w:b w:val="0"/>
          <w:bCs w:val="0"/>
          <w:color w:val="auto"/>
          <w:kern w:val="0"/>
          <w:sz w:val="32"/>
          <w:szCs w:val="32"/>
        </w:rPr>
        <w:t>%</w:t>
      </w:r>
      <w:r>
        <w:rPr>
          <w:rFonts w:hint="eastAsia" w:ascii="Times New Roman" w:hAnsi="Times New Roman" w:eastAsia="方正仿宋_GBK" w:cs="方正仿宋_GBK"/>
          <w:b w:val="0"/>
          <w:bCs w:val="0"/>
          <w:color w:val="auto"/>
          <w:kern w:val="0"/>
          <w:sz w:val="32"/>
          <w:szCs w:val="32"/>
          <w:lang w:eastAsia="zh-CN"/>
        </w:rPr>
        <w:t>；</w:t>
      </w:r>
      <w:r>
        <w:rPr>
          <w:rFonts w:hint="default" w:ascii="Times New Roman" w:hAnsi="Times New Roman" w:eastAsia="方正仿宋_GBK" w:cs="Times New Roman"/>
          <w:color w:val="auto"/>
          <w:sz w:val="32"/>
          <w:szCs w:val="32"/>
          <w:shd w:val="clear" w:color="auto" w:fill="FFFFFF"/>
        </w:rPr>
        <w:t>主要原因</w:t>
      </w:r>
      <w:r>
        <w:rPr>
          <w:rFonts w:hint="eastAsia" w:ascii="Times New Roman" w:hAnsi="Times New Roman" w:eastAsia="仿宋_GB2312"/>
          <w:color w:val="auto"/>
          <w:sz w:val="32"/>
          <w:szCs w:val="32"/>
          <w:highlight w:val="none"/>
          <w:u w:val="none"/>
          <w:lang w:eastAsia="zh-CN"/>
        </w:rPr>
        <w:t>一是严格贯彻落实“过紧日子”要求，坚持厉行节约、压紧支出；二是</w:t>
      </w:r>
      <w:r>
        <w:rPr>
          <w:rFonts w:hint="eastAsia" w:ascii="Times New Roman" w:hAnsi="Times New Roman" w:eastAsia="仿宋_GB2312"/>
          <w:color w:val="auto"/>
          <w:sz w:val="32"/>
          <w:szCs w:val="32"/>
          <w:highlight w:val="none"/>
          <w:u w:val="none"/>
        </w:rPr>
        <w:t>按财政要求，事业单位</w:t>
      </w:r>
      <w:r>
        <w:rPr>
          <w:rFonts w:hint="eastAsia" w:ascii="Times New Roman" w:hAnsi="Times New Roman" w:eastAsia="仿宋_GB2312"/>
          <w:color w:val="auto"/>
          <w:sz w:val="32"/>
          <w:szCs w:val="32"/>
          <w:highlight w:val="none"/>
          <w:u w:val="none"/>
          <w:lang w:eastAsia="zh-CN"/>
        </w:rPr>
        <w:t>于</w:t>
      </w:r>
      <w:r>
        <w:rPr>
          <w:rFonts w:hint="eastAsia" w:ascii="Times New Roman" w:hAnsi="Times New Roman" w:eastAsia="仿宋_GB2312"/>
          <w:color w:val="auto"/>
          <w:sz w:val="32"/>
          <w:szCs w:val="32"/>
          <w:highlight w:val="none"/>
          <w:u w:val="none"/>
        </w:rPr>
        <w:t>2024年起独立财务核算</w:t>
      </w:r>
      <w:r>
        <w:rPr>
          <w:rFonts w:hint="default" w:ascii="Times New Roman" w:hAnsi="Times New Roman" w:eastAsia="方正仿宋_GBK" w:cs="方正仿宋_GBK"/>
          <w:b w:val="0"/>
          <w:bCs w:val="0"/>
          <w:color w:val="auto"/>
          <w:kern w:val="0"/>
          <w:sz w:val="32"/>
          <w:szCs w:val="32"/>
          <w:lang w:val="en-US" w:eastAsia="zh-CN"/>
        </w:rPr>
        <w:t>。</w:t>
      </w:r>
      <w:r>
        <w:rPr>
          <w:rFonts w:hint="default" w:ascii="Times New Roman" w:hAnsi="Times New Roman" w:eastAsia="方正仿宋_GBK" w:cs="Times New Roman"/>
          <w:color w:val="auto"/>
          <w:sz w:val="32"/>
          <w:szCs w:val="32"/>
          <w:shd w:val="clear" w:color="auto" w:fill="FFFFFF"/>
        </w:rPr>
        <w:t>较年初预算数</w:t>
      </w:r>
      <w:r>
        <w:rPr>
          <w:rFonts w:hint="eastAsia" w:ascii="Times New Roman" w:hAnsi="Times New Roman" w:eastAsia="方正仿宋_GBK" w:cs="Times New Roman"/>
          <w:color w:val="auto"/>
          <w:sz w:val="32"/>
          <w:szCs w:val="32"/>
          <w:shd w:val="clear" w:color="auto" w:fill="FFFFFF"/>
          <w:lang w:eastAsia="zh-CN"/>
        </w:rPr>
        <w:t>减少</w:t>
      </w:r>
      <w:r>
        <w:rPr>
          <w:rFonts w:hint="eastAsia" w:ascii="Times New Roman" w:hAnsi="Times New Roman" w:eastAsia="方正仿宋_GBK" w:cs="Times New Roman"/>
          <w:color w:val="auto"/>
          <w:sz w:val="32"/>
          <w:szCs w:val="32"/>
          <w:shd w:val="clear" w:color="auto" w:fill="FFFFFF"/>
          <w:lang w:val="en-US" w:eastAsia="zh-CN"/>
        </w:rPr>
        <w:t>33.05</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eastAsia="zh-CN"/>
        </w:rPr>
        <w:t>下降</w:t>
      </w:r>
      <w:r>
        <w:rPr>
          <w:rFonts w:hint="eastAsia" w:ascii="Times New Roman" w:hAnsi="Times New Roman" w:eastAsia="方正仿宋_GBK" w:cs="Times New Roman"/>
          <w:color w:val="auto"/>
          <w:sz w:val="32"/>
          <w:szCs w:val="32"/>
          <w:shd w:val="clear" w:color="auto" w:fill="FFFFFF"/>
          <w:lang w:val="en-US" w:eastAsia="zh-CN"/>
        </w:rPr>
        <w:t>1.80</w:t>
      </w:r>
      <w:r>
        <w:rPr>
          <w:rFonts w:hint="default" w:ascii="Times New Roman" w:hAnsi="Times New Roman" w:eastAsia="方正仿宋_GBK" w:cs="Times New Roman"/>
          <w:color w:val="auto"/>
          <w:sz w:val="32"/>
          <w:szCs w:val="32"/>
          <w:shd w:val="clear" w:color="auto" w:fill="FFFFFF"/>
        </w:rPr>
        <w:t>%。主要原因</w:t>
      </w:r>
      <w:r>
        <w:rPr>
          <w:rFonts w:hint="eastAsia" w:ascii="Times New Roman" w:hAnsi="Times New Roman" w:eastAsia="仿宋_GB2312"/>
          <w:color w:val="auto"/>
          <w:sz w:val="32"/>
          <w:szCs w:val="32"/>
          <w:highlight w:val="none"/>
          <w:u w:val="none"/>
          <w:lang w:eastAsia="zh-CN"/>
        </w:rPr>
        <w:t>一是严格贯彻落实“过紧日子”要求，坚持厉行节约、压紧支出；二是</w:t>
      </w:r>
      <w:r>
        <w:rPr>
          <w:rFonts w:hint="eastAsia" w:ascii="Times New Roman" w:hAnsi="Times New Roman" w:eastAsia="仿宋_GB2312"/>
          <w:color w:val="auto"/>
          <w:sz w:val="32"/>
          <w:szCs w:val="32"/>
          <w:highlight w:val="none"/>
          <w:u w:val="none"/>
        </w:rPr>
        <w:t>按财政要求，事业单位</w:t>
      </w:r>
      <w:r>
        <w:rPr>
          <w:rFonts w:hint="eastAsia" w:ascii="Times New Roman" w:hAnsi="Times New Roman" w:eastAsia="仿宋_GB2312"/>
          <w:color w:val="auto"/>
          <w:sz w:val="32"/>
          <w:szCs w:val="32"/>
          <w:highlight w:val="none"/>
          <w:u w:val="none"/>
          <w:lang w:eastAsia="zh-CN"/>
        </w:rPr>
        <w:t>于</w:t>
      </w:r>
      <w:r>
        <w:rPr>
          <w:rFonts w:hint="eastAsia" w:ascii="Times New Roman" w:hAnsi="Times New Roman" w:eastAsia="仿宋_GB2312"/>
          <w:color w:val="auto"/>
          <w:sz w:val="32"/>
          <w:szCs w:val="32"/>
          <w:highlight w:val="none"/>
          <w:u w:val="none"/>
        </w:rPr>
        <w:t>2024年起独立财务核算</w:t>
      </w:r>
      <w:r>
        <w:rPr>
          <w:rFonts w:hint="default" w:ascii="Times New Roman" w:hAnsi="Times New Roman" w:eastAsia="方正仿宋_GBK" w:cs="方正仿宋_GBK"/>
          <w:b w:val="0"/>
          <w:bCs w:val="0"/>
          <w:color w:val="auto"/>
          <w:kern w:val="0"/>
          <w:sz w:val="32"/>
          <w:szCs w:val="32"/>
          <w:lang w:val="en-US" w:eastAsia="zh-CN"/>
        </w:rPr>
        <w:t>。</w:t>
      </w:r>
    </w:p>
    <w:p w14:paraId="663EA2F9">
      <w:pPr>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94" w:lineRule="exact"/>
        <w:ind w:left="0" w:firstLine="643" w:firstLineChars="200"/>
        <w:jc w:val="both"/>
        <w:textAlignment w:val="auto"/>
        <w:rPr>
          <w:rFonts w:hint="eastAsia" w:ascii="Times New Roman" w:hAnsi="Times New Roman" w:eastAsia="方正仿宋_GBK" w:cs="Times New Roman"/>
          <w:color w:val="auto"/>
          <w:sz w:val="32"/>
          <w:szCs w:val="32"/>
          <w:shd w:val="clear" w:color="auto" w:fill="FFFFFF"/>
          <w:lang w:eastAsia="zh-CN"/>
        </w:rPr>
      </w:pPr>
      <w:r>
        <w:rPr>
          <w:rStyle w:val="7"/>
          <w:rFonts w:hint="default" w:ascii="Times New Roman" w:hAnsi="Times New Roman" w:eastAsia="方正仿宋_GBK" w:cs="Times New Roman"/>
          <w:color w:val="auto"/>
          <w:sz w:val="32"/>
          <w:szCs w:val="32"/>
          <w:shd w:val="clear" w:color="auto" w:fill="FFFFFF"/>
        </w:rPr>
        <w:t>3.结转结余情况。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年度年末一般公共预算财政拨款结转和结余</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与2023年度相比，无增减</w:t>
      </w:r>
      <w:r>
        <w:rPr>
          <w:rFonts w:hint="eastAsia" w:ascii="Times New Roman" w:hAnsi="Times New Roman" w:eastAsia="方正仿宋_GBK" w:cs="Times New Roman"/>
          <w:color w:val="auto"/>
          <w:sz w:val="32"/>
          <w:szCs w:val="32"/>
          <w:shd w:val="clear" w:color="auto" w:fill="FFFFFF"/>
          <w:lang w:eastAsia="zh-CN"/>
        </w:rPr>
        <w:t>。</w:t>
      </w:r>
    </w:p>
    <w:p w14:paraId="2D1128DC">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highlight w:val="cyan"/>
          <w:shd w:val="clear" w:color="auto" w:fill="FFFFFF"/>
        </w:rPr>
      </w:pPr>
      <w:r>
        <w:rPr>
          <w:rStyle w:val="7"/>
          <w:rFonts w:hint="default" w:ascii="Times New Roman" w:hAnsi="Times New Roman" w:eastAsia="方正仿宋_GBK" w:cs="Times New Roman"/>
          <w:color w:val="auto"/>
          <w:sz w:val="32"/>
          <w:szCs w:val="32"/>
          <w:shd w:val="clear" w:color="auto" w:fill="FFFFFF"/>
        </w:rPr>
        <w:t>4.比较情况。</w:t>
      </w:r>
      <w:r>
        <w:rPr>
          <w:rFonts w:hint="default" w:ascii="Times New Roman" w:hAnsi="Times New Roman" w:eastAsia="方正仿宋_GBK" w:cs="Times New Roman"/>
          <w:color w:val="auto"/>
          <w:sz w:val="32"/>
          <w:szCs w:val="32"/>
          <w:shd w:val="clear" w:color="auto" w:fill="FFFFFF"/>
        </w:rPr>
        <w:t>本部门202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年度一般公共预算财政拨款支出主要用于以下几个方面：</w:t>
      </w:r>
    </w:p>
    <w:p w14:paraId="79B8F83A">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kern w:val="0"/>
          <w:sz w:val="32"/>
          <w:szCs w:val="32"/>
          <w:lang w:val="en-US" w:eastAsia="zh-CN"/>
        </w:rPr>
      </w:pPr>
      <w:r>
        <w:rPr>
          <w:rFonts w:hint="default" w:ascii="Times New Roman" w:hAnsi="Times New Roman" w:eastAsia="方正仿宋_GBK" w:cs="Times New Roman"/>
          <w:color w:val="auto"/>
          <w:sz w:val="32"/>
          <w:szCs w:val="32"/>
          <w:shd w:val="clear" w:color="auto" w:fill="FFFFFF"/>
        </w:rPr>
        <w:t>（1）一般公共服务支出</w:t>
      </w:r>
      <w:r>
        <w:rPr>
          <w:rFonts w:hint="eastAsia" w:ascii="Times New Roman" w:hAnsi="Times New Roman" w:eastAsia="方正仿宋_GBK" w:cs="Times New Roman"/>
          <w:color w:val="auto"/>
          <w:sz w:val="32"/>
          <w:szCs w:val="32"/>
          <w:lang w:val="en-US" w:eastAsia="zh-CN"/>
        </w:rPr>
        <w:t>1349.11</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72.75</w:t>
      </w:r>
      <w:r>
        <w:rPr>
          <w:rFonts w:hint="default" w:ascii="Times New Roman" w:hAnsi="Times New Roman" w:eastAsia="方正仿宋_GBK" w:cs="Times New Roman"/>
          <w:color w:val="auto"/>
          <w:sz w:val="32"/>
          <w:szCs w:val="32"/>
          <w:shd w:val="clear" w:color="auto" w:fill="FFFFFF"/>
        </w:rPr>
        <w:t>%，较年初预算数减少</w:t>
      </w:r>
      <w:r>
        <w:rPr>
          <w:rFonts w:hint="eastAsia" w:ascii="Times New Roman" w:hAnsi="Times New Roman" w:eastAsia="方正仿宋_GBK" w:cs="Times New Roman"/>
          <w:color w:val="auto"/>
          <w:sz w:val="32"/>
          <w:szCs w:val="32"/>
          <w:shd w:val="clear" w:color="auto" w:fill="FFFFFF"/>
          <w:lang w:val="en-US" w:eastAsia="zh-CN"/>
        </w:rPr>
        <w:t>89.21</w:t>
      </w:r>
      <w:r>
        <w:rPr>
          <w:rFonts w:hint="default" w:ascii="Times New Roman" w:hAnsi="Times New Roman" w:eastAsia="方正仿宋_GBK" w:cs="Times New Roman"/>
          <w:color w:val="auto"/>
          <w:sz w:val="32"/>
          <w:szCs w:val="32"/>
          <w:shd w:val="clear" w:color="auto" w:fill="FFFFFF"/>
        </w:rPr>
        <w:t>万元，下降</w:t>
      </w:r>
      <w:r>
        <w:rPr>
          <w:rFonts w:hint="eastAsia" w:ascii="Times New Roman" w:hAnsi="Times New Roman" w:eastAsia="方正仿宋_GBK" w:cs="Times New Roman"/>
          <w:color w:val="auto"/>
          <w:sz w:val="32"/>
          <w:szCs w:val="32"/>
          <w:shd w:val="clear" w:color="auto" w:fill="FFFFFF"/>
          <w:lang w:val="en-US" w:eastAsia="zh-CN"/>
        </w:rPr>
        <w:t>6.2</w:t>
      </w:r>
      <w:r>
        <w:rPr>
          <w:rFonts w:hint="default" w:ascii="Times New Roman" w:hAnsi="Times New Roman" w:eastAsia="方正仿宋_GBK" w:cs="Times New Roman"/>
          <w:color w:val="auto"/>
          <w:sz w:val="32"/>
          <w:szCs w:val="32"/>
          <w:shd w:val="clear" w:color="auto" w:fill="FFFFFF"/>
        </w:rPr>
        <w:t>%，主要原因</w:t>
      </w:r>
      <w:r>
        <w:rPr>
          <w:rFonts w:hint="eastAsia" w:ascii="Times New Roman" w:hAnsi="Times New Roman" w:eastAsia="仿宋_GB2312"/>
          <w:color w:val="auto"/>
          <w:sz w:val="32"/>
          <w:szCs w:val="32"/>
          <w:highlight w:val="none"/>
          <w:u w:val="none"/>
          <w:lang w:eastAsia="zh-CN"/>
        </w:rPr>
        <w:t>一是严格贯彻落实“过紧日子”要求，坚持厉行节约、压紧支出；二是</w:t>
      </w:r>
      <w:r>
        <w:rPr>
          <w:rFonts w:hint="eastAsia" w:ascii="Times New Roman" w:hAnsi="Times New Roman" w:eastAsia="仿宋_GB2312"/>
          <w:color w:val="auto"/>
          <w:sz w:val="32"/>
          <w:szCs w:val="32"/>
          <w:highlight w:val="none"/>
          <w:u w:val="none"/>
        </w:rPr>
        <w:t>按财政要求，事业单位</w:t>
      </w:r>
      <w:r>
        <w:rPr>
          <w:rFonts w:hint="eastAsia" w:ascii="Times New Roman" w:hAnsi="Times New Roman" w:eastAsia="仿宋_GB2312"/>
          <w:color w:val="auto"/>
          <w:sz w:val="32"/>
          <w:szCs w:val="32"/>
          <w:highlight w:val="none"/>
          <w:u w:val="none"/>
          <w:lang w:eastAsia="zh-CN"/>
        </w:rPr>
        <w:t>于</w:t>
      </w:r>
      <w:r>
        <w:rPr>
          <w:rFonts w:hint="eastAsia" w:ascii="Times New Roman" w:hAnsi="Times New Roman" w:eastAsia="仿宋_GB2312"/>
          <w:color w:val="auto"/>
          <w:sz w:val="32"/>
          <w:szCs w:val="32"/>
          <w:highlight w:val="none"/>
          <w:u w:val="none"/>
        </w:rPr>
        <w:t>2024年起独立财务核算</w:t>
      </w:r>
      <w:r>
        <w:rPr>
          <w:rFonts w:hint="default" w:ascii="Times New Roman" w:hAnsi="Times New Roman" w:eastAsia="方正仿宋_GBK" w:cs="方正仿宋_GBK"/>
          <w:b w:val="0"/>
          <w:bCs w:val="0"/>
          <w:color w:val="auto"/>
          <w:kern w:val="0"/>
          <w:sz w:val="32"/>
          <w:szCs w:val="32"/>
          <w:lang w:val="en-US" w:eastAsia="zh-CN"/>
        </w:rPr>
        <w:t>。</w:t>
      </w:r>
    </w:p>
    <w:p w14:paraId="2A76B42B">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）社会保障与就业支出</w:t>
      </w:r>
      <w:r>
        <w:rPr>
          <w:rFonts w:hint="eastAsia" w:ascii="Times New Roman" w:hAnsi="Times New Roman" w:eastAsia="方正仿宋_GBK" w:cs="Times New Roman"/>
          <w:color w:val="auto"/>
          <w:sz w:val="32"/>
          <w:szCs w:val="32"/>
          <w:lang w:val="en-US" w:eastAsia="zh-CN"/>
        </w:rPr>
        <w:t>354.49</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19.12</w:t>
      </w:r>
      <w:r>
        <w:rPr>
          <w:rFonts w:hint="default" w:ascii="Times New Roman" w:hAnsi="Times New Roman" w:eastAsia="方正仿宋_GBK" w:cs="Times New Roman"/>
          <w:color w:val="auto"/>
          <w:sz w:val="32"/>
          <w:szCs w:val="32"/>
          <w:shd w:val="clear" w:color="auto" w:fill="FFFFFF"/>
        </w:rPr>
        <w:t>%，较年初预算数增加</w:t>
      </w:r>
      <w:r>
        <w:rPr>
          <w:rFonts w:hint="eastAsia" w:ascii="Times New Roman" w:hAnsi="Times New Roman" w:eastAsia="方正仿宋_GBK" w:cs="Times New Roman"/>
          <w:color w:val="auto"/>
          <w:sz w:val="32"/>
          <w:szCs w:val="32"/>
          <w:shd w:val="clear" w:color="auto" w:fill="FFFFFF"/>
          <w:lang w:val="en-US" w:eastAsia="zh-CN"/>
        </w:rPr>
        <w:t>54.14</w:t>
      </w:r>
      <w:r>
        <w:rPr>
          <w:rFonts w:hint="default" w:ascii="Times New Roman" w:hAnsi="Times New Roman" w:eastAsia="方正仿宋_GBK" w:cs="Times New Roman"/>
          <w:color w:val="auto"/>
          <w:sz w:val="32"/>
          <w:szCs w:val="32"/>
          <w:shd w:val="clear" w:color="auto" w:fill="FFFFFF"/>
        </w:rPr>
        <w:t>万元，增长</w:t>
      </w:r>
      <w:r>
        <w:rPr>
          <w:rFonts w:hint="eastAsia" w:ascii="Times New Roman" w:hAnsi="Times New Roman" w:eastAsia="方正仿宋_GBK" w:cs="Times New Roman"/>
          <w:color w:val="auto"/>
          <w:sz w:val="32"/>
          <w:szCs w:val="32"/>
          <w:shd w:val="clear" w:color="auto" w:fill="FFFFFF"/>
          <w:lang w:val="en-US" w:eastAsia="zh-CN"/>
        </w:rPr>
        <w:t>18.00</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社保基数调整。</w:t>
      </w:r>
    </w:p>
    <w:p w14:paraId="1F8E9490">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）卫生健康支出</w:t>
      </w:r>
      <w:r>
        <w:rPr>
          <w:rFonts w:hint="eastAsia" w:ascii="Times New Roman" w:hAnsi="Times New Roman" w:eastAsia="方正仿宋_GBK" w:cs="Times New Roman"/>
          <w:color w:val="auto"/>
          <w:sz w:val="32"/>
          <w:szCs w:val="32"/>
          <w:lang w:val="en-US" w:eastAsia="zh-CN"/>
        </w:rPr>
        <w:t>63.70</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3.43</w:t>
      </w:r>
      <w:r>
        <w:rPr>
          <w:rFonts w:hint="default" w:ascii="Times New Roman" w:hAnsi="Times New Roman" w:eastAsia="方正仿宋_GBK" w:cs="Times New Roman"/>
          <w:color w:val="auto"/>
          <w:sz w:val="32"/>
          <w:szCs w:val="32"/>
          <w:shd w:val="clear" w:color="auto" w:fill="FFFFFF"/>
        </w:rPr>
        <w:t>%，较年初预算数减少</w:t>
      </w:r>
      <w:r>
        <w:rPr>
          <w:rFonts w:hint="eastAsia" w:ascii="Times New Roman" w:hAnsi="Times New Roman" w:eastAsia="方正仿宋_GBK" w:cs="Times New Roman"/>
          <w:color w:val="auto"/>
          <w:sz w:val="32"/>
          <w:szCs w:val="32"/>
          <w:shd w:val="clear" w:color="auto" w:fill="FFFFFF"/>
          <w:lang w:val="en-US" w:eastAsia="zh-CN"/>
        </w:rPr>
        <w:t>0.17</w:t>
      </w:r>
      <w:r>
        <w:rPr>
          <w:rFonts w:hint="default" w:ascii="Times New Roman" w:hAnsi="Times New Roman" w:eastAsia="方正仿宋_GBK" w:cs="Times New Roman"/>
          <w:color w:val="auto"/>
          <w:sz w:val="32"/>
          <w:szCs w:val="32"/>
          <w:shd w:val="clear" w:color="auto" w:fill="FFFFFF"/>
        </w:rPr>
        <w:t>万元，下降</w:t>
      </w:r>
      <w:r>
        <w:rPr>
          <w:rFonts w:hint="eastAsia" w:ascii="Times New Roman" w:hAnsi="Times New Roman" w:eastAsia="方正仿宋_GBK" w:cs="Times New Roman"/>
          <w:color w:val="auto"/>
          <w:sz w:val="32"/>
          <w:szCs w:val="32"/>
          <w:shd w:val="clear" w:color="auto" w:fill="FFFFFF"/>
          <w:lang w:val="en-US" w:eastAsia="zh-CN"/>
        </w:rPr>
        <w:t>0.30</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实有人数减少</w:t>
      </w:r>
      <w:r>
        <w:rPr>
          <w:rFonts w:hint="eastAsia" w:ascii="Times New Roman" w:hAnsi="Times New Roman" w:eastAsia="方正仿宋_GBK" w:cs="Times New Roman"/>
          <w:color w:val="auto"/>
          <w:sz w:val="32"/>
          <w:szCs w:val="32"/>
          <w:shd w:val="clear" w:color="auto" w:fill="FFFFFF"/>
          <w:lang w:eastAsia="zh-CN"/>
        </w:rPr>
        <w:t>，退休人员增加</w:t>
      </w:r>
      <w:r>
        <w:rPr>
          <w:rFonts w:hint="default" w:ascii="Times New Roman" w:hAnsi="Times New Roman" w:eastAsia="方正仿宋_GBK" w:cs="Times New Roman"/>
          <w:color w:val="auto"/>
          <w:sz w:val="32"/>
          <w:szCs w:val="32"/>
          <w:shd w:val="clear" w:color="auto" w:fill="FFFFFF"/>
          <w:lang w:eastAsia="zh-CN"/>
        </w:rPr>
        <w:t>。</w:t>
      </w:r>
    </w:p>
    <w:p w14:paraId="423E7ED1">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rPr>
        <w:t>住房保障支出</w:t>
      </w:r>
      <w:r>
        <w:rPr>
          <w:rFonts w:hint="eastAsia" w:ascii="Times New Roman" w:hAnsi="Times New Roman" w:eastAsia="方正仿宋_GBK" w:cs="Times New Roman"/>
          <w:color w:val="auto"/>
          <w:sz w:val="32"/>
          <w:szCs w:val="32"/>
          <w:lang w:val="en-US" w:eastAsia="zh-CN"/>
        </w:rPr>
        <w:t>87.12</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4.70</w:t>
      </w:r>
      <w:r>
        <w:rPr>
          <w:rFonts w:hint="default" w:ascii="Times New Roman" w:hAnsi="Times New Roman" w:eastAsia="方正仿宋_GBK" w:cs="Times New Roman"/>
          <w:color w:val="auto"/>
          <w:sz w:val="32"/>
          <w:szCs w:val="32"/>
          <w:shd w:val="clear" w:color="auto" w:fill="FFFFFF"/>
        </w:rPr>
        <w:t>%，较年初预算数</w:t>
      </w:r>
      <w:r>
        <w:rPr>
          <w:rFonts w:hint="eastAsia" w:ascii="Times New Roman" w:hAnsi="Times New Roman" w:eastAsia="方正仿宋_GBK" w:cs="Times New Roman"/>
          <w:color w:val="auto"/>
          <w:sz w:val="32"/>
          <w:szCs w:val="32"/>
          <w:shd w:val="clear" w:color="auto" w:fill="FFFFFF"/>
          <w:lang w:eastAsia="zh-CN"/>
        </w:rPr>
        <w:t>增加</w:t>
      </w:r>
      <w:r>
        <w:rPr>
          <w:rFonts w:hint="eastAsia" w:ascii="Times New Roman" w:hAnsi="Times New Roman" w:eastAsia="方正仿宋_GBK" w:cs="Times New Roman"/>
          <w:color w:val="auto"/>
          <w:sz w:val="32"/>
          <w:szCs w:val="32"/>
          <w:shd w:val="clear" w:color="auto" w:fill="FFFFFF"/>
          <w:lang w:val="en-US" w:eastAsia="zh-CN"/>
        </w:rPr>
        <w:t>2.18</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eastAsia="zh-CN"/>
        </w:rPr>
        <w:t>上升</w:t>
      </w:r>
      <w:r>
        <w:rPr>
          <w:rFonts w:hint="eastAsia" w:ascii="Times New Roman" w:hAnsi="Times New Roman" w:eastAsia="方正仿宋_GBK" w:cs="Times New Roman"/>
          <w:color w:val="auto"/>
          <w:sz w:val="32"/>
          <w:szCs w:val="32"/>
          <w:shd w:val="clear" w:color="auto" w:fill="FFFFFF"/>
          <w:lang w:val="en-US" w:eastAsia="zh-CN"/>
        </w:rPr>
        <w:t>2.60</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eastAsia="zh-CN"/>
        </w:rPr>
        <w:t>事业人员职级和工资的变动</w:t>
      </w:r>
      <w:r>
        <w:rPr>
          <w:rFonts w:hint="default" w:ascii="Times New Roman" w:hAnsi="Times New Roman" w:eastAsia="方正仿宋_GBK" w:cs="Times New Roman"/>
          <w:color w:val="auto"/>
          <w:sz w:val="32"/>
          <w:szCs w:val="32"/>
          <w:shd w:val="clear" w:color="auto" w:fill="FFFFFF"/>
          <w:lang w:val="en-US" w:eastAsia="zh-CN"/>
        </w:rPr>
        <w:t>。</w:t>
      </w:r>
    </w:p>
    <w:p w14:paraId="0CB7CD64">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（四）一般公共预算财政拨款基本支出决算情况说明</w:t>
      </w:r>
    </w:p>
    <w:p w14:paraId="77295CED">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年度一般公共财政拨款基本支出</w:t>
      </w:r>
      <w:r>
        <w:rPr>
          <w:rFonts w:hint="eastAsia" w:ascii="Times New Roman" w:hAnsi="Times New Roman" w:eastAsia="方正仿宋_GBK" w:cs="Times New Roman"/>
          <w:color w:val="auto"/>
          <w:sz w:val="32"/>
          <w:szCs w:val="32"/>
          <w:shd w:val="clear" w:color="auto" w:fill="FFFFFF"/>
          <w:lang w:val="en-US" w:eastAsia="zh-CN"/>
        </w:rPr>
        <w:t>1396.47</w:t>
      </w:r>
      <w:r>
        <w:rPr>
          <w:rFonts w:hint="default" w:ascii="Times New Roman" w:hAnsi="Times New Roman" w:eastAsia="方正仿宋_GBK" w:cs="Times New Roman"/>
          <w:color w:val="auto"/>
          <w:sz w:val="32"/>
          <w:szCs w:val="32"/>
          <w:shd w:val="clear" w:color="auto" w:fill="FFFFFF"/>
        </w:rPr>
        <w:t>万元。其中：人员经费</w:t>
      </w:r>
      <w:r>
        <w:rPr>
          <w:rFonts w:hint="eastAsia" w:ascii="Times New Roman" w:hAnsi="Times New Roman" w:eastAsia="方正仿宋_GBK" w:cs="Times New Roman"/>
          <w:color w:val="auto"/>
          <w:sz w:val="32"/>
          <w:szCs w:val="32"/>
          <w:shd w:val="clear" w:color="auto" w:fill="FFFFFF"/>
          <w:lang w:val="en-US" w:eastAsia="zh-CN"/>
        </w:rPr>
        <w:t>1179.43</w:t>
      </w:r>
      <w:r>
        <w:rPr>
          <w:rFonts w:hint="default" w:ascii="Times New Roman" w:hAnsi="Times New Roman" w:eastAsia="方正仿宋_GBK" w:cs="Times New Roman"/>
          <w:color w:val="auto"/>
          <w:sz w:val="32"/>
          <w:szCs w:val="32"/>
          <w:shd w:val="clear" w:color="auto" w:fill="FFFFFF"/>
        </w:rPr>
        <w:t>万元，与2023年度相比，</w:t>
      </w:r>
      <w:r>
        <w:rPr>
          <w:rFonts w:hint="eastAsia" w:ascii="Times New Roman" w:hAnsi="Times New Roman" w:eastAsia="方正仿宋_GBK" w:cs="Times New Roman"/>
          <w:color w:val="auto"/>
          <w:sz w:val="32"/>
          <w:szCs w:val="32"/>
          <w:shd w:val="clear" w:color="auto" w:fill="FFFFFF"/>
          <w:lang w:eastAsia="zh-CN"/>
        </w:rPr>
        <w:t>减少</w:t>
      </w:r>
      <w:r>
        <w:rPr>
          <w:rFonts w:hint="eastAsia" w:ascii="Times New Roman" w:hAnsi="Times New Roman" w:eastAsia="方正仿宋_GBK" w:cs="Times New Roman"/>
          <w:color w:val="auto"/>
          <w:sz w:val="32"/>
          <w:szCs w:val="32"/>
          <w:shd w:val="clear" w:color="auto" w:fill="FFFFFF"/>
          <w:lang w:val="en-US" w:eastAsia="zh-CN"/>
        </w:rPr>
        <w:t>149.16</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eastAsia="zh-CN"/>
        </w:rPr>
        <w:t>下降</w:t>
      </w:r>
      <w:r>
        <w:rPr>
          <w:rFonts w:hint="eastAsia" w:ascii="Times New Roman" w:hAnsi="Times New Roman" w:eastAsia="方正仿宋_GBK" w:cs="Times New Roman"/>
          <w:color w:val="auto"/>
          <w:sz w:val="32"/>
          <w:szCs w:val="32"/>
          <w:shd w:val="clear" w:color="auto" w:fill="FFFFFF"/>
          <w:lang w:val="en-US" w:eastAsia="zh-CN"/>
        </w:rPr>
        <w:t>11.2</w:t>
      </w: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主要原因</w:t>
      </w:r>
      <w:r>
        <w:rPr>
          <w:rFonts w:hint="eastAsia" w:ascii="Times New Roman" w:hAnsi="Times New Roman" w:eastAsia="方正仿宋_GBK" w:cs="Times New Roman"/>
          <w:color w:val="auto"/>
          <w:sz w:val="32"/>
          <w:szCs w:val="32"/>
          <w:shd w:val="clear" w:color="auto" w:fill="FFFFFF"/>
          <w:lang w:eastAsia="zh-CN"/>
        </w:rPr>
        <w:t>是按照财政要求，事业单位于</w:t>
      </w:r>
      <w:r>
        <w:rPr>
          <w:rFonts w:hint="eastAsia" w:ascii="Times New Roman" w:hAnsi="Times New Roman" w:eastAsia="方正仿宋_GBK" w:cs="Times New Roman"/>
          <w:color w:val="auto"/>
          <w:sz w:val="32"/>
          <w:szCs w:val="32"/>
          <w:shd w:val="clear" w:color="auto" w:fill="FFFFFF"/>
          <w:lang w:val="en-US" w:eastAsia="zh-CN"/>
        </w:rPr>
        <w:t>2024年单独核算。</w:t>
      </w:r>
      <w:r>
        <w:rPr>
          <w:rFonts w:hint="default" w:ascii="Times New Roman" w:hAnsi="Times New Roman" w:eastAsia="方正仿宋_GBK" w:cs="Times New Roman"/>
          <w:color w:val="auto"/>
          <w:sz w:val="32"/>
          <w:szCs w:val="32"/>
          <w:shd w:val="clear" w:color="auto" w:fill="FFFFFF"/>
        </w:rPr>
        <w:t>人员经费用途主要包括基本工资、津贴补贴、奖金、绩效工资、机关事业单位基本养老保险缴费、职业年金缴费、职工基本医疗保险缴费、其他社会保障缴费、住房公积金、医疗费、其他工资福利支出、离休费、抚恤金、生活补助、医疗费补助、其他对个人和家庭的补助。公用经费</w:t>
      </w:r>
      <w:r>
        <w:rPr>
          <w:rFonts w:hint="eastAsia" w:ascii="Times New Roman" w:hAnsi="Times New Roman" w:eastAsia="方正仿宋_GBK" w:cs="Times New Roman"/>
          <w:color w:val="auto"/>
          <w:sz w:val="32"/>
          <w:szCs w:val="32"/>
          <w:shd w:val="clear" w:color="auto" w:fill="FFFFFF"/>
          <w:lang w:val="en-US" w:eastAsia="zh-CN"/>
        </w:rPr>
        <w:t>217.03</w:t>
      </w:r>
      <w:r>
        <w:rPr>
          <w:rFonts w:hint="default" w:ascii="Times New Roman" w:hAnsi="Times New Roman" w:eastAsia="方正仿宋_GBK" w:cs="Times New Roman"/>
          <w:color w:val="auto"/>
          <w:sz w:val="32"/>
          <w:szCs w:val="32"/>
          <w:shd w:val="clear" w:color="auto" w:fill="FFFFFF"/>
        </w:rPr>
        <w:t>万元，与2023年度相比，</w:t>
      </w:r>
      <w:r>
        <w:rPr>
          <w:rFonts w:hint="eastAsia" w:ascii="Times New Roman" w:hAnsi="Times New Roman" w:eastAsia="方正仿宋_GBK" w:cs="Times New Roman"/>
          <w:color w:val="auto"/>
          <w:sz w:val="32"/>
          <w:szCs w:val="32"/>
          <w:shd w:val="clear" w:color="auto" w:fill="FFFFFF"/>
          <w:lang w:eastAsia="zh-CN"/>
        </w:rPr>
        <w:t>增加</w:t>
      </w:r>
      <w:r>
        <w:rPr>
          <w:rFonts w:hint="eastAsia" w:ascii="Times New Roman" w:hAnsi="Times New Roman" w:eastAsia="方正仿宋_GBK" w:cs="Times New Roman"/>
          <w:color w:val="auto"/>
          <w:sz w:val="32"/>
          <w:szCs w:val="32"/>
          <w:shd w:val="clear" w:color="auto" w:fill="FFFFFF"/>
          <w:lang w:val="en-US" w:eastAsia="zh-CN"/>
        </w:rPr>
        <w:t>3.72</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eastAsia="zh-CN"/>
        </w:rPr>
        <w:t>上升</w:t>
      </w:r>
      <w:r>
        <w:rPr>
          <w:rFonts w:hint="eastAsia" w:ascii="Times New Roman" w:hAnsi="Times New Roman" w:eastAsia="方正仿宋_GBK" w:cs="Times New Roman"/>
          <w:color w:val="auto"/>
          <w:sz w:val="32"/>
          <w:szCs w:val="32"/>
          <w:shd w:val="clear" w:color="auto" w:fill="FFFFFF"/>
          <w:lang w:val="en-US" w:eastAsia="zh-CN"/>
        </w:rPr>
        <w:t>1.74</w:t>
      </w:r>
      <w:r>
        <w:rPr>
          <w:rFonts w:hint="default" w:ascii="Times New Roman" w:hAnsi="Times New Roman" w:eastAsia="方正仿宋_GBK" w:cs="Times New Roman"/>
          <w:color w:val="auto"/>
          <w:sz w:val="32"/>
          <w:szCs w:val="32"/>
          <w:shd w:val="clear" w:color="auto" w:fill="FFFFFF"/>
        </w:rPr>
        <w:t>%，主要原因</w:t>
      </w:r>
      <w:r>
        <w:rPr>
          <w:rFonts w:hint="eastAsia" w:ascii="Times New Roman" w:hAnsi="Times New Roman" w:eastAsia="方正仿宋_GBK" w:cs="Times New Roman"/>
          <w:color w:val="auto"/>
          <w:sz w:val="32"/>
          <w:szCs w:val="32"/>
          <w:shd w:val="clear" w:color="auto" w:fill="FFFFFF"/>
          <w:lang w:eastAsia="zh-CN"/>
        </w:rPr>
        <w:t>一</w:t>
      </w:r>
      <w:r>
        <w:rPr>
          <w:rFonts w:hint="default" w:ascii="Times New Roman" w:hAnsi="Times New Roman" w:eastAsia="方正仿宋_GBK" w:cs="Times New Roman"/>
          <w:color w:val="auto"/>
          <w:sz w:val="32"/>
          <w:szCs w:val="32"/>
          <w:shd w:val="clear" w:color="auto" w:fill="FFFFFF"/>
        </w:rPr>
        <w:t>是</w:t>
      </w:r>
      <w:r>
        <w:rPr>
          <w:rFonts w:hint="eastAsia" w:ascii="Times New Roman" w:hAnsi="Times New Roman" w:eastAsia="方正仿宋_GBK" w:cs="Times New Roman"/>
          <w:color w:val="auto"/>
          <w:sz w:val="32"/>
          <w:szCs w:val="32"/>
          <w:shd w:val="clear" w:color="auto" w:fill="FFFFFF"/>
          <w:lang w:eastAsia="zh-CN"/>
        </w:rPr>
        <w:t>按照财政要求，事业单位于</w:t>
      </w:r>
      <w:r>
        <w:rPr>
          <w:rFonts w:hint="eastAsia" w:ascii="Times New Roman" w:hAnsi="Times New Roman" w:eastAsia="方正仿宋_GBK" w:cs="Times New Roman"/>
          <w:color w:val="auto"/>
          <w:sz w:val="32"/>
          <w:szCs w:val="32"/>
          <w:shd w:val="clear" w:color="auto" w:fill="FFFFFF"/>
          <w:lang w:val="en-US" w:eastAsia="zh-CN"/>
        </w:rPr>
        <w:t>2024年单独核算，二是政协机关公用经费在减少，事业单位公用经费在增加，是因为事业单位单独核算后，培训费用增加。</w:t>
      </w:r>
      <w:r>
        <w:rPr>
          <w:rFonts w:hint="default" w:ascii="Times New Roman" w:hAnsi="Times New Roman" w:eastAsia="方正仿宋_GBK" w:cs="Times New Roman"/>
          <w:color w:val="auto"/>
          <w:sz w:val="32"/>
          <w:szCs w:val="32"/>
          <w:shd w:val="clear" w:color="auto" w:fill="FFFFFF"/>
        </w:rPr>
        <w:t>公用经费用途主要包括办公费、邮电费、差旅费、培训费、劳务费、工会经费、福利费、公务用车运行维护费、其他交通费用、其他商品和服务支出。</w:t>
      </w:r>
    </w:p>
    <w:p w14:paraId="7E2F1F2E">
      <w:pPr>
        <w:pStyle w:val="8"/>
        <w:keepNext w:val="0"/>
        <w:keepLines w:val="0"/>
        <w:pageBreakBefore w:val="0"/>
        <w:widowControl/>
        <w:kinsoku/>
        <w:wordWrap/>
        <w:overflowPunct/>
        <w:topLinePunct w:val="0"/>
        <w:autoSpaceDE w:val="0"/>
        <w:autoSpaceDN/>
        <w:bidi w:val="0"/>
        <w:adjustRightInd/>
        <w:spacing w:beforeAutospacing="0" w:afterAutospacing="0" w:line="594" w:lineRule="exact"/>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（五）政府性基金预算收支决算情况说明</w:t>
      </w:r>
    </w:p>
    <w:p w14:paraId="26ACC382">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本部门202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年度无政府性基金预算财政拨款收支。</w:t>
      </w:r>
    </w:p>
    <w:p w14:paraId="772E7E1F">
      <w:pPr>
        <w:pStyle w:val="8"/>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（六）国有资本经营预算财政拨款支出决算情况说明</w:t>
      </w:r>
    </w:p>
    <w:p w14:paraId="49EAF7D8">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本部门202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年度无国有资本经营预算财政拨款支出。</w:t>
      </w:r>
    </w:p>
    <w:p w14:paraId="72B3ECD4">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rPr>
        <w:t>“三公”经费情况说明</w:t>
      </w:r>
    </w:p>
    <w:p w14:paraId="3875F4BF">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（一）“三公”经费支出总体情况说明</w:t>
      </w:r>
    </w:p>
    <w:p w14:paraId="1C9EF9CD">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rPr>
        <w:t>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年度“三公”经费支出共计</w:t>
      </w:r>
      <w:r>
        <w:rPr>
          <w:rFonts w:hint="eastAsia" w:ascii="Times New Roman" w:hAnsi="Times New Roman" w:eastAsia="方正仿宋_GBK" w:cs="Times New Roman"/>
          <w:color w:val="auto"/>
          <w:sz w:val="32"/>
          <w:szCs w:val="32"/>
          <w:highlight w:val="none"/>
          <w:lang w:val="en-US" w:eastAsia="zh-CN"/>
        </w:rPr>
        <w:t>44.16</w:t>
      </w:r>
      <w:r>
        <w:rPr>
          <w:rFonts w:hint="default" w:ascii="Times New Roman" w:hAnsi="Times New Roman" w:eastAsia="方正仿宋_GBK" w:cs="Times New Roman"/>
          <w:color w:val="auto"/>
          <w:sz w:val="32"/>
          <w:szCs w:val="32"/>
          <w:highlight w:val="none"/>
          <w:shd w:val="clear" w:color="auto" w:fill="FFFFFF"/>
        </w:rPr>
        <w:t>万元，较年初预算数减少3.84万元，下降8.0%，主要原因是</w:t>
      </w:r>
      <w:r>
        <w:rPr>
          <w:rFonts w:hint="eastAsia" w:ascii="Times New Roman" w:hAnsi="Times New Roman" w:eastAsia="仿宋_GB2312"/>
          <w:color w:val="auto"/>
          <w:sz w:val="32"/>
          <w:szCs w:val="32"/>
          <w:highlight w:val="none"/>
          <w:u w:val="none"/>
          <w:lang w:eastAsia="zh-CN"/>
        </w:rPr>
        <w:t>严格贯彻落实“过紧日子”要求，坚持厉行节约、压紧支出。</w:t>
      </w:r>
      <w:r>
        <w:rPr>
          <w:rFonts w:hint="default" w:ascii="Times New Roman" w:hAnsi="Times New Roman" w:eastAsia="方正仿宋_GBK" w:cs="Times New Roman"/>
          <w:color w:val="auto"/>
          <w:sz w:val="32"/>
          <w:szCs w:val="32"/>
          <w:highlight w:val="none"/>
          <w:shd w:val="clear" w:color="auto" w:fill="FFFFFF"/>
        </w:rPr>
        <w:t>较上年支出数增加6.90万元，增长18.5%，主要原因是</w:t>
      </w:r>
      <w:r>
        <w:rPr>
          <w:rFonts w:hint="eastAsia" w:ascii="Times New Roman" w:hAnsi="Times New Roman" w:eastAsia="方正仿宋_GBK" w:cs="Times New Roman"/>
          <w:color w:val="auto"/>
          <w:sz w:val="32"/>
          <w:szCs w:val="32"/>
          <w:highlight w:val="none"/>
          <w:shd w:val="clear" w:color="auto" w:fill="FFFFFF"/>
        </w:rPr>
        <w:t>根据渝机管车</w:t>
      </w:r>
      <w:r>
        <w:rPr>
          <w:rFonts w:ascii="Times New Roman" w:hAnsi="Times New Roman" w:eastAsia="方正仿宋_GBK" w:cs="Times New Roman"/>
          <w:bCs/>
          <w:sz w:val="32"/>
          <w:szCs w:val="32"/>
        </w:rPr>
        <w:t>〔</w:t>
      </w:r>
      <w:r>
        <w:rPr>
          <w:rFonts w:hint="eastAsia" w:ascii="Times New Roman" w:hAnsi="Times New Roman" w:eastAsia="方正仿宋_GBK" w:cs="Times New Roman"/>
          <w:color w:val="auto"/>
          <w:sz w:val="32"/>
          <w:szCs w:val="32"/>
          <w:highlight w:val="none"/>
          <w:shd w:val="clear" w:color="auto" w:fill="FFFFFF"/>
        </w:rPr>
        <w:t>2024</w:t>
      </w:r>
      <w:r>
        <w:rPr>
          <w:rFonts w:ascii="Times New Roman" w:hAnsi="Times New Roman" w:eastAsia="方正仿宋_GBK" w:cs="Times New Roman"/>
          <w:bCs/>
          <w:sz w:val="32"/>
          <w:szCs w:val="32"/>
        </w:rPr>
        <w:t>〕</w:t>
      </w:r>
      <w:r>
        <w:rPr>
          <w:rFonts w:hint="eastAsia" w:ascii="Times New Roman" w:hAnsi="Times New Roman" w:eastAsia="方正仿宋_GBK" w:cs="Times New Roman"/>
          <w:color w:val="auto"/>
          <w:sz w:val="32"/>
          <w:szCs w:val="32"/>
          <w:highlight w:val="none"/>
          <w:shd w:val="clear" w:color="auto" w:fill="FFFFFF"/>
        </w:rPr>
        <w:t>19号文件，</w:t>
      </w:r>
      <w:r>
        <w:rPr>
          <w:rFonts w:hint="eastAsia" w:ascii="Times New Roman" w:hAnsi="Times New Roman" w:eastAsia="方正仿宋_GBK" w:cs="Times New Roman"/>
          <w:color w:val="auto"/>
          <w:sz w:val="32"/>
          <w:szCs w:val="32"/>
          <w:highlight w:val="none"/>
          <w:shd w:val="clear" w:color="auto" w:fill="FFFFFF"/>
          <w:lang w:eastAsia="zh-CN"/>
        </w:rPr>
        <w:t>报废一辆不能正常使用的车辆，新</w:t>
      </w:r>
      <w:r>
        <w:rPr>
          <w:rFonts w:hint="eastAsia" w:ascii="Times New Roman" w:hAnsi="Times New Roman" w:eastAsia="方正仿宋_GBK" w:cs="Times New Roman"/>
          <w:color w:val="auto"/>
          <w:sz w:val="32"/>
          <w:szCs w:val="32"/>
          <w:highlight w:val="none"/>
          <w:shd w:val="clear" w:color="auto" w:fill="FFFFFF"/>
        </w:rPr>
        <w:t>购置</w:t>
      </w:r>
      <w:r>
        <w:rPr>
          <w:rFonts w:hint="eastAsia" w:ascii="Times New Roman" w:hAnsi="Times New Roman" w:eastAsia="方正仿宋_GBK" w:cs="Times New Roman"/>
          <w:color w:val="auto"/>
          <w:sz w:val="32"/>
          <w:szCs w:val="32"/>
          <w:highlight w:val="none"/>
          <w:shd w:val="clear" w:color="auto" w:fill="FFFFFF"/>
          <w:lang w:eastAsia="zh-CN"/>
        </w:rPr>
        <w:t>了</w:t>
      </w:r>
      <w:r>
        <w:rPr>
          <w:rFonts w:hint="eastAsia" w:ascii="Times New Roman" w:hAnsi="Times New Roman" w:eastAsia="方正仿宋_GBK" w:cs="Times New Roman"/>
          <w:color w:val="auto"/>
          <w:sz w:val="32"/>
          <w:szCs w:val="32"/>
          <w:highlight w:val="none"/>
          <w:shd w:val="clear" w:color="auto" w:fill="FFFFFF"/>
        </w:rPr>
        <w:t>公务用车1辆，</w:t>
      </w:r>
      <w:r>
        <w:rPr>
          <w:rFonts w:hint="eastAsia" w:ascii="Times New Roman" w:hAnsi="Times New Roman" w:eastAsia="方正仿宋_GBK" w:cs="Times New Roman"/>
          <w:color w:val="auto"/>
          <w:sz w:val="32"/>
          <w:szCs w:val="32"/>
          <w:highlight w:val="none"/>
          <w:shd w:val="clear" w:color="auto" w:fill="FFFFFF"/>
          <w:lang w:eastAsia="zh-CN"/>
        </w:rPr>
        <w:t>金额为</w:t>
      </w:r>
      <w:r>
        <w:rPr>
          <w:rFonts w:hint="eastAsia" w:ascii="Times New Roman" w:hAnsi="Times New Roman" w:eastAsia="方正仿宋_GBK" w:cs="Times New Roman"/>
          <w:color w:val="auto"/>
          <w:sz w:val="32"/>
          <w:szCs w:val="32"/>
          <w:highlight w:val="none"/>
          <w:shd w:val="clear" w:color="auto" w:fill="FFFFFF"/>
        </w:rPr>
        <w:t>157900元，用于应急保障方面。</w:t>
      </w:r>
    </w:p>
    <w:p w14:paraId="0850322C">
      <w:pPr>
        <w:pStyle w:val="8"/>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（二）“三公”经费分项支出情况</w:t>
      </w:r>
    </w:p>
    <w:p w14:paraId="14133109">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rPr>
        <w:t>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年度本部门因公出国（境）费用</w:t>
      </w:r>
      <w:r>
        <w:rPr>
          <w:rFonts w:hint="eastAsia"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shd w:val="clear" w:color="auto" w:fill="FFFFFF"/>
        </w:rPr>
        <w:t>万元，较上年支出数</w:t>
      </w:r>
      <w:r>
        <w:rPr>
          <w:rFonts w:hint="eastAsia" w:ascii="Times New Roman" w:hAnsi="Times New Roman" w:eastAsia="方正仿宋_GBK" w:cs="Times New Roman"/>
          <w:color w:val="auto"/>
          <w:sz w:val="32"/>
          <w:szCs w:val="32"/>
          <w:highlight w:val="none"/>
          <w:shd w:val="clear" w:color="auto" w:fill="FFFFFF"/>
          <w:lang w:eastAsia="zh-CN"/>
        </w:rPr>
        <w:t>减少</w:t>
      </w:r>
      <w:r>
        <w:rPr>
          <w:rFonts w:hint="default" w:ascii="Times New Roman" w:hAnsi="Times New Roman" w:eastAsia="方正仿宋_GBK" w:cs="Times New Roman"/>
          <w:color w:val="auto"/>
          <w:sz w:val="32"/>
          <w:szCs w:val="32"/>
          <w:highlight w:val="none"/>
          <w:shd w:val="clear" w:color="auto" w:fill="FFFFFF"/>
        </w:rPr>
        <w:t>10.4万元，</w:t>
      </w:r>
      <w:r>
        <w:rPr>
          <w:rFonts w:hint="eastAsia" w:ascii="Times New Roman" w:hAnsi="Times New Roman" w:eastAsia="方正仿宋_GBK" w:cs="Times New Roman"/>
          <w:color w:val="auto"/>
          <w:sz w:val="32"/>
          <w:szCs w:val="32"/>
          <w:highlight w:val="none"/>
          <w:shd w:val="clear" w:color="auto" w:fill="FFFFFF"/>
          <w:lang w:eastAsia="zh-CN"/>
        </w:rPr>
        <w:t>下降</w:t>
      </w:r>
      <w:r>
        <w:rPr>
          <w:rFonts w:hint="default" w:ascii="Times New Roman" w:hAnsi="Times New Roman" w:eastAsia="方正仿宋_GBK" w:cs="Times New Roman"/>
          <w:color w:val="auto"/>
          <w:sz w:val="32"/>
          <w:szCs w:val="32"/>
          <w:highlight w:val="none"/>
          <w:shd w:val="clear" w:color="auto" w:fill="FFFFFF"/>
        </w:rPr>
        <w:t>100</w:t>
      </w:r>
      <w:r>
        <w:rPr>
          <w:rFonts w:hint="eastAsia" w:ascii="Times New Roman" w:hAnsi="Times New Roman" w:eastAsia="方正仿宋_GBK" w:cs="Times New Roman"/>
          <w:color w:val="auto"/>
          <w:sz w:val="32"/>
          <w:szCs w:val="32"/>
          <w:highlight w:val="none"/>
          <w:shd w:val="clear" w:color="auto" w:fill="FFFFFF"/>
          <w:lang w:val="en-US" w:eastAsia="zh-CN"/>
        </w:rPr>
        <w:t>.0</w:t>
      </w:r>
      <w:r>
        <w:rPr>
          <w:rFonts w:hint="default" w:ascii="Times New Roman" w:hAnsi="Times New Roman" w:eastAsia="方正仿宋_GBK" w:cs="Times New Roman"/>
          <w:color w:val="auto"/>
          <w:sz w:val="32"/>
          <w:szCs w:val="32"/>
          <w:highlight w:val="none"/>
          <w:shd w:val="clear" w:color="auto" w:fill="FFFFFF"/>
        </w:rPr>
        <w:t>%，主要原因是</w:t>
      </w:r>
      <w:r>
        <w:rPr>
          <w:rFonts w:hint="eastAsia" w:ascii="Times New Roman" w:hAnsi="Times New Roman" w:eastAsia="方正仿宋_GBK" w:cs="Times New Roman"/>
          <w:color w:val="auto"/>
          <w:sz w:val="32"/>
          <w:szCs w:val="32"/>
          <w:highlight w:val="none"/>
          <w:shd w:val="clear" w:color="auto" w:fill="FFFFFF"/>
          <w:lang w:eastAsia="zh-CN"/>
        </w:rPr>
        <w:t>本年度无因公出国。</w:t>
      </w:r>
    </w:p>
    <w:p w14:paraId="7928FCC4">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公务车购置费</w:t>
      </w:r>
      <w:r>
        <w:rPr>
          <w:rFonts w:hint="eastAsia" w:ascii="Times New Roman" w:hAnsi="Times New Roman" w:eastAsia="方正仿宋_GBK" w:cs="Times New Roman"/>
          <w:color w:val="auto"/>
          <w:sz w:val="32"/>
          <w:szCs w:val="32"/>
          <w:highlight w:val="none"/>
          <w:lang w:val="en-US" w:eastAsia="zh-CN"/>
        </w:rPr>
        <w:t>15.79</w:t>
      </w:r>
      <w:r>
        <w:rPr>
          <w:rFonts w:hint="default" w:ascii="Times New Roman" w:hAnsi="Times New Roman" w:eastAsia="方正仿宋_GBK" w:cs="Times New Roman"/>
          <w:color w:val="auto"/>
          <w:sz w:val="32"/>
          <w:szCs w:val="32"/>
          <w:highlight w:val="none"/>
          <w:shd w:val="clear" w:color="auto" w:fill="FFFFFF"/>
        </w:rPr>
        <w:t>万元</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主要用于</w:t>
      </w:r>
      <w:r>
        <w:rPr>
          <w:rFonts w:hint="eastAsia" w:ascii="Times New Roman" w:hAnsi="Times New Roman" w:eastAsia="方正仿宋_GBK" w:cs="Times New Roman"/>
          <w:color w:val="auto"/>
          <w:sz w:val="32"/>
          <w:szCs w:val="32"/>
          <w:highlight w:val="none"/>
          <w:shd w:val="clear" w:color="auto" w:fill="FFFFFF"/>
        </w:rPr>
        <w:t>应急保障方面</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费用支出较年初预算数减少2.21万元，下降12.3%，主要原因是</w:t>
      </w:r>
      <w:r>
        <w:rPr>
          <w:rFonts w:hint="eastAsia" w:ascii="Times New Roman" w:hAnsi="Times New Roman" w:eastAsia="方正仿宋_GBK" w:cs="Times New Roman"/>
          <w:color w:val="auto"/>
          <w:sz w:val="32"/>
          <w:szCs w:val="32"/>
          <w:highlight w:val="none"/>
          <w:shd w:val="clear" w:color="auto" w:fill="FFFFFF"/>
          <w:lang w:eastAsia="zh-CN"/>
        </w:rPr>
        <w:t>严格贯彻落实“过紧日子”要求，坚持厉行节约、压紧支出。</w:t>
      </w:r>
      <w:r>
        <w:rPr>
          <w:rFonts w:hint="default" w:ascii="Times New Roman" w:hAnsi="Times New Roman" w:eastAsia="方正仿宋_GBK" w:cs="Times New Roman"/>
          <w:color w:val="auto"/>
          <w:sz w:val="32"/>
          <w:szCs w:val="32"/>
          <w:highlight w:val="none"/>
          <w:shd w:val="clear" w:color="auto" w:fill="FFFFFF"/>
        </w:rPr>
        <w:t>较上年支出数</w:t>
      </w:r>
      <w:r>
        <w:rPr>
          <w:rFonts w:hint="eastAsia" w:ascii="Times New Roman" w:hAnsi="Times New Roman" w:eastAsia="方正仿宋_GBK" w:cs="Times New Roman"/>
          <w:color w:val="auto"/>
          <w:sz w:val="32"/>
          <w:szCs w:val="32"/>
          <w:highlight w:val="none"/>
          <w:shd w:val="clear" w:color="auto" w:fill="FFFFFF"/>
          <w:lang w:eastAsia="zh-CN"/>
        </w:rPr>
        <w:t>增加</w:t>
      </w:r>
      <w:r>
        <w:rPr>
          <w:rFonts w:hint="eastAsia" w:ascii="Times New Roman" w:hAnsi="Times New Roman" w:eastAsia="方正仿宋_GBK" w:cs="Times New Roman"/>
          <w:color w:val="auto"/>
          <w:sz w:val="32"/>
          <w:szCs w:val="32"/>
          <w:highlight w:val="none"/>
          <w:shd w:val="clear" w:color="auto" w:fill="FFFFFF"/>
          <w:lang w:val="en-US" w:eastAsia="zh-CN"/>
        </w:rPr>
        <w:t>15.79</w:t>
      </w:r>
      <w:r>
        <w:rPr>
          <w:rFonts w:hint="default" w:ascii="Times New Roman" w:hAnsi="Times New Roman" w:eastAsia="方正仿宋_GBK" w:cs="Times New Roman"/>
          <w:color w:val="auto"/>
          <w:sz w:val="32"/>
          <w:szCs w:val="32"/>
          <w:highlight w:val="none"/>
          <w:shd w:val="clear" w:color="auto" w:fill="FFFFFF"/>
        </w:rPr>
        <w:t>万元，</w:t>
      </w:r>
      <w:r>
        <w:rPr>
          <w:rFonts w:hint="eastAsia" w:ascii="Times New Roman" w:hAnsi="Times New Roman" w:eastAsia="方正仿宋_GBK" w:cs="Times New Roman"/>
          <w:color w:val="auto"/>
          <w:sz w:val="32"/>
          <w:szCs w:val="32"/>
          <w:highlight w:val="none"/>
          <w:shd w:val="clear" w:color="auto" w:fill="FFFFFF"/>
          <w:lang w:eastAsia="zh-CN"/>
        </w:rPr>
        <w:t>增加</w:t>
      </w:r>
      <w:r>
        <w:rPr>
          <w:rFonts w:hint="default" w:ascii="Times New Roman" w:hAnsi="Times New Roman" w:eastAsia="方正仿宋_GBK" w:cs="Times New Roman"/>
          <w:color w:val="auto"/>
          <w:sz w:val="32"/>
          <w:szCs w:val="32"/>
          <w:highlight w:val="none"/>
          <w:shd w:val="clear" w:color="auto" w:fill="FFFFFF"/>
        </w:rPr>
        <w:t>100</w:t>
      </w:r>
      <w:r>
        <w:rPr>
          <w:rFonts w:hint="eastAsia" w:ascii="Times New Roman" w:hAnsi="Times New Roman" w:eastAsia="方正仿宋_GBK" w:cs="Times New Roman"/>
          <w:color w:val="auto"/>
          <w:sz w:val="32"/>
          <w:szCs w:val="32"/>
          <w:highlight w:val="none"/>
          <w:shd w:val="clear" w:color="auto" w:fill="FFFFFF"/>
          <w:lang w:val="en-US" w:eastAsia="zh-CN"/>
        </w:rPr>
        <w:t>.0</w:t>
      </w:r>
      <w:r>
        <w:rPr>
          <w:rFonts w:hint="default" w:ascii="Times New Roman" w:hAnsi="Times New Roman" w:eastAsia="方正仿宋_GBK" w:cs="Times New Roman"/>
          <w:color w:val="auto"/>
          <w:sz w:val="32"/>
          <w:szCs w:val="32"/>
          <w:highlight w:val="none"/>
          <w:shd w:val="clear" w:color="auto" w:fill="FFFFFF"/>
        </w:rPr>
        <w:t>%，主要原因</w:t>
      </w:r>
      <w:r>
        <w:rPr>
          <w:rFonts w:hint="eastAsia" w:ascii="Times New Roman" w:hAnsi="Times New Roman" w:eastAsia="方正仿宋_GBK" w:cs="Times New Roman"/>
          <w:color w:val="auto"/>
          <w:sz w:val="32"/>
          <w:szCs w:val="32"/>
          <w:highlight w:val="none"/>
          <w:shd w:val="clear" w:color="auto" w:fill="FFFFFF"/>
          <w:lang w:eastAsia="zh-CN"/>
        </w:rPr>
        <w:t>是</w:t>
      </w:r>
      <w:r>
        <w:rPr>
          <w:rFonts w:hint="eastAsia" w:ascii="Times New Roman" w:hAnsi="Times New Roman" w:eastAsia="方正仿宋_GBK" w:cs="Times New Roman"/>
          <w:color w:val="auto"/>
          <w:sz w:val="32"/>
          <w:szCs w:val="32"/>
          <w:highlight w:val="none"/>
          <w:shd w:val="clear" w:color="auto" w:fill="FFFFFF"/>
        </w:rPr>
        <w:t>根据渝机管车</w:t>
      </w:r>
      <w:r>
        <w:rPr>
          <w:rFonts w:ascii="Times New Roman" w:hAnsi="Times New Roman" w:eastAsia="方正仿宋_GBK" w:cs="Times New Roman"/>
          <w:bCs/>
          <w:sz w:val="32"/>
          <w:szCs w:val="32"/>
        </w:rPr>
        <w:t>〔</w:t>
      </w:r>
      <w:r>
        <w:rPr>
          <w:rFonts w:hint="eastAsia" w:ascii="Times New Roman" w:hAnsi="Times New Roman" w:eastAsia="方正仿宋_GBK" w:cs="Times New Roman"/>
          <w:color w:val="auto"/>
          <w:sz w:val="32"/>
          <w:szCs w:val="32"/>
          <w:highlight w:val="none"/>
          <w:shd w:val="clear" w:color="auto" w:fill="FFFFFF"/>
        </w:rPr>
        <w:t>2024</w:t>
      </w:r>
      <w:r>
        <w:rPr>
          <w:rFonts w:ascii="Times New Roman" w:hAnsi="Times New Roman" w:eastAsia="方正仿宋_GBK" w:cs="Times New Roman"/>
          <w:bCs/>
          <w:sz w:val="32"/>
          <w:szCs w:val="32"/>
        </w:rPr>
        <w:t>〕</w:t>
      </w:r>
      <w:r>
        <w:rPr>
          <w:rFonts w:hint="eastAsia" w:ascii="Times New Roman" w:hAnsi="Times New Roman" w:eastAsia="方正仿宋_GBK" w:cs="Times New Roman"/>
          <w:color w:val="auto"/>
          <w:sz w:val="32"/>
          <w:szCs w:val="32"/>
          <w:highlight w:val="none"/>
          <w:shd w:val="clear" w:color="auto" w:fill="FFFFFF"/>
        </w:rPr>
        <w:t>19号文件，</w:t>
      </w:r>
      <w:r>
        <w:rPr>
          <w:rFonts w:hint="eastAsia" w:ascii="Times New Roman" w:hAnsi="Times New Roman" w:eastAsia="方正仿宋_GBK" w:cs="Times New Roman"/>
          <w:color w:val="auto"/>
          <w:sz w:val="32"/>
          <w:szCs w:val="32"/>
          <w:highlight w:val="none"/>
          <w:shd w:val="clear" w:color="auto" w:fill="FFFFFF"/>
          <w:lang w:eastAsia="zh-CN"/>
        </w:rPr>
        <w:t>报废一辆不能正常使用的车辆，新</w:t>
      </w:r>
      <w:r>
        <w:rPr>
          <w:rFonts w:hint="eastAsia" w:ascii="Times New Roman" w:hAnsi="Times New Roman" w:eastAsia="方正仿宋_GBK" w:cs="Times New Roman"/>
          <w:color w:val="auto"/>
          <w:sz w:val="32"/>
          <w:szCs w:val="32"/>
          <w:highlight w:val="none"/>
          <w:shd w:val="clear" w:color="auto" w:fill="FFFFFF"/>
        </w:rPr>
        <w:t>购置</w:t>
      </w:r>
      <w:r>
        <w:rPr>
          <w:rFonts w:hint="eastAsia" w:ascii="Times New Roman" w:hAnsi="Times New Roman" w:eastAsia="方正仿宋_GBK" w:cs="Times New Roman"/>
          <w:color w:val="auto"/>
          <w:sz w:val="32"/>
          <w:szCs w:val="32"/>
          <w:highlight w:val="none"/>
          <w:shd w:val="clear" w:color="auto" w:fill="FFFFFF"/>
          <w:lang w:eastAsia="zh-CN"/>
        </w:rPr>
        <w:t>了</w:t>
      </w:r>
      <w:r>
        <w:rPr>
          <w:rFonts w:hint="eastAsia" w:ascii="Times New Roman" w:hAnsi="Times New Roman" w:eastAsia="方正仿宋_GBK" w:cs="Times New Roman"/>
          <w:color w:val="auto"/>
          <w:sz w:val="32"/>
          <w:szCs w:val="32"/>
          <w:highlight w:val="none"/>
          <w:shd w:val="clear" w:color="auto" w:fill="FFFFFF"/>
        </w:rPr>
        <w:t>公务用车1辆，</w:t>
      </w:r>
      <w:r>
        <w:rPr>
          <w:rFonts w:hint="eastAsia" w:ascii="Times New Roman" w:hAnsi="Times New Roman" w:eastAsia="方正仿宋_GBK" w:cs="Times New Roman"/>
          <w:color w:val="auto"/>
          <w:sz w:val="32"/>
          <w:szCs w:val="32"/>
          <w:highlight w:val="none"/>
          <w:shd w:val="clear" w:color="auto" w:fill="FFFFFF"/>
          <w:lang w:eastAsia="zh-CN"/>
        </w:rPr>
        <w:t>金额为</w:t>
      </w:r>
      <w:r>
        <w:rPr>
          <w:rFonts w:hint="eastAsia" w:ascii="Times New Roman" w:hAnsi="Times New Roman" w:eastAsia="方正仿宋_GBK" w:cs="Times New Roman"/>
          <w:color w:val="auto"/>
          <w:sz w:val="32"/>
          <w:szCs w:val="32"/>
          <w:highlight w:val="none"/>
          <w:shd w:val="clear" w:color="auto" w:fill="FFFFFF"/>
        </w:rPr>
        <w:t>157900元，用于应急保障方面。</w:t>
      </w:r>
    </w:p>
    <w:p w14:paraId="633B4411">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rPr>
        <w:t>公务车运行维护费</w:t>
      </w:r>
      <w:r>
        <w:rPr>
          <w:rFonts w:hint="eastAsia" w:ascii="Times New Roman" w:hAnsi="Times New Roman" w:eastAsia="方正仿宋_GBK" w:cs="Times New Roman"/>
          <w:color w:val="auto"/>
          <w:sz w:val="32"/>
          <w:szCs w:val="32"/>
          <w:highlight w:val="none"/>
          <w:lang w:val="en-US" w:eastAsia="zh-CN"/>
        </w:rPr>
        <w:t>18.97</w:t>
      </w:r>
      <w:r>
        <w:rPr>
          <w:rFonts w:hint="default" w:ascii="Times New Roman" w:hAnsi="Times New Roman" w:eastAsia="方正仿宋_GBK" w:cs="Times New Roman"/>
          <w:color w:val="auto"/>
          <w:sz w:val="32"/>
          <w:szCs w:val="32"/>
          <w:highlight w:val="none"/>
          <w:shd w:val="clear" w:color="auto" w:fill="FFFFFF"/>
        </w:rPr>
        <w:t>万元，主要用于机要文件交换、市内因公出行等工作所需</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车辆的燃料费、维修费、过桥过路费、保险费</w:t>
      </w:r>
      <w:r>
        <w:rPr>
          <w:rFonts w:hint="default" w:ascii="Times New Roman" w:hAnsi="Times New Roman" w:eastAsia="方正仿宋_GBK" w:cs="Times New Roman"/>
          <w:color w:val="auto"/>
          <w:sz w:val="32"/>
          <w:szCs w:val="32"/>
          <w:highlight w:val="none"/>
          <w:shd w:val="clear" w:color="auto" w:fill="FFFFFF"/>
          <w:lang w:eastAsia="zh-CN"/>
        </w:rPr>
        <w:t>、停车费、洗车费</w:t>
      </w:r>
      <w:r>
        <w:rPr>
          <w:rFonts w:hint="default" w:ascii="Times New Roman" w:hAnsi="Times New Roman" w:eastAsia="方正仿宋_GBK" w:cs="Times New Roman"/>
          <w:color w:val="auto"/>
          <w:sz w:val="32"/>
          <w:szCs w:val="32"/>
          <w:highlight w:val="none"/>
          <w:shd w:val="clear" w:color="auto" w:fill="FFFFFF"/>
        </w:rPr>
        <w:t>等。费用支出较年初预算数减少1.03万元，下降5.2%，主要原因是</w:t>
      </w:r>
      <w:r>
        <w:rPr>
          <w:rFonts w:hint="eastAsia" w:ascii="Times New Roman" w:hAnsi="Times New Roman" w:eastAsia="方正仿宋_GBK" w:cs="Times New Roman"/>
          <w:color w:val="auto"/>
          <w:sz w:val="32"/>
          <w:szCs w:val="32"/>
          <w:highlight w:val="none"/>
          <w:shd w:val="clear" w:color="auto" w:fill="FFFFFF"/>
          <w:lang w:eastAsia="zh-CN"/>
        </w:rPr>
        <w:t>严格贯彻落实“过紧日子”要求，坚持厉行节约、压紧支出。</w:t>
      </w:r>
      <w:r>
        <w:rPr>
          <w:rFonts w:hint="default" w:ascii="Times New Roman" w:hAnsi="Times New Roman" w:eastAsia="方正仿宋_GBK" w:cs="Times New Roman"/>
          <w:color w:val="auto"/>
          <w:sz w:val="32"/>
          <w:szCs w:val="32"/>
          <w:highlight w:val="none"/>
          <w:shd w:val="clear" w:color="auto" w:fill="FFFFFF"/>
        </w:rPr>
        <w:t>较上年支出数增加</w:t>
      </w:r>
      <w:r>
        <w:rPr>
          <w:rFonts w:hint="eastAsia" w:ascii="Times New Roman" w:hAnsi="Times New Roman" w:eastAsia="方正仿宋_GBK" w:cs="Times New Roman"/>
          <w:color w:val="auto"/>
          <w:sz w:val="32"/>
          <w:szCs w:val="32"/>
          <w:highlight w:val="none"/>
          <w:shd w:val="clear" w:color="auto" w:fill="FFFFFF"/>
          <w:lang w:val="en-US" w:eastAsia="zh-CN"/>
        </w:rPr>
        <w:t>1.5</w:t>
      </w:r>
      <w:r>
        <w:rPr>
          <w:rFonts w:hint="default" w:ascii="Times New Roman" w:hAnsi="Times New Roman" w:eastAsia="方正仿宋_GBK" w:cs="Times New Roman"/>
          <w:color w:val="auto"/>
          <w:sz w:val="32"/>
          <w:szCs w:val="32"/>
          <w:highlight w:val="none"/>
          <w:shd w:val="clear" w:color="auto" w:fill="FFFFFF"/>
        </w:rPr>
        <w:t>万元，增长</w:t>
      </w:r>
      <w:r>
        <w:rPr>
          <w:rFonts w:hint="eastAsia" w:ascii="Times New Roman" w:hAnsi="Times New Roman" w:eastAsia="方正仿宋_GBK" w:cs="Times New Roman"/>
          <w:color w:val="auto"/>
          <w:sz w:val="32"/>
          <w:szCs w:val="32"/>
          <w:highlight w:val="none"/>
          <w:shd w:val="clear" w:color="auto" w:fill="FFFFFF"/>
          <w:lang w:val="en-US" w:eastAsia="zh-CN"/>
        </w:rPr>
        <w:t>8.6</w:t>
      </w:r>
      <w:r>
        <w:rPr>
          <w:rFonts w:hint="default" w:ascii="Times New Roman" w:hAnsi="Times New Roman" w:eastAsia="方正仿宋_GBK" w:cs="Times New Roman"/>
          <w:color w:val="auto"/>
          <w:sz w:val="32"/>
          <w:szCs w:val="32"/>
          <w:highlight w:val="none"/>
          <w:shd w:val="clear" w:color="auto" w:fill="FFFFFF"/>
        </w:rPr>
        <w:t>%</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主要</w:t>
      </w:r>
      <w:r>
        <w:rPr>
          <w:rFonts w:hint="eastAsia" w:ascii="Times New Roman" w:hAnsi="Times New Roman" w:eastAsia="方正仿宋_GBK" w:cs="Times New Roman"/>
          <w:color w:val="auto"/>
          <w:sz w:val="32"/>
          <w:szCs w:val="32"/>
          <w:highlight w:val="none"/>
          <w:shd w:val="clear" w:color="auto" w:fill="FFFFFF"/>
          <w:lang w:eastAsia="zh-CN"/>
        </w:rPr>
        <w:t>原因为区政协深入贯彻“四下基层”和改进调查研究工作要求，调研总时长增长，用车量增加；同时年限较长但未达到最新报废标准的车辆维修较频繁；新购置的车辆购买保险等费用。</w:t>
      </w:r>
    </w:p>
    <w:p w14:paraId="7B9E5E22">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rPr>
        <w:t>公务接待费</w:t>
      </w:r>
      <w:r>
        <w:rPr>
          <w:rFonts w:hint="default" w:ascii="Times New Roman" w:hAnsi="Times New Roman" w:eastAsia="方正仿宋_GBK" w:cs="Times New Roman"/>
          <w:color w:val="auto"/>
          <w:sz w:val="32"/>
          <w:szCs w:val="32"/>
          <w:highlight w:val="none"/>
        </w:rPr>
        <w:t>9.</w:t>
      </w:r>
      <w:r>
        <w:rPr>
          <w:rFonts w:hint="eastAsia" w:ascii="Times New Roman" w:hAnsi="Times New Roman" w:eastAsia="方正仿宋_GBK" w:cs="Times New Roman"/>
          <w:color w:val="auto"/>
          <w:sz w:val="32"/>
          <w:szCs w:val="32"/>
          <w:highlight w:val="none"/>
          <w:lang w:val="en-US" w:eastAsia="zh-CN"/>
        </w:rPr>
        <w:t>40</w:t>
      </w:r>
      <w:r>
        <w:rPr>
          <w:rFonts w:hint="default" w:ascii="Times New Roman" w:hAnsi="Times New Roman" w:eastAsia="方正仿宋_GBK" w:cs="Times New Roman"/>
          <w:color w:val="auto"/>
          <w:sz w:val="32"/>
          <w:szCs w:val="32"/>
          <w:highlight w:val="none"/>
          <w:shd w:val="clear" w:color="auto" w:fill="FFFFFF"/>
        </w:rPr>
        <w:t>万元，主要用于接待国内兄弟省市区县政协</w:t>
      </w:r>
      <w:r>
        <w:rPr>
          <w:rFonts w:hint="eastAsia" w:ascii="Times New Roman" w:hAnsi="Times New Roman" w:eastAsia="方正仿宋_GBK" w:cs="Times New Roman"/>
          <w:color w:val="auto"/>
          <w:sz w:val="32"/>
          <w:szCs w:val="32"/>
          <w:highlight w:val="none"/>
          <w:shd w:val="clear" w:color="auto" w:fill="FFFFFF"/>
          <w:lang w:eastAsia="zh-CN"/>
        </w:rPr>
        <w:t>来渝中</w:t>
      </w:r>
      <w:r>
        <w:rPr>
          <w:rFonts w:hint="default" w:ascii="Times New Roman" w:hAnsi="Times New Roman" w:eastAsia="方正仿宋_GBK" w:cs="Times New Roman"/>
          <w:color w:val="auto"/>
          <w:sz w:val="32"/>
          <w:szCs w:val="32"/>
          <w:highlight w:val="none"/>
          <w:shd w:val="clear" w:color="auto" w:fill="FFFFFF"/>
        </w:rPr>
        <w:t>学习调研考察工作相关</w:t>
      </w:r>
      <w:r>
        <w:rPr>
          <w:rFonts w:hint="eastAsia" w:ascii="Times New Roman" w:hAnsi="Times New Roman" w:eastAsia="方正仿宋_GBK" w:cs="Times New Roman"/>
          <w:color w:val="auto"/>
          <w:sz w:val="32"/>
          <w:szCs w:val="32"/>
          <w:highlight w:val="none"/>
          <w:shd w:val="clear" w:color="auto" w:fill="FFFFFF"/>
          <w:lang w:eastAsia="zh-CN"/>
        </w:rPr>
        <w:t>费用</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费用支出较年初预算数减少0.60万元，下降6.0%，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color w:val="auto"/>
          <w:sz w:val="32"/>
          <w:szCs w:val="32"/>
          <w:highlight w:val="none"/>
          <w:shd w:val="clear" w:color="auto" w:fill="FFFFFF"/>
          <w:lang w:eastAsia="zh-CN"/>
        </w:rPr>
        <w:t>严格贯彻落实“过紧日子”要求，坚持厉行节约、压紧支出。</w:t>
      </w:r>
      <w:r>
        <w:rPr>
          <w:rFonts w:hint="default" w:ascii="Times New Roman" w:hAnsi="Times New Roman" w:eastAsia="方正仿宋_GBK" w:cs="Times New Roman"/>
          <w:color w:val="auto"/>
          <w:sz w:val="32"/>
          <w:szCs w:val="32"/>
          <w:highlight w:val="none"/>
          <w:shd w:val="clear" w:color="auto" w:fill="FFFFFF"/>
        </w:rPr>
        <w:t>较上年支出数增加</w:t>
      </w:r>
      <w:r>
        <w:rPr>
          <w:rFonts w:hint="eastAsia" w:ascii="Times New Roman" w:hAnsi="Times New Roman" w:eastAsia="方正仿宋_GBK" w:cs="Times New Roman"/>
          <w:color w:val="auto"/>
          <w:sz w:val="32"/>
          <w:szCs w:val="32"/>
          <w:highlight w:val="none"/>
          <w:shd w:val="clear" w:color="auto" w:fill="FFFFFF"/>
          <w:lang w:val="en-US" w:eastAsia="zh-CN"/>
        </w:rPr>
        <w:t>0.01</w:t>
      </w:r>
      <w:r>
        <w:rPr>
          <w:rFonts w:hint="default" w:ascii="Times New Roman" w:hAnsi="Times New Roman" w:eastAsia="方正仿宋_GBK" w:cs="Times New Roman"/>
          <w:color w:val="auto"/>
          <w:sz w:val="32"/>
          <w:szCs w:val="32"/>
          <w:highlight w:val="none"/>
          <w:shd w:val="clear" w:color="auto" w:fill="FFFFFF"/>
        </w:rPr>
        <w:t>万元，增长</w:t>
      </w:r>
      <w:r>
        <w:rPr>
          <w:rFonts w:hint="eastAsia" w:ascii="Times New Roman" w:hAnsi="Times New Roman" w:eastAsia="方正仿宋_GBK" w:cs="Times New Roman"/>
          <w:color w:val="auto"/>
          <w:sz w:val="32"/>
          <w:szCs w:val="32"/>
          <w:highlight w:val="none"/>
          <w:shd w:val="clear" w:color="auto" w:fill="FFFFFF"/>
          <w:lang w:val="en-US" w:eastAsia="zh-CN"/>
        </w:rPr>
        <w:t>0.10</w:t>
      </w:r>
      <w:r>
        <w:rPr>
          <w:rFonts w:hint="default" w:ascii="Times New Roman" w:hAnsi="Times New Roman" w:eastAsia="方正仿宋_GBK" w:cs="Times New Roman"/>
          <w:color w:val="auto"/>
          <w:sz w:val="32"/>
          <w:szCs w:val="32"/>
          <w:highlight w:val="none"/>
          <w:shd w:val="clear" w:color="auto" w:fill="FFFFFF"/>
        </w:rPr>
        <w:t>%</w:t>
      </w:r>
      <w:r>
        <w:rPr>
          <w:rFonts w:hint="eastAsia" w:ascii="Times New Roman" w:hAnsi="Times New Roman" w:eastAsia="方正仿宋_GBK" w:cs="Times New Roman"/>
          <w:color w:val="auto"/>
          <w:sz w:val="32"/>
          <w:szCs w:val="32"/>
          <w:highlight w:val="none"/>
          <w:shd w:val="clear" w:color="auto" w:fill="FFFFFF"/>
          <w:lang w:eastAsia="zh-CN"/>
        </w:rPr>
        <w:t>，基本与上年持平。</w:t>
      </w:r>
    </w:p>
    <w:p w14:paraId="0D203856">
      <w:pPr>
        <w:pStyle w:val="8"/>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（三）“三公”经费实物量情况</w:t>
      </w:r>
    </w:p>
    <w:p w14:paraId="197CBFB9">
      <w:pPr>
        <w:pStyle w:val="4"/>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2024年度本部门因公出国（境）共计0个团组，0人；公务用车购置1辆，公务车保有量为</w:t>
      </w:r>
      <w:r>
        <w:rPr>
          <w:rFonts w:hint="eastAsia" w:ascii="Times New Roman" w:hAnsi="Times New Roman" w:eastAsia="方正仿宋_GBK" w:cs="Times New Roman"/>
          <w:color w:val="auto"/>
          <w:sz w:val="32"/>
          <w:szCs w:val="32"/>
          <w:highlight w:val="none"/>
          <w:shd w:val="clear" w:color="auto" w:fill="FFFFFF"/>
          <w:lang w:val="en-US" w:eastAsia="zh-CN"/>
        </w:rPr>
        <w:t>8</w:t>
      </w:r>
      <w:r>
        <w:rPr>
          <w:rFonts w:hint="default" w:ascii="Times New Roman" w:hAnsi="Times New Roman" w:eastAsia="方正仿宋_GBK" w:cs="Times New Roman"/>
          <w:color w:val="auto"/>
          <w:sz w:val="32"/>
          <w:szCs w:val="32"/>
          <w:highlight w:val="none"/>
          <w:shd w:val="clear" w:color="auto" w:fill="FFFFFF"/>
        </w:rPr>
        <w:t>辆</w:t>
      </w:r>
      <w:r>
        <w:rPr>
          <w:rFonts w:hint="eastAsia" w:ascii="Times New Roman" w:hAnsi="Times New Roman" w:eastAsia="方正仿宋_GBK" w:cs="Times New Roman"/>
          <w:color w:val="auto"/>
          <w:sz w:val="32"/>
          <w:szCs w:val="32"/>
          <w:highlight w:val="none"/>
          <w:shd w:val="clear" w:color="auto" w:fill="FFFFFF"/>
          <w:lang w:val="en-US" w:eastAsia="zh-CN"/>
        </w:rPr>
        <w:t>(</w:t>
      </w:r>
      <w:r>
        <w:rPr>
          <w:rFonts w:hint="eastAsia" w:ascii="Times New Roman" w:hAnsi="Times New Roman" w:eastAsia="方正仿宋_GBK" w:cs="Times New Roman"/>
          <w:color w:val="auto"/>
          <w:sz w:val="32"/>
          <w:szCs w:val="32"/>
          <w:highlight w:val="none"/>
          <w:shd w:val="clear" w:color="auto" w:fill="FFFFFF"/>
          <w:lang w:eastAsia="zh-CN"/>
        </w:rPr>
        <w:t>其中：有</w:t>
      </w:r>
      <w:r>
        <w:rPr>
          <w:rFonts w:hint="eastAsia" w:ascii="Times New Roman" w:hAnsi="Times New Roman" w:eastAsia="方正仿宋_GBK" w:cs="Times New Roman"/>
          <w:color w:val="auto"/>
          <w:sz w:val="32"/>
          <w:szCs w:val="32"/>
          <w:highlight w:val="none"/>
          <w:shd w:val="clear" w:color="auto" w:fill="FFFFFF"/>
          <w:lang w:val="en-US" w:eastAsia="zh-CN"/>
        </w:rPr>
        <w:t>3辆公车已经报废，待下账)；</w:t>
      </w:r>
      <w:r>
        <w:rPr>
          <w:rFonts w:hint="default" w:ascii="Times New Roman" w:hAnsi="Times New Roman" w:eastAsia="方正仿宋_GBK" w:cs="Times New Roman"/>
          <w:color w:val="auto"/>
          <w:sz w:val="32"/>
          <w:szCs w:val="32"/>
          <w:highlight w:val="none"/>
          <w:shd w:val="clear" w:color="auto" w:fill="FFFFFF"/>
        </w:rPr>
        <w:t>国内公务接待63批次980人，其中：国内外事接待0批次，0人；国（境）外公务接待0批次，0人。2024年本部门人均接待费95.90元，车均购置费15.79万元，车均维护费2.37万元。</w:t>
      </w:r>
    </w:p>
    <w:p w14:paraId="360159F9">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eastAsia="zh-CN"/>
        </w:rPr>
        <w:t>四、</w:t>
      </w:r>
      <w:r>
        <w:rPr>
          <w:rFonts w:hint="default" w:ascii="Times New Roman" w:hAnsi="Times New Roman" w:eastAsia="方正黑体_GBK" w:cs="Times New Roman"/>
          <w:sz w:val="32"/>
          <w:szCs w:val="32"/>
        </w:rPr>
        <w:t>其他需要说明的事项</w:t>
      </w:r>
    </w:p>
    <w:p w14:paraId="2509CC03">
      <w:pPr>
        <w:pStyle w:val="8"/>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（一）财政拨款会议费和培训费情况说明</w:t>
      </w:r>
    </w:p>
    <w:p w14:paraId="3066DE4C">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本年度会议费支出</w:t>
      </w:r>
      <w:r>
        <w:rPr>
          <w:rFonts w:hint="eastAsia" w:ascii="Times New Roman" w:hAnsi="Times New Roman" w:eastAsia="方正仿宋_GBK" w:cs="Times New Roman"/>
          <w:color w:val="auto"/>
          <w:sz w:val="32"/>
          <w:szCs w:val="32"/>
          <w:lang w:val="en-US" w:eastAsia="zh-CN"/>
        </w:rPr>
        <w:t>73.27</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Times New Roman"/>
          <w:color w:val="auto"/>
          <w:sz w:val="32"/>
          <w:szCs w:val="32"/>
          <w:lang w:val="en-US" w:eastAsia="zh-CN"/>
        </w:rPr>
        <w:t>与2023年度相比</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color w:val="auto"/>
          <w:sz w:val="32"/>
          <w:szCs w:val="32"/>
          <w:shd w:val="clear" w:color="auto" w:fill="FFFFFF"/>
          <w:lang w:eastAsia="zh-CN"/>
        </w:rPr>
        <w:t>减少</w:t>
      </w:r>
      <w:r>
        <w:rPr>
          <w:rFonts w:hint="eastAsia" w:ascii="Times New Roman" w:hAnsi="Times New Roman" w:eastAsia="方正仿宋_GBK" w:cs="Times New Roman"/>
          <w:color w:val="auto"/>
          <w:sz w:val="32"/>
          <w:szCs w:val="32"/>
          <w:shd w:val="clear" w:color="auto" w:fill="FFFFFF"/>
          <w:lang w:val="en-US" w:eastAsia="zh-CN"/>
        </w:rPr>
        <w:t>30.33</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eastAsia="zh-CN"/>
        </w:rPr>
        <w:t>下降</w:t>
      </w:r>
      <w:r>
        <w:rPr>
          <w:rFonts w:hint="eastAsia" w:ascii="Times New Roman" w:hAnsi="Times New Roman" w:eastAsia="方正仿宋_GBK" w:cs="Times New Roman"/>
          <w:color w:val="auto"/>
          <w:sz w:val="32"/>
          <w:szCs w:val="32"/>
          <w:shd w:val="clear" w:color="auto" w:fill="FFFFFF"/>
          <w:lang w:val="en-US" w:eastAsia="zh-CN"/>
        </w:rPr>
        <w:t>29.30</w:t>
      </w:r>
      <w:r>
        <w:rPr>
          <w:rFonts w:hint="default" w:ascii="Times New Roman" w:hAnsi="Times New Roman" w:eastAsia="方正仿宋_GBK" w:cs="Times New Roman"/>
          <w:color w:val="auto"/>
          <w:sz w:val="32"/>
          <w:szCs w:val="32"/>
          <w:shd w:val="clear" w:color="auto" w:fill="FFFFFF"/>
        </w:rPr>
        <w:t>%，主要原因</w:t>
      </w:r>
      <w:r>
        <w:rPr>
          <w:rFonts w:hint="eastAsia" w:ascii="Times New Roman" w:hAnsi="Times New Roman" w:eastAsia="方正仿宋_GBK" w:cs="Times New Roman"/>
          <w:color w:val="auto"/>
          <w:sz w:val="32"/>
          <w:szCs w:val="32"/>
          <w:shd w:val="clear" w:color="auto" w:fill="FFFFFF"/>
          <w:lang w:eastAsia="zh-CN"/>
        </w:rPr>
        <w:t>为</w:t>
      </w:r>
      <w:r>
        <w:rPr>
          <w:rFonts w:hint="eastAsia" w:ascii="Times New Roman" w:hAnsi="Times New Roman" w:eastAsia="方正仿宋_GBK" w:cs="Times New Roman"/>
          <w:color w:val="auto"/>
          <w:sz w:val="32"/>
          <w:szCs w:val="32"/>
          <w:shd w:val="clear" w:color="auto" w:fill="FFFFFF"/>
        </w:rPr>
        <w:t>减少政协会议住宿费开支</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本年度培训费支出</w:t>
      </w:r>
      <w:r>
        <w:rPr>
          <w:rFonts w:hint="eastAsia" w:ascii="Times New Roman" w:hAnsi="Times New Roman" w:eastAsia="方正仿宋_GBK" w:cs="Times New Roman"/>
          <w:color w:val="auto"/>
          <w:sz w:val="32"/>
          <w:szCs w:val="32"/>
          <w:lang w:val="en-US" w:eastAsia="zh-CN"/>
        </w:rPr>
        <w:t>33.89</w:t>
      </w:r>
      <w:r>
        <w:rPr>
          <w:rFonts w:hint="default" w:ascii="Times New Roman" w:hAnsi="Times New Roman" w:eastAsia="方正仿宋_GBK" w:cs="Times New Roman"/>
          <w:color w:val="auto"/>
          <w:sz w:val="32"/>
          <w:szCs w:val="32"/>
          <w:shd w:val="clear" w:color="auto" w:fill="FFFFFF"/>
        </w:rPr>
        <w:t>万元，与2023年度相比，</w:t>
      </w:r>
      <w:r>
        <w:rPr>
          <w:rFonts w:hint="eastAsia" w:ascii="Times New Roman" w:hAnsi="Times New Roman" w:eastAsia="方正仿宋_GBK" w:cs="Times New Roman"/>
          <w:color w:val="auto"/>
          <w:sz w:val="32"/>
          <w:szCs w:val="32"/>
          <w:shd w:val="clear" w:color="auto" w:fill="FFFFFF"/>
          <w:lang w:eastAsia="zh-CN"/>
        </w:rPr>
        <w:t>减少</w:t>
      </w:r>
      <w:r>
        <w:rPr>
          <w:rFonts w:hint="eastAsia" w:ascii="Times New Roman" w:hAnsi="Times New Roman" w:eastAsia="方正仿宋_GBK" w:cs="Times New Roman"/>
          <w:color w:val="auto"/>
          <w:sz w:val="32"/>
          <w:szCs w:val="32"/>
          <w:shd w:val="clear" w:color="auto" w:fill="FFFFFF"/>
          <w:lang w:val="en-US" w:eastAsia="zh-CN"/>
        </w:rPr>
        <w:t>22.18</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eastAsia="zh-CN"/>
        </w:rPr>
        <w:t>下降</w:t>
      </w:r>
      <w:r>
        <w:rPr>
          <w:rFonts w:hint="eastAsia" w:ascii="Times New Roman" w:hAnsi="Times New Roman" w:eastAsia="方正仿宋_GBK" w:cs="Times New Roman"/>
          <w:color w:val="auto"/>
          <w:sz w:val="32"/>
          <w:szCs w:val="32"/>
          <w:shd w:val="clear" w:color="auto" w:fill="FFFFFF"/>
          <w:lang w:val="en-US" w:eastAsia="zh-CN"/>
        </w:rPr>
        <w:t>39.60</w:t>
      </w:r>
      <w:r>
        <w:rPr>
          <w:rFonts w:hint="default" w:ascii="Times New Roman" w:hAnsi="Times New Roman" w:eastAsia="方正仿宋_GBK" w:cs="Times New Roman"/>
          <w:color w:val="auto"/>
          <w:sz w:val="32"/>
          <w:szCs w:val="32"/>
          <w:shd w:val="clear" w:color="auto" w:fill="FFFFFF"/>
        </w:rPr>
        <w:t>%，主要原因</w:t>
      </w:r>
      <w:r>
        <w:rPr>
          <w:rFonts w:hint="eastAsia" w:ascii="Times New Roman" w:hAnsi="Times New Roman" w:eastAsia="方正仿宋_GBK" w:cs="Times New Roman"/>
          <w:color w:val="auto"/>
          <w:sz w:val="32"/>
          <w:szCs w:val="32"/>
          <w:shd w:val="clear" w:color="auto" w:fill="FFFFFF"/>
          <w:lang w:eastAsia="zh-CN"/>
        </w:rPr>
        <w:t>是</w:t>
      </w:r>
      <w:r>
        <w:rPr>
          <w:rFonts w:hint="eastAsia" w:ascii="Times New Roman" w:hAnsi="Times New Roman" w:eastAsia="方正仿宋_GBK" w:cs="Times New Roman"/>
          <w:color w:val="auto"/>
          <w:sz w:val="32"/>
          <w:szCs w:val="32"/>
          <w:shd w:val="clear" w:color="auto" w:fill="FFFFFF"/>
        </w:rPr>
        <w:t>2024年党员教育远程培训费已在2023年支付</w:t>
      </w:r>
      <w:r>
        <w:rPr>
          <w:rFonts w:hint="default" w:ascii="Times New Roman" w:hAnsi="Times New Roman" w:eastAsia="方正仿宋_GBK" w:cs="Times New Roman"/>
          <w:color w:val="auto"/>
          <w:sz w:val="32"/>
          <w:szCs w:val="32"/>
          <w:shd w:val="clear" w:color="auto" w:fill="FFFFFF"/>
          <w:lang w:eastAsia="zh-CN"/>
        </w:rPr>
        <w:t>。</w:t>
      </w:r>
    </w:p>
    <w:p w14:paraId="1B751AD3">
      <w:pPr>
        <w:pStyle w:val="8"/>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（二）机关运行经费情况说明</w:t>
      </w:r>
    </w:p>
    <w:p w14:paraId="237AD787">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年度本部门机关运行经费支出</w:t>
      </w:r>
      <w:r>
        <w:rPr>
          <w:rFonts w:hint="eastAsia" w:ascii="Times New Roman" w:hAnsi="Times New Roman" w:eastAsia="方正仿宋_GBK" w:cs="Times New Roman"/>
          <w:color w:val="auto"/>
          <w:sz w:val="32"/>
          <w:szCs w:val="32"/>
          <w:lang w:val="en-US" w:eastAsia="zh-CN"/>
        </w:rPr>
        <w:t>198.40</w:t>
      </w:r>
      <w:r>
        <w:rPr>
          <w:rFonts w:hint="default" w:ascii="Times New Roman" w:hAnsi="Times New Roman" w:eastAsia="方正仿宋_GBK" w:cs="Times New Roman"/>
          <w:color w:val="auto"/>
          <w:sz w:val="32"/>
          <w:szCs w:val="32"/>
          <w:shd w:val="clear" w:color="auto" w:fill="FFFFFF"/>
        </w:rPr>
        <w:t>万元，机关运行经费主要用于开支办公费、邮电费、差旅费、培训费、劳务费、工会经费、福利费、公务用车运行维护费、其他交通费用、其他商品和服务支出。机关运行经费较上年支出数</w:t>
      </w:r>
      <w:r>
        <w:rPr>
          <w:rFonts w:hint="eastAsia" w:ascii="Times New Roman" w:hAnsi="Times New Roman" w:eastAsia="方正仿宋_GBK" w:cs="Times New Roman"/>
          <w:color w:val="auto"/>
          <w:sz w:val="32"/>
          <w:szCs w:val="32"/>
          <w:shd w:val="clear" w:color="auto" w:fill="FFFFFF"/>
          <w:lang w:eastAsia="zh-CN"/>
        </w:rPr>
        <w:t>减少</w:t>
      </w:r>
      <w:r>
        <w:rPr>
          <w:rFonts w:hint="eastAsia" w:ascii="Times New Roman" w:hAnsi="Times New Roman" w:eastAsia="方正仿宋_GBK" w:cs="Times New Roman"/>
          <w:color w:val="auto"/>
          <w:sz w:val="32"/>
          <w:szCs w:val="32"/>
          <w:shd w:val="clear" w:color="auto" w:fill="FFFFFF"/>
          <w:lang w:val="en-US" w:eastAsia="zh-CN"/>
        </w:rPr>
        <w:t>14.91</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eastAsia="zh-CN"/>
        </w:rPr>
        <w:t>下降</w:t>
      </w:r>
      <w:r>
        <w:rPr>
          <w:rFonts w:hint="eastAsia" w:ascii="Times New Roman" w:hAnsi="Times New Roman" w:eastAsia="方正仿宋_GBK" w:cs="Times New Roman"/>
          <w:color w:val="auto"/>
          <w:sz w:val="32"/>
          <w:szCs w:val="32"/>
          <w:shd w:val="clear" w:color="auto" w:fill="FFFFFF"/>
          <w:lang w:val="en-US" w:eastAsia="zh-CN"/>
        </w:rPr>
        <w:t>7.0</w:t>
      </w:r>
      <w:r>
        <w:rPr>
          <w:rFonts w:hint="default" w:ascii="Times New Roman" w:hAnsi="Times New Roman" w:eastAsia="方正仿宋_GBK" w:cs="Times New Roman"/>
          <w:color w:val="auto"/>
          <w:sz w:val="32"/>
          <w:szCs w:val="32"/>
          <w:shd w:val="clear" w:color="auto" w:fill="FFFFFF"/>
        </w:rPr>
        <w:t>%，主要原因</w:t>
      </w:r>
      <w:r>
        <w:rPr>
          <w:rFonts w:hint="eastAsia" w:ascii="Times New Roman" w:hAnsi="Times New Roman" w:eastAsia="方正仿宋_GBK" w:cs="Times New Roman"/>
          <w:color w:val="auto"/>
          <w:sz w:val="32"/>
          <w:szCs w:val="32"/>
          <w:shd w:val="clear" w:color="auto" w:fill="FFFFFF"/>
          <w:lang w:eastAsia="zh-CN"/>
        </w:rPr>
        <w:t>为</w:t>
      </w:r>
      <w:r>
        <w:rPr>
          <w:rFonts w:hint="eastAsia" w:ascii="Times New Roman" w:hAnsi="Times New Roman" w:eastAsia="仿宋_GB2312"/>
          <w:color w:val="auto"/>
          <w:sz w:val="32"/>
          <w:szCs w:val="32"/>
          <w:highlight w:val="none"/>
          <w:u w:val="none"/>
          <w:lang w:eastAsia="zh-CN"/>
        </w:rPr>
        <w:t>严格贯彻落实“过紧日子”要求，坚持厉行节约、压紧支出</w:t>
      </w:r>
      <w:r>
        <w:rPr>
          <w:rFonts w:hint="default" w:ascii="Times New Roman" w:hAnsi="Times New Roman" w:eastAsia="方正仿宋_GBK" w:cs="Times New Roman"/>
          <w:color w:val="auto"/>
          <w:sz w:val="32"/>
          <w:szCs w:val="32"/>
          <w:highlight w:val="none"/>
          <w:shd w:val="clear" w:color="auto" w:fill="FFFFFF"/>
          <w:lang w:eastAsia="zh-CN"/>
        </w:rPr>
        <w:t>。</w:t>
      </w:r>
    </w:p>
    <w:p w14:paraId="0BC2733A">
      <w:pPr>
        <w:pStyle w:val="8"/>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（三）国有资产占用情况说明</w:t>
      </w:r>
    </w:p>
    <w:p w14:paraId="5877A595">
      <w:pPr>
        <w:pStyle w:val="4"/>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截至2024年12月31日，本部门共有车辆</w:t>
      </w:r>
      <w:r>
        <w:rPr>
          <w:rFonts w:hint="eastAsia" w:ascii="Times New Roman" w:hAnsi="Times New Roman" w:eastAsia="方正仿宋_GBK" w:cs="Times New Roman"/>
          <w:color w:val="auto"/>
          <w:sz w:val="32"/>
          <w:szCs w:val="32"/>
          <w:shd w:val="clear" w:color="auto" w:fill="FFFFFF"/>
          <w:lang w:val="en-US" w:eastAsia="zh-CN"/>
        </w:rPr>
        <w:t>8</w:t>
      </w:r>
      <w:r>
        <w:rPr>
          <w:rFonts w:hint="default" w:ascii="Times New Roman" w:hAnsi="Times New Roman" w:eastAsia="方正仿宋_GBK" w:cs="Times New Roman"/>
          <w:color w:val="auto"/>
          <w:sz w:val="32"/>
          <w:szCs w:val="32"/>
          <w:shd w:val="clear" w:color="auto" w:fill="FFFFFF"/>
        </w:rPr>
        <w:t>辆，其中，副部（省）级及以上领导用车0辆、主要负责人用车0辆、机要通信用车1辆、应急保障用车</w:t>
      </w:r>
      <w:r>
        <w:rPr>
          <w:rFonts w:hint="eastAsia" w:ascii="Times New Roman" w:hAnsi="Times New Roman" w:eastAsia="方正仿宋_GBK" w:cs="Times New Roman"/>
          <w:color w:val="auto"/>
          <w:sz w:val="32"/>
          <w:szCs w:val="32"/>
          <w:shd w:val="clear" w:color="auto" w:fill="FFFFFF"/>
          <w:lang w:val="en-US" w:eastAsia="zh-CN"/>
        </w:rPr>
        <w:t>7</w:t>
      </w:r>
      <w:r>
        <w:rPr>
          <w:rFonts w:hint="default" w:ascii="Times New Roman" w:hAnsi="Times New Roman" w:eastAsia="方正仿宋_GBK" w:cs="Times New Roman"/>
          <w:color w:val="auto"/>
          <w:sz w:val="32"/>
          <w:szCs w:val="32"/>
          <w:shd w:val="clear" w:color="auto" w:fill="FFFFFF"/>
        </w:rPr>
        <w:t>辆、执法执勤用车0辆，特种专业技术用车0辆，离退休干部用车0辆</w:t>
      </w:r>
      <w:r>
        <w:rPr>
          <w:rFonts w:hint="eastAsia" w:ascii="Times New Roman" w:hAnsi="Times New Roman" w:eastAsia="方正仿宋_GBK" w:cs="Times New Roman"/>
          <w:color w:val="auto"/>
          <w:sz w:val="32"/>
          <w:szCs w:val="32"/>
          <w:shd w:val="clear" w:color="auto" w:fill="FFFFFF"/>
          <w:lang w:val="en-US" w:eastAsia="zh-CN"/>
        </w:rPr>
        <w:t>(</w:t>
      </w:r>
      <w:r>
        <w:rPr>
          <w:rFonts w:hint="eastAsia" w:ascii="方正仿宋_GBK" w:hAnsi="方正仿宋_GBK" w:eastAsia="方正仿宋_GBK" w:cs="方正仿宋_GBK"/>
          <w:color w:val="auto"/>
          <w:sz w:val="32"/>
          <w:szCs w:val="32"/>
          <w:shd w:val="clear" w:color="auto" w:fill="FFFFFF"/>
          <w:lang w:eastAsia="zh-CN"/>
        </w:rPr>
        <w:t>其中：有</w:t>
      </w:r>
      <w:r>
        <w:rPr>
          <w:rFonts w:hint="eastAsia" w:ascii="方正仿宋_GBK" w:hAnsi="方正仿宋_GBK" w:eastAsia="方正仿宋_GBK" w:cs="方正仿宋_GBK"/>
          <w:color w:val="auto"/>
          <w:sz w:val="32"/>
          <w:szCs w:val="32"/>
          <w:shd w:val="clear" w:color="auto" w:fill="FFFFFF"/>
          <w:lang w:val="en-US" w:eastAsia="zh-CN"/>
        </w:rPr>
        <w:t>3辆公车已经报废，待下账</w:t>
      </w:r>
      <w:r>
        <w:rPr>
          <w:rFonts w:hint="eastAsia"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rPr>
        <w:t>单价100万元（含）以上专用设备0台（套）。</w:t>
      </w:r>
    </w:p>
    <w:p w14:paraId="40E40DDE">
      <w:pPr>
        <w:pStyle w:val="8"/>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（四）政府采购支出情况说明</w:t>
      </w:r>
    </w:p>
    <w:p w14:paraId="4E1F366B">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年度本部门政府采购支出总额</w:t>
      </w:r>
      <w:r>
        <w:rPr>
          <w:rFonts w:hint="eastAsia" w:ascii="Times New Roman" w:hAnsi="Times New Roman" w:eastAsia="方正仿宋_GBK" w:cs="Times New Roman"/>
          <w:color w:val="auto"/>
          <w:sz w:val="32"/>
          <w:szCs w:val="32"/>
          <w:lang w:val="en-US" w:eastAsia="zh-CN"/>
        </w:rPr>
        <w:t>4.41</w:t>
      </w:r>
      <w:r>
        <w:rPr>
          <w:rFonts w:hint="default" w:ascii="Times New Roman" w:hAnsi="Times New Roman" w:eastAsia="方正仿宋_GBK" w:cs="Times New Roman"/>
          <w:color w:val="auto"/>
          <w:sz w:val="32"/>
          <w:szCs w:val="32"/>
          <w:shd w:val="clear" w:color="auto" w:fill="FFFFFF"/>
        </w:rPr>
        <w:t>万元，其中：政府采购货物支出</w:t>
      </w:r>
      <w:r>
        <w:rPr>
          <w:rFonts w:hint="eastAsia" w:ascii="Times New Roman" w:hAnsi="Times New Roman" w:eastAsia="方正仿宋_GBK" w:cs="Times New Roman"/>
          <w:color w:val="auto"/>
          <w:sz w:val="32"/>
          <w:szCs w:val="32"/>
          <w:lang w:val="en-US" w:eastAsia="zh-CN"/>
        </w:rPr>
        <w:t>4.41</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eastAsia="zh-CN"/>
        </w:rPr>
        <w:t>、</w:t>
      </w:r>
      <w:r>
        <w:rPr>
          <w:rFonts w:hint="eastAsia" w:ascii="Times New Roman" w:hAnsi="Times New Roman" w:eastAsia="方正仿宋_GBK" w:cs="Times New Roman"/>
          <w:color w:val="auto"/>
          <w:sz w:val="32"/>
          <w:szCs w:val="32"/>
          <w:shd w:val="clear" w:color="auto" w:fill="FFFFFF"/>
          <w:lang w:val="en-US" w:eastAsia="zh-CN"/>
        </w:rPr>
        <w:t>政府采购工程支出0万元、政府采购服务支出0万元</w:t>
      </w:r>
      <w:r>
        <w:rPr>
          <w:rFonts w:hint="default" w:ascii="Times New Roman" w:hAnsi="Times New Roman" w:eastAsia="方正仿宋_GBK" w:cs="Times New Roman"/>
          <w:color w:val="auto"/>
          <w:sz w:val="32"/>
          <w:szCs w:val="32"/>
          <w:shd w:val="clear" w:color="auto" w:fill="FFFFFF"/>
        </w:rPr>
        <w:t>。授予中小企业合同金额</w:t>
      </w:r>
      <w:r>
        <w:rPr>
          <w:rFonts w:hint="eastAsia" w:ascii="Times New Roman" w:hAnsi="Times New Roman" w:eastAsia="方正仿宋_GBK" w:cs="Times New Roman"/>
          <w:color w:val="auto"/>
          <w:sz w:val="32"/>
          <w:szCs w:val="32"/>
          <w:lang w:val="en-US" w:eastAsia="zh-CN"/>
        </w:rPr>
        <w:t>4.41</w:t>
      </w:r>
      <w:r>
        <w:rPr>
          <w:rFonts w:hint="default" w:ascii="Times New Roman" w:hAnsi="Times New Roman" w:eastAsia="方正仿宋_GBK" w:cs="Times New Roman"/>
          <w:color w:val="auto"/>
          <w:sz w:val="32"/>
          <w:szCs w:val="32"/>
        </w:rPr>
        <w:t>万</w:t>
      </w:r>
      <w:r>
        <w:rPr>
          <w:rFonts w:hint="default" w:ascii="Times New Roman" w:hAnsi="Times New Roman" w:eastAsia="方正仿宋_GBK" w:cs="Times New Roman"/>
          <w:color w:val="auto"/>
          <w:sz w:val="32"/>
          <w:szCs w:val="32"/>
          <w:shd w:val="clear" w:color="auto" w:fill="FFFFFF"/>
        </w:rPr>
        <w:t>元，占政府采购支出总额的</w:t>
      </w:r>
      <w:r>
        <w:rPr>
          <w:rFonts w:hint="default" w:ascii="Times New Roman" w:hAnsi="Times New Roman" w:eastAsia="方正仿宋_GBK" w:cs="Times New Roman"/>
          <w:color w:val="auto"/>
          <w:sz w:val="32"/>
          <w:szCs w:val="32"/>
        </w:rPr>
        <w:t>100</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%，其中：授予小微企业合同金额</w:t>
      </w:r>
      <w:r>
        <w:rPr>
          <w:rFonts w:hint="eastAsia" w:ascii="Times New Roman" w:hAnsi="Times New Roman" w:eastAsia="方正仿宋_GBK" w:cs="Times New Roman"/>
          <w:color w:val="auto"/>
          <w:sz w:val="32"/>
          <w:szCs w:val="32"/>
          <w:lang w:val="en-US" w:eastAsia="zh-CN"/>
        </w:rPr>
        <w:t>4.41</w:t>
      </w:r>
      <w:r>
        <w:rPr>
          <w:rFonts w:hint="default" w:ascii="Times New Roman" w:hAnsi="Times New Roman" w:eastAsia="方正仿宋_GBK" w:cs="Times New Roman"/>
          <w:color w:val="auto"/>
          <w:sz w:val="32"/>
          <w:szCs w:val="32"/>
          <w:shd w:val="clear" w:color="auto" w:fill="FFFFFF"/>
        </w:rPr>
        <w:t>万元，占政府采购支出总额的</w:t>
      </w:r>
      <w:r>
        <w:rPr>
          <w:rFonts w:hint="default" w:ascii="Times New Roman" w:hAnsi="Times New Roman" w:eastAsia="方正仿宋_GBK" w:cs="Times New Roman"/>
          <w:color w:val="auto"/>
          <w:sz w:val="32"/>
          <w:szCs w:val="32"/>
        </w:rPr>
        <w:t>100</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%。主要用于采购</w:t>
      </w:r>
      <w:r>
        <w:rPr>
          <w:rFonts w:hint="default" w:ascii="Times New Roman" w:hAnsi="Times New Roman" w:eastAsia="方正仿宋_GBK" w:cs="Times New Roman"/>
          <w:color w:val="auto"/>
          <w:sz w:val="32"/>
          <w:szCs w:val="32"/>
          <w:shd w:val="clear" w:color="auto" w:fill="FFFFFF"/>
          <w:lang w:eastAsia="zh-CN"/>
        </w:rPr>
        <w:t>办公电脑</w:t>
      </w:r>
      <w:r>
        <w:rPr>
          <w:rFonts w:hint="eastAsia" w:ascii="Times New Roman" w:hAnsi="Times New Roman" w:eastAsia="方正仿宋_GBK" w:cs="Times New Roman"/>
          <w:color w:val="auto"/>
          <w:sz w:val="32"/>
          <w:szCs w:val="32"/>
          <w:shd w:val="clear" w:color="auto" w:fill="FFFFFF"/>
          <w:lang w:eastAsia="zh-CN"/>
        </w:rPr>
        <w:t>、打印机、耗材等</w:t>
      </w:r>
      <w:r>
        <w:rPr>
          <w:rFonts w:hint="default" w:ascii="Times New Roman" w:hAnsi="Times New Roman" w:eastAsia="方正仿宋_GBK" w:cs="Times New Roman"/>
          <w:color w:val="auto"/>
          <w:sz w:val="32"/>
          <w:szCs w:val="32"/>
          <w:shd w:val="clear" w:color="auto" w:fill="FFFFFF"/>
          <w:lang w:eastAsia="zh-CN"/>
        </w:rPr>
        <w:t>。</w:t>
      </w:r>
    </w:p>
    <w:p w14:paraId="208AB9DE">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eastAsia="zh-CN"/>
        </w:rPr>
        <w:t>五、</w:t>
      </w:r>
      <w:r>
        <w:rPr>
          <w:rFonts w:hint="default" w:ascii="Times New Roman" w:hAnsi="Times New Roman" w:eastAsia="方正黑体_GBK" w:cs="Times New Roman"/>
          <w:sz w:val="32"/>
          <w:szCs w:val="32"/>
        </w:rPr>
        <w:t>预算绩效管理情况说明</w:t>
      </w:r>
    </w:p>
    <w:p w14:paraId="6E9EF71C">
      <w:pPr>
        <w:pStyle w:val="8"/>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（一）部门自评情况</w:t>
      </w:r>
    </w:p>
    <w:p w14:paraId="51DE7417">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firstLine="640"/>
        <w:textAlignment w:val="auto"/>
        <w:rPr>
          <w:rFonts w:hint="eastAsia"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根据预算绩效管理要求，我部门对部门整体和</w:t>
      </w:r>
      <w:r>
        <w:rPr>
          <w:rFonts w:hint="eastAsia" w:ascii="Times New Roman" w:hAnsi="Times New Roman" w:eastAsia="方正仿宋_GBK" w:cs="Times New Roman"/>
          <w:color w:val="auto"/>
          <w:sz w:val="32"/>
          <w:szCs w:val="32"/>
          <w:shd w:val="clear" w:color="auto" w:fill="FFFFFF"/>
          <w:lang w:val="en-US" w:eastAsia="zh-CN"/>
        </w:rPr>
        <w:t>8</w:t>
      </w:r>
      <w:r>
        <w:rPr>
          <w:rFonts w:hint="default" w:ascii="Times New Roman" w:hAnsi="Times New Roman" w:eastAsia="方正仿宋_GBK" w:cs="Times New Roman"/>
          <w:color w:val="auto"/>
          <w:sz w:val="32"/>
          <w:szCs w:val="32"/>
          <w:shd w:val="clear" w:color="auto" w:fill="FFFFFF"/>
        </w:rPr>
        <w:t>个</w:t>
      </w:r>
      <w:r>
        <w:rPr>
          <w:rFonts w:hint="default" w:ascii="Times New Roman" w:hAnsi="Times New Roman" w:eastAsia="方正仿宋_GBK" w:cs="Times New Roman"/>
          <w:color w:val="auto"/>
          <w:sz w:val="32"/>
          <w:szCs w:val="32"/>
          <w:shd w:val="clear" w:color="auto" w:fill="FFFFFF"/>
          <w:lang w:eastAsia="zh-CN"/>
        </w:rPr>
        <w:t>二</w:t>
      </w:r>
      <w:r>
        <w:rPr>
          <w:rFonts w:hint="default" w:ascii="Times New Roman" w:hAnsi="Times New Roman" w:eastAsia="方正仿宋_GBK" w:cs="Times New Roman"/>
          <w:color w:val="auto"/>
          <w:sz w:val="32"/>
          <w:szCs w:val="32"/>
          <w:shd w:val="clear" w:color="auto" w:fill="FFFFFF"/>
        </w:rPr>
        <w:t>级项目开展了绩效自评，</w:t>
      </w:r>
      <w:r>
        <w:rPr>
          <w:rFonts w:hint="default" w:ascii="Times New Roman" w:hAnsi="Times New Roman" w:eastAsia="方正仿宋_GBK" w:cs="Times New Roman"/>
          <w:kern w:val="0"/>
          <w:sz w:val="32"/>
          <w:szCs w:val="32"/>
          <w:highlight w:val="none"/>
        </w:rPr>
        <w:t>其中，以填报目标自评表形式开展自评</w:t>
      </w:r>
      <w:r>
        <w:rPr>
          <w:rFonts w:hint="eastAsia" w:ascii="Times New Roman" w:hAnsi="Times New Roman" w:eastAsia="方正仿宋_GBK" w:cs="Times New Roman"/>
          <w:kern w:val="0"/>
          <w:sz w:val="32"/>
          <w:szCs w:val="32"/>
          <w:highlight w:val="none"/>
          <w:lang w:val="en-US" w:eastAsia="zh-CN"/>
        </w:rPr>
        <w:t>9</w:t>
      </w:r>
      <w:r>
        <w:rPr>
          <w:rFonts w:hint="default" w:ascii="Times New Roman" w:hAnsi="Times New Roman" w:eastAsia="方正仿宋_GBK" w:cs="Times New Roman"/>
          <w:kern w:val="0"/>
          <w:sz w:val="32"/>
          <w:szCs w:val="32"/>
          <w:highlight w:val="none"/>
        </w:rPr>
        <w:t>项，</w:t>
      </w:r>
      <w:r>
        <w:rPr>
          <w:rFonts w:hint="default" w:ascii="Times New Roman" w:hAnsi="Times New Roman" w:eastAsia="方正仿宋_GBK" w:cs="Times New Roman"/>
          <w:color w:val="auto"/>
          <w:sz w:val="32"/>
          <w:szCs w:val="32"/>
          <w:shd w:val="clear" w:color="auto" w:fill="FFFFFF"/>
        </w:rPr>
        <w:t>涉及财政拨款项目支出资金</w:t>
      </w:r>
      <w:r>
        <w:rPr>
          <w:rFonts w:hint="eastAsia" w:ascii="Times New Roman" w:hAnsi="Times New Roman" w:eastAsia="方正仿宋_GBK" w:cs="Times New Roman"/>
          <w:color w:val="auto"/>
          <w:sz w:val="32"/>
          <w:szCs w:val="32"/>
          <w:shd w:val="clear" w:color="auto" w:fill="FFFFFF"/>
          <w:lang w:val="en-US" w:eastAsia="zh-CN"/>
        </w:rPr>
        <w:t>457.95</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eastAsia="zh-CN"/>
        </w:rPr>
        <w:t>。</w:t>
      </w:r>
    </w:p>
    <w:p w14:paraId="4FD9FB7B">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textAlignment w:val="auto"/>
        <w:rPr>
          <w:rFonts w:hint="eastAsia" w:ascii="Times New Roman" w:hAnsi="Times New Roman" w:eastAsia="方正仿宋_GBK" w:cs="Times New Roman"/>
          <w:color w:val="auto"/>
          <w:sz w:val="32"/>
          <w:szCs w:val="32"/>
          <w:shd w:val="clear" w:color="auto" w:fill="FFFFFF"/>
          <w:lang w:eastAsia="zh-CN"/>
        </w:rPr>
      </w:pPr>
      <w:r>
        <w:rPr>
          <w:rFonts w:ascii="Times New Roman" w:hAnsi="Times New Roman"/>
        </w:rPr>
        <w:drawing>
          <wp:anchor distT="0" distB="0" distL="114300" distR="114300" simplePos="0" relativeHeight="251660288" behindDoc="0" locked="0" layoutInCell="1" allowOverlap="1">
            <wp:simplePos x="0" y="0"/>
            <wp:positionH relativeFrom="column">
              <wp:posOffset>-32385</wp:posOffset>
            </wp:positionH>
            <wp:positionV relativeFrom="paragraph">
              <wp:posOffset>491490</wp:posOffset>
            </wp:positionV>
            <wp:extent cx="5861050" cy="4584065"/>
            <wp:effectExtent l="0" t="0" r="6350" b="698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861050" cy="4584065"/>
                    </a:xfrm>
                    <a:prstGeom prst="rect">
                      <a:avLst/>
                    </a:prstGeom>
                    <a:noFill/>
                    <a:ln>
                      <a:noFill/>
                    </a:ln>
                  </pic:spPr>
                </pic:pic>
              </a:graphicData>
            </a:graphic>
          </wp:anchor>
        </w:drawing>
      </w:r>
      <w:r>
        <w:rPr>
          <w:rFonts w:hint="eastAsia" w:ascii="Times New Roman" w:hAnsi="Times New Roman" w:eastAsia="方正仿宋_GBK" w:cs="Times New Roman"/>
          <w:color w:val="auto"/>
          <w:sz w:val="32"/>
          <w:szCs w:val="32"/>
          <w:shd w:val="clear" w:color="auto" w:fill="FFFFFF"/>
          <w:lang w:eastAsia="zh-CN"/>
        </w:rPr>
        <w:t>政协整体目标绩效：</w:t>
      </w:r>
    </w:p>
    <w:p w14:paraId="07638922">
      <w:pPr>
        <w:pStyle w:val="10"/>
        <w:keepNext w:val="0"/>
        <w:keepLines w:val="0"/>
        <w:pageBreakBefore w:val="0"/>
        <w:tabs>
          <w:tab w:val="center" w:pos="4153"/>
          <w:tab w:val="left" w:pos="7275"/>
        </w:tabs>
        <w:kinsoku/>
        <w:wordWrap/>
        <w:overflowPunct/>
        <w:topLinePunct w:val="0"/>
        <w:autoSpaceDN/>
        <w:bidi w:val="0"/>
        <w:adjustRightInd/>
        <w:spacing w:line="594" w:lineRule="exact"/>
        <w:ind w:left="0" w:leftChars="0" w:firstLine="320" w:firstLineChars="100"/>
        <w:textAlignment w:val="auto"/>
        <w:rPr>
          <w:rFonts w:hint="eastAsia" w:ascii="Times New Roman" w:hAnsi="Times New Roman" w:eastAsia="方正仿宋_GBK" w:cs="Times New Roman"/>
          <w:color w:val="auto"/>
          <w:sz w:val="32"/>
          <w:szCs w:val="32"/>
          <w:shd w:val="clear" w:color="auto" w:fill="FFFFFF"/>
          <w:lang w:eastAsia="zh-CN"/>
        </w:rPr>
      </w:pPr>
    </w:p>
    <w:p w14:paraId="333C1DA9">
      <w:pPr>
        <w:pStyle w:val="10"/>
        <w:keepNext w:val="0"/>
        <w:keepLines w:val="0"/>
        <w:pageBreakBefore w:val="0"/>
        <w:tabs>
          <w:tab w:val="center" w:pos="4153"/>
          <w:tab w:val="left" w:pos="7275"/>
        </w:tabs>
        <w:kinsoku/>
        <w:wordWrap/>
        <w:overflowPunct/>
        <w:topLinePunct w:val="0"/>
        <w:autoSpaceDN/>
        <w:bidi w:val="0"/>
        <w:adjustRightInd/>
        <w:spacing w:line="594" w:lineRule="exact"/>
        <w:ind w:left="0" w:leftChars="0" w:firstLine="320" w:firstLineChars="100"/>
        <w:textAlignment w:val="auto"/>
        <w:rPr>
          <w:rFonts w:hint="eastAsia" w:ascii="Times New Roman" w:hAnsi="Times New Roman" w:eastAsia="方正仿宋_GBK" w:cs="Times New Roman"/>
          <w:color w:val="auto"/>
          <w:sz w:val="32"/>
          <w:szCs w:val="32"/>
          <w:shd w:val="clear" w:color="auto" w:fill="FFFFFF"/>
          <w:lang w:eastAsia="zh-CN"/>
        </w:rPr>
      </w:pPr>
    </w:p>
    <w:p w14:paraId="036EA803">
      <w:pPr>
        <w:pStyle w:val="10"/>
        <w:keepNext w:val="0"/>
        <w:keepLines w:val="0"/>
        <w:pageBreakBefore w:val="0"/>
        <w:tabs>
          <w:tab w:val="center" w:pos="4153"/>
          <w:tab w:val="left" w:pos="7275"/>
        </w:tabs>
        <w:kinsoku/>
        <w:wordWrap/>
        <w:overflowPunct/>
        <w:topLinePunct w:val="0"/>
        <w:autoSpaceDN/>
        <w:bidi w:val="0"/>
        <w:adjustRightInd/>
        <w:spacing w:line="594" w:lineRule="exact"/>
        <w:ind w:left="0" w:leftChars="0" w:firstLine="320" w:firstLineChars="100"/>
        <w:textAlignment w:val="auto"/>
        <w:rPr>
          <w:rFonts w:hint="eastAsia" w:ascii="Times New Roman" w:hAnsi="Times New Roman" w:eastAsia="方正仿宋_GBK" w:cs="Times New Roman"/>
          <w:color w:val="auto"/>
          <w:sz w:val="32"/>
          <w:szCs w:val="32"/>
          <w:shd w:val="clear" w:color="auto" w:fill="FFFFFF"/>
          <w:lang w:eastAsia="zh-CN"/>
        </w:rPr>
      </w:pPr>
    </w:p>
    <w:p w14:paraId="13BA0E83">
      <w:pPr>
        <w:pStyle w:val="10"/>
        <w:keepNext w:val="0"/>
        <w:keepLines w:val="0"/>
        <w:pageBreakBefore w:val="0"/>
        <w:tabs>
          <w:tab w:val="center" w:pos="4153"/>
          <w:tab w:val="left" w:pos="7275"/>
        </w:tabs>
        <w:kinsoku/>
        <w:wordWrap/>
        <w:overflowPunct/>
        <w:topLinePunct w:val="0"/>
        <w:autoSpaceDN/>
        <w:bidi w:val="0"/>
        <w:adjustRightInd/>
        <w:spacing w:line="594" w:lineRule="exact"/>
        <w:ind w:left="0" w:leftChars="0" w:firstLine="320" w:firstLineChars="100"/>
        <w:textAlignment w:val="auto"/>
        <w:rPr>
          <w:rFonts w:hint="eastAsia" w:ascii="Times New Roman" w:hAnsi="Times New Roman" w:eastAsia="方正仿宋_GBK" w:cs="Times New Roman"/>
          <w:color w:val="auto"/>
          <w:sz w:val="32"/>
          <w:szCs w:val="32"/>
          <w:shd w:val="clear" w:color="auto" w:fill="FFFFFF"/>
          <w:lang w:eastAsia="zh-CN"/>
        </w:rPr>
      </w:pPr>
    </w:p>
    <w:p w14:paraId="09A067F3">
      <w:pPr>
        <w:pStyle w:val="10"/>
        <w:keepNext w:val="0"/>
        <w:keepLines w:val="0"/>
        <w:pageBreakBefore w:val="0"/>
        <w:tabs>
          <w:tab w:val="center" w:pos="4153"/>
          <w:tab w:val="left" w:pos="7275"/>
        </w:tabs>
        <w:kinsoku/>
        <w:wordWrap/>
        <w:overflowPunct/>
        <w:topLinePunct w:val="0"/>
        <w:autoSpaceDN/>
        <w:bidi w:val="0"/>
        <w:adjustRightInd/>
        <w:spacing w:line="594" w:lineRule="exact"/>
        <w:ind w:left="0" w:leftChars="0" w:firstLine="320" w:firstLineChars="100"/>
        <w:textAlignment w:val="auto"/>
        <w:rPr>
          <w:rFonts w:hint="eastAsia" w:ascii="Times New Roman" w:hAnsi="Times New Roman" w:eastAsia="方正仿宋_GBK" w:cs="Times New Roman"/>
          <w:color w:val="auto"/>
          <w:sz w:val="32"/>
          <w:szCs w:val="32"/>
          <w:shd w:val="clear" w:color="auto" w:fill="FFFFFF"/>
          <w:lang w:eastAsia="zh-CN"/>
        </w:rPr>
      </w:pPr>
    </w:p>
    <w:p w14:paraId="312BEF77">
      <w:pPr>
        <w:pStyle w:val="10"/>
        <w:keepNext w:val="0"/>
        <w:keepLines w:val="0"/>
        <w:pageBreakBefore w:val="0"/>
        <w:tabs>
          <w:tab w:val="center" w:pos="4153"/>
          <w:tab w:val="left" w:pos="7275"/>
        </w:tabs>
        <w:kinsoku/>
        <w:wordWrap/>
        <w:overflowPunct/>
        <w:topLinePunct w:val="0"/>
        <w:autoSpaceDN/>
        <w:bidi w:val="0"/>
        <w:adjustRightInd/>
        <w:spacing w:line="594" w:lineRule="exact"/>
        <w:ind w:left="0" w:leftChars="0" w:firstLine="320" w:firstLineChars="100"/>
        <w:textAlignment w:val="auto"/>
        <w:rPr>
          <w:rFonts w:hint="eastAsia" w:ascii="Times New Roman" w:hAnsi="Times New Roman" w:eastAsia="方正仿宋_GBK" w:cs="Times New Roman"/>
          <w:color w:val="auto"/>
          <w:sz w:val="32"/>
          <w:szCs w:val="32"/>
          <w:shd w:val="clear" w:color="auto" w:fill="FFFFFF"/>
          <w:lang w:eastAsia="zh-CN"/>
        </w:rPr>
      </w:pPr>
    </w:p>
    <w:p w14:paraId="0FCFCE2D">
      <w:pPr>
        <w:pStyle w:val="10"/>
        <w:keepNext w:val="0"/>
        <w:keepLines w:val="0"/>
        <w:pageBreakBefore w:val="0"/>
        <w:tabs>
          <w:tab w:val="center" w:pos="4153"/>
          <w:tab w:val="left" w:pos="7275"/>
        </w:tabs>
        <w:kinsoku/>
        <w:wordWrap/>
        <w:overflowPunct/>
        <w:topLinePunct w:val="0"/>
        <w:autoSpaceDN/>
        <w:bidi w:val="0"/>
        <w:adjustRightInd/>
        <w:spacing w:line="594" w:lineRule="exact"/>
        <w:ind w:left="0" w:leftChars="0" w:firstLine="320" w:firstLineChars="100"/>
        <w:textAlignment w:val="auto"/>
        <w:rPr>
          <w:rFonts w:hint="eastAsia" w:ascii="Times New Roman" w:hAnsi="Times New Roman" w:eastAsia="方正仿宋_GBK" w:cs="Times New Roman"/>
          <w:color w:val="auto"/>
          <w:sz w:val="32"/>
          <w:szCs w:val="32"/>
          <w:shd w:val="clear" w:color="auto" w:fill="FFFFFF"/>
          <w:lang w:eastAsia="zh-CN"/>
        </w:rPr>
      </w:pPr>
    </w:p>
    <w:p w14:paraId="5B768869">
      <w:pPr>
        <w:pStyle w:val="10"/>
        <w:keepNext w:val="0"/>
        <w:keepLines w:val="0"/>
        <w:pageBreakBefore w:val="0"/>
        <w:tabs>
          <w:tab w:val="center" w:pos="4153"/>
          <w:tab w:val="left" w:pos="7275"/>
        </w:tabs>
        <w:kinsoku/>
        <w:wordWrap/>
        <w:overflowPunct/>
        <w:topLinePunct w:val="0"/>
        <w:autoSpaceDN/>
        <w:bidi w:val="0"/>
        <w:adjustRightInd/>
        <w:spacing w:line="594" w:lineRule="exact"/>
        <w:ind w:left="0" w:leftChars="0" w:firstLine="0" w:firstLineChars="0"/>
        <w:textAlignment w:val="auto"/>
        <w:rPr>
          <w:rFonts w:hint="eastAsia" w:ascii="Times New Roman" w:hAnsi="Times New Roman" w:eastAsia="方正仿宋_GBK" w:cs="Times New Roman"/>
          <w:color w:val="auto"/>
          <w:sz w:val="32"/>
          <w:szCs w:val="32"/>
          <w:shd w:val="clear" w:color="auto" w:fill="FFFFFF"/>
          <w:lang w:eastAsia="zh-CN"/>
        </w:rPr>
      </w:pPr>
    </w:p>
    <w:p w14:paraId="718F2AD1">
      <w:pPr>
        <w:pStyle w:val="10"/>
        <w:keepNext w:val="0"/>
        <w:keepLines w:val="0"/>
        <w:pageBreakBefore w:val="0"/>
        <w:tabs>
          <w:tab w:val="center" w:pos="4153"/>
          <w:tab w:val="left" w:pos="7275"/>
        </w:tabs>
        <w:kinsoku/>
        <w:wordWrap/>
        <w:overflowPunct/>
        <w:topLinePunct w:val="0"/>
        <w:autoSpaceDN/>
        <w:bidi w:val="0"/>
        <w:adjustRightInd/>
        <w:spacing w:line="594" w:lineRule="exact"/>
        <w:ind w:left="0" w:leftChars="0" w:firstLine="320" w:firstLineChars="100"/>
        <w:textAlignment w:val="auto"/>
        <w:rPr>
          <w:rFonts w:hint="eastAsia" w:ascii="Times New Roman" w:hAnsi="Times New Roman" w:eastAsia="方正仿宋_GBK" w:cs="Times New Roman"/>
          <w:color w:val="auto"/>
          <w:sz w:val="32"/>
          <w:szCs w:val="32"/>
          <w:shd w:val="clear" w:color="auto" w:fill="FFFFFF"/>
          <w:lang w:eastAsia="zh-CN"/>
        </w:rPr>
      </w:pPr>
      <w:r>
        <w:rPr>
          <w:rFonts w:hint="eastAsia" w:ascii="Times New Roman" w:hAnsi="Times New Roman" w:eastAsia="方正仿宋_GBK" w:cs="Times New Roman"/>
          <w:color w:val="auto"/>
          <w:sz w:val="32"/>
          <w:szCs w:val="32"/>
          <w:shd w:val="clear" w:color="auto" w:fill="FFFFFF"/>
          <w:lang w:eastAsia="zh-CN"/>
        </w:rPr>
        <w:t>政协文史资料编辑工作经费：</w:t>
      </w:r>
    </w:p>
    <w:p w14:paraId="63C1023F">
      <w:pPr>
        <w:keepNext w:val="0"/>
        <w:keepLines w:val="0"/>
        <w:pageBreakBefore w:val="0"/>
        <w:kinsoku/>
        <w:wordWrap/>
        <w:overflowPunct/>
        <w:topLinePunct w:val="0"/>
        <w:autoSpaceDN/>
        <w:bidi w:val="0"/>
        <w:adjustRightInd/>
        <w:spacing w:line="594" w:lineRule="exact"/>
        <w:textAlignment w:val="auto"/>
        <w:rPr>
          <w:rFonts w:hint="eastAsia" w:ascii="Times New Roman" w:hAnsi="Times New Roman" w:eastAsia="方正仿宋_GBK" w:cs="Times New Roman"/>
          <w:color w:val="auto"/>
          <w:sz w:val="32"/>
          <w:szCs w:val="32"/>
          <w:shd w:val="clear" w:color="auto" w:fill="FFFFFF"/>
          <w:lang w:eastAsia="zh-CN"/>
        </w:rPr>
      </w:pPr>
      <w:r>
        <w:rPr>
          <w:rFonts w:ascii="Times New Roman" w:hAnsi="Times New Roman"/>
        </w:rPr>
        <w:drawing>
          <wp:anchor distT="0" distB="0" distL="114300" distR="114300" simplePos="0" relativeHeight="251661312" behindDoc="1" locked="0" layoutInCell="1" allowOverlap="1">
            <wp:simplePos x="0" y="0"/>
            <wp:positionH relativeFrom="column">
              <wp:posOffset>-33655</wp:posOffset>
            </wp:positionH>
            <wp:positionV relativeFrom="paragraph">
              <wp:posOffset>115570</wp:posOffset>
            </wp:positionV>
            <wp:extent cx="5977890" cy="3430270"/>
            <wp:effectExtent l="0" t="0" r="3810" b="0"/>
            <wp:wrapTight wrapText="bothSides">
              <wp:wrapPolygon>
                <wp:start x="0" y="0"/>
                <wp:lineTo x="0" y="21472"/>
                <wp:lineTo x="21545" y="21472"/>
                <wp:lineTo x="21545"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977890" cy="3430270"/>
                    </a:xfrm>
                    <a:prstGeom prst="rect">
                      <a:avLst/>
                    </a:prstGeom>
                    <a:noFill/>
                    <a:ln>
                      <a:noFill/>
                    </a:ln>
                  </pic:spPr>
                </pic:pic>
              </a:graphicData>
            </a:graphic>
          </wp:anchor>
        </w:drawing>
      </w:r>
    </w:p>
    <w:p w14:paraId="4CD6DA4F">
      <w:pPr>
        <w:pStyle w:val="10"/>
        <w:keepNext w:val="0"/>
        <w:keepLines w:val="0"/>
        <w:pageBreakBefore w:val="0"/>
        <w:tabs>
          <w:tab w:val="center" w:pos="4153"/>
          <w:tab w:val="left" w:pos="7275"/>
        </w:tabs>
        <w:kinsoku/>
        <w:wordWrap/>
        <w:overflowPunct/>
        <w:topLinePunct w:val="0"/>
        <w:autoSpaceDN/>
        <w:bidi w:val="0"/>
        <w:adjustRightInd/>
        <w:spacing w:line="594" w:lineRule="exact"/>
        <w:textAlignment w:val="auto"/>
        <w:rPr>
          <w:rFonts w:hint="eastAsia" w:ascii="Times New Roman" w:hAnsi="Times New Roman" w:eastAsia="方正楷体_GBK" w:cs="方正楷体_GBK"/>
          <w:b w:val="0"/>
          <w:bCs w:val="0"/>
          <w:color w:val="auto"/>
          <w:kern w:val="0"/>
          <w:sz w:val="32"/>
          <w:szCs w:val="32"/>
          <w:lang w:val="en-US" w:eastAsia="zh-CN" w:bidi="ar-SA"/>
        </w:rPr>
      </w:pPr>
      <w:r>
        <w:rPr>
          <w:rFonts w:ascii="Times New Roman" w:hAnsi="Times New Roman"/>
        </w:rPr>
        <w:drawing>
          <wp:anchor distT="0" distB="0" distL="114300" distR="114300" simplePos="0" relativeHeight="251662336" behindDoc="1" locked="0" layoutInCell="1" allowOverlap="1">
            <wp:simplePos x="0" y="0"/>
            <wp:positionH relativeFrom="column">
              <wp:posOffset>21590</wp:posOffset>
            </wp:positionH>
            <wp:positionV relativeFrom="paragraph">
              <wp:posOffset>852805</wp:posOffset>
            </wp:positionV>
            <wp:extent cx="5797550" cy="3270250"/>
            <wp:effectExtent l="0" t="0" r="12700" b="0"/>
            <wp:wrapTight wrapText="bothSides">
              <wp:wrapPolygon>
                <wp:start x="0" y="0"/>
                <wp:lineTo x="0" y="21516"/>
                <wp:lineTo x="21505" y="21516"/>
                <wp:lineTo x="21505" y="0"/>
                <wp:lineTo x="0" y="0"/>
              </wp:wrapPolygon>
            </wp:wrapTight>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5797550" cy="3270250"/>
                    </a:xfrm>
                    <a:prstGeom prst="rect">
                      <a:avLst/>
                    </a:prstGeom>
                    <a:noFill/>
                    <a:ln>
                      <a:noFill/>
                    </a:ln>
                  </pic:spPr>
                </pic:pic>
              </a:graphicData>
            </a:graphic>
          </wp:anchor>
        </w:drawing>
      </w:r>
      <w:r>
        <w:rPr>
          <w:rFonts w:hint="eastAsia" w:ascii="Times New Roman" w:hAnsi="Times New Roman" w:eastAsia="方正仿宋_GBK" w:cs="Times New Roman"/>
          <w:color w:val="auto"/>
          <w:sz w:val="32"/>
          <w:szCs w:val="32"/>
          <w:shd w:val="clear" w:color="auto" w:fill="FFFFFF"/>
          <w:lang w:eastAsia="zh-CN"/>
        </w:rPr>
        <w:t>委员培训费：</w:t>
      </w:r>
    </w:p>
    <w:p w14:paraId="5E6BA5D2">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楷体_GBK" w:cs="方正楷体_GBK"/>
          <w:b w:val="0"/>
          <w:bCs w:val="0"/>
          <w:color w:val="auto"/>
          <w:kern w:val="0"/>
          <w:sz w:val="32"/>
          <w:szCs w:val="32"/>
          <w:lang w:val="en-US" w:eastAsia="zh-CN" w:bidi="ar-SA"/>
        </w:rPr>
      </w:pPr>
    </w:p>
    <w:p w14:paraId="4FEE653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（二）部门绩效评价情况</w:t>
      </w:r>
    </w:p>
    <w:p w14:paraId="5ABAE3FB">
      <w:pPr>
        <w:pStyle w:val="10"/>
        <w:keepNext w:val="0"/>
        <w:keepLines w:val="0"/>
        <w:pageBreakBefore w:val="0"/>
        <w:tabs>
          <w:tab w:val="center" w:pos="4153"/>
          <w:tab w:val="left" w:pos="7275"/>
        </w:tabs>
        <w:kinsoku/>
        <w:wordWrap/>
        <w:overflowPunct/>
        <w:topLinePunct w:val="0"/>
        <w:autoSpaceDN/>
        <w:bidi w:val="0"/>
        <w:adjustRightInd/>
        <w:spacing w:line="594" w:lineRule="exact"/>
        <w:ind w:firstLine="640"/>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我部门对</w:t>
      </w:r>
      <w:r>
        <w:rPr>
          <w:rFonts w:hint="default" w:ascii="Times New Roman" w:hAnsi="Times New Roman" w:eastAsia="方正仿宋_GBK" w:cs="Times New Roman"/>
          <w:color w:val="auto"/>
          <w:sz w:val="32"/>
          <w:szCs w:val="32"/>
          <w:shd w:val="clear" w:color="auto" w:fill="FFFFFF"/>
          <w:lang w:eastAsia="zh-CN"/>
        </w:rPr>
        <w:t>“</w:t>
      </w:r>
      <w:r>
        <w:rPr>
          <w:rFonts w:hint="eastAsia" w:ascii="Times New Roman" w:hAnsi="Times New Roman" w:eastAsia="方正仿宋_GBK" w:cs="Times New Roman"/>
          <w:color w:val="auto"/>
          <w:sz w:val="32"/>
          <w:szCs w:val="32"/>
          <w:shd w:val="clear" w:color="auto" w:fill="FFFFFF"/>
          <w:lang w:eastAsia="zh-CN"/>
        </w:rPr>
        <w:t>政协文史资料编辑工作经费</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开展了绩效评价，涉及财政拨款项目资金</w:t>
      </w:r>
      <w:r>
        <w:rPr>
          <w:rFonts w:hint="eastAsia" w:ascii="Times New Roman" w:hAnsi="Times New Roman" w:eastAsia="方正仿宋_GBK" w:cs="Times New Roman"/>
          <w:color w:val="auto"/>
          <w:sz w:val="32"/>
          <w:szCs w:val="32"/>
          <w:shd w:val="clear" w:color="auto" w:fill="FFFFFF"/>
          <w:lang w:val="en-US" w:eastAsia="zh-CN"/>
        </w:rPr>
        <w:t>26.24</w:t>
      </w:r>
      <w:r>
        <w:rPr>
          <w:rFonts w:hint="default" w:ascii="Times New Roman" w:hAnsi="Times New Roman" w:eastAsia="方正仿宋_GBK" w:cs="Times New Roman"/>
          <w:color w:val="auto"/>
          <w:sz w:val="32"/>
          <w:szCs w:val="32"/>
          <w:shd w:val="clear" w:color="auto" w:fill="FFFFFF"/>
        </w:rPr>
        <w:t>万元，评价得分</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分，评价等次为</w:t>
      </w:r>
      <w:r>
        <w:rPr>
          <w:rFonts w:hint="default" w:ascii="Times New Roman" w:hAnsi="Times New Roman" w:eastAsia="方正仿宋_GBK" w:cs="Times New Roman"/>
          <w:color w:val="auto"/>
          <w:sz w:val="32"/>
          <w:szCs w:val="32"/>
          <w:shd w:val="clear" w:color="auto" w:fill="FFFFFF"/>
          <w:lang w:eastAsia="zh-CN"/>
        </w:rPr>
        <w:t>好</w:t>
      </w:r>
      <w:r>
        <w:rPr>
          <w:rFonts w:hint="default" w:ascii="Times New Roman" w:hAnsi="Times New Roman" w:eastAsia="方正仿宋_GBK" w:cs="Times New Roman"/>
          <w:color w:val="auto"/>
          <w:sz w:val="32"/>
          <w:szCs w:val="32"/>
          <w:shd w:val="clear" w:color="auto" w:fill="FFFFFF"/>
        </w:rPr>
        <w:t>；对</w:t>
      </w:r>
      <w:r>
        <w:rPr>
          <w:rFonts w:hint="default" w:ascii="Times New Roman" w:hAnsi="Times New Roman" w:eastAsia="方正仿宋_GBK" w:cs="Times New Roman"/>
          <w:color w:val="auto"/>
          <w:sz w:val="32"/>
          <w:szCs w:val="32"/>
          <w:shd w:val="clear" w:color="auto" w:fill="FFFFFF"/>
          <w:lang w:eastAsia="zh-CN"/>
        </w:rPr>
        <w:t>“</w:t>
      </w:r>
      <w:r>
        <w:rPr>
          <w:rFonts w:hint="eastAsia" w:ascii="Times New Roman" w:hAnsi="Times New Roman" w:eastAsia="方正仿宋_GBK" w:cs="Times New Roman"/>
          <w:color w:val="auto"/>
          <w:sz w:val="32"/>
          <w:szCs w:val="32"/>
          <w:shd w:val="clear" w:color="auto" w:fill="FFFFFF"/>
          <w:lang w:eastAsia="zh-CN"/>
        </w:rPr>
        <w:t>委员培训费</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开展了绩效评价，涉及财政拨款项目资金</w:t>
      </w:r>
      <w:r>
        <w:rPr>
          <w:rFonts w:hint="eastAsia" w:ascii="Times New Roman" w:hAnsi="Times New Roman" w:eastAsia="方正仿宋_GBK" w:cs="Times New Roman"/>
          <w:color w:val="auto"/>
          <w:sz w:val="32"/>
          <w:szCs w:val="32"/>
          <w:shd w:val="clear" w:color="auto" w:fill="FFFFFF"/>
          <w:lang w:val="en-US" w:eastAsia="zh-CN"/>
        </w:rPr>
        <w:t>31.67</w:t>
      </w:r>
      <w:r>
        <w:rPr>
          <w:rFonts w:hint="default" w:ascii="Times New Roman" w:hAnsi="Times New Roman" w:eastAsia="方正仿宋_GBK" w:cs="Times New Roman"/>
          <w:color w:val="auto"/>
          <w:sz w:val="32"/>
          <w:szCs w:val="32"/>
          <w:shd w:val="clear" w:color="auto" w:fill="FFFFFF"/>
        </w:rPr>
        <w:t>万元，评价得分</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分，评价等次为</w:t>
      </w:r>
      <w:r>
        <w:rPr>
          <w:rFonts w:hint="default" w:ascii="Times New Roman" w:hAnsi="Times New Roman" w:eastAsia="方正仿宋_GBK" w:cs="Times New Roman"/>
          <w:color w:val="auto"/>
          <w:sz w:val="32"/>
          <w:szCs w:val="32"/>
          <w:shd w:val="clear" w:color="auto" w:fill="FFFFFF"/>
          <w:lang w:eastAsia="zh-CN"/>
        </w:rPr>
        <w:t>好。</w:t>
      </w:r>
    </w:p>
    <w:p w14:paraId="5A558C88">
      <w:pPr>
        <w:pStyle w:val="10"/>
        <w:keepNext w:val="0"/>
        <w:keepLines w:val="0"/>
        <w:pageBreakBefore w:val="0"/>
        <w:tabs>
          <w:tab w:val="center" w:pos="4153"/>
          <w:tab w:val="left" w:pos="7275"/>
        </w:tabs>
        <w:kinsoku/>
        <w:wordWrap/>
        <w:overflowPunct/>
        <w:topLinePunct w:val="0"/>
        <w:autoSpaceDN/>
        <w:bidi w:val="0"/>
        <w:adjustRightInd/>
        <w:spacing w:line="594" w:lineRule="exact"/>
        <w:ind w:firstLine="640"/>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eastAsia="zh-CN"/>
        </w:rPr>
        <w:t>六、</w:t>
      </w:r>
      <w:r>
        <w:rPr>
          <w:rFonts w:hint="default" w:ascii="Times New Roman" w:hAnsi="Times New Roman" w:eastAsia="方正黑体_GBK" w:cs="Times New Roman"/>
          <w:sz w:val="32"/>
          <w:szCs w:val="32"/>
        </w:rPr>
        <w:t>专业名词解释</w:t>
      </w:r>
    </w:p>
    <w:p w14:paraId="25B77DB9">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kern w:val="2"/>
          <w:sz w:val="32"/>
          <w:szCs w:val="32"/>
          <w:shd w:val="clear" w:color="auto" w:fill="FFFFFF"/>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（一）财政拨款收入：</w:t>
      </w:r>
      <w:r>
        <w:rPr>
          <w:rFonts w:hint="default" w:ascii="Times New Roman" w:hAnsi="Times New Roman" w:eastAsia="方正仿宋_GBK" w:cs="Times New Roman"/>
          <w:color w:val="auto"/>
          <w:kern w:val="2"/>
          <w:sz w:val="32"/>
          <w:szCs w:val="32"/>
          <w:shd w:val="clear" w:color="auto" w:fill="FFFFFF"/>
          <w:lang w:val="en-US" w:eastAsia="zh-CN" w:bidi="ar-SA"/>
        </w:rPr>
        <w:t>指本年度从本级财政部门取得的财政拨款，包括一般公共预算财政拨款和政府性基金预算财政拨款。</w:t>
      </w:r>
    </w:p>
    <w:p w14:paraId="771728D9">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kern w:val="2"/>
          <w:sz w:val="32"/>
          <w:szCs w:val="32"/>
          <w:shd w:val="clear" w:color="auto" w:fill="FFFFFF"/>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（二）事业收入：</w:t>
      </w:r>
      <w:r>
        <w:rPr>
          <w:rFonts w:hint="default" w:ascii="Times New Roman" w:hAnsi="Times New Roman" w:eastAsia="方正仿宋_GBK" w:cs="Times New Roman"/>
          <w:color w:val="auto"/>
          <w:kern w:val="2"/>
          <w:sz w:val="32"/>
          <w:szCs w:val="32"/>
          <w:shd w:val="clear" w:color="auto" w:fill="FFFFFF"/>
          <w:lang w:val="en-US" w:eastAsia="zh-CN" w:bidi="ar-SA"/>
        </w:rPr>
        <w:t>指事业单位开展专业业务活动及其辅助活动取得的现金流入；事业单位收到的财政专户实际核拨的教育收费等资金在此反映。</w:t>
      </w:r>
    </w:p>
    <w:p w14:paraId="0BCFA59D">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kern w:val="2"/>
          <w:sz w:val="32"/>
          <w:szCs w:val="32"/>
          <w:shd w:val="clear" w:color="auto" w:fill="FFFFFF"/>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（三）经营收入：</w:t>
      </w:r>
      <w:r>
        <w:rPr>
          <w:rFonts w:hint="default" w:ascii="Times New Roman" w:hAnsi="Times New Roman" w:eastAsia="方正仿宋_GBK" w:cs="Times New Roman"/>
          <w:color w:val="auto"/>
          <w:kern w:val="2"/>
          <w:sz w:val="32"/>
          <w:szCs w:val="32"/>
          <w:shd w:val="clear" w:color="auto" w:fill="FFFFFF"/>
          <w:lang w:val="en-US" w:eastAsia="zh-CN" w:bidi="ar-SA"/>
        </w:rPr>
        <w:t>指事业单位在专业业务活动及其辅助活动之外开展非独立核算经营活动取得的现金流入。</w:t>
      </w:r>
    </w:p>
    <w:p w14:paraId="28A0A03E">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（四）其他收入：</w:t>
      </w:r>
      <w:r>
        <w:rPr>
          <w:rFonts w:hint="default" w:ascii="Times New Roman" w:hAnsi="Times New Roman" w:eastAsia="方正仿宋_GBK" w:cs="Times New Roman"/>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8ED1774">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（五）使用非财政拨款结余：</w:t>
      </w:r>
      <w:r>
        <w:rPr>
          <w:rFonts w:hint="default" w:ascii="Times New Roman" w:hAnsi="Times New Roman" w:eastAsia="方正仿宋_GBK" w:cs="Times New Roman"/>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689A1B2">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（六）年初结转和结余：</w:t>
      </w:r>
      <w:r>
        <w:rPr>
          <w:rFonts w:hint="default" w:ascii="Times New Roman" w:hAnsi="Times New Roman" w:eastAsia="方正仿宋_GBK" w:cs="Times New Roman"/>
          <w:color w:val="auto"/>
          <w:sz w:val="32"/>
          <w:szCs w:val="32"/>
          <w:shd w:val="clear" w:color="auto" w:fill="FFFFFF"/>
        </w:rPr>
        <w:t>指单位上年结转本年使用的基本支出结转、项目支出结转和结余、经营结余。</w:t>
      </w:r>
    </w:p>
    <w:p w14:paraId="0F53ED4F">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（七）结余分配：</w:t>
      </w:r>
      <w:r>
        <w:rPr>
          <w:rFonts w:hint="default" w:ascii="Times New Roman" w:hAnsi="Times New Roman" w:eastAsia="方正仿宋_GBK" w:cs="Times New Roman"/>
          <w:color w:val="auto"/>
          <w:sz w:val="32"/>
          <w:szCs w:val="32"/>
          <w:shd w:val="clear" w:color="auto" w:fill="FFFFFF"/>
        </w:rPr>
        <w:t>指单位按照国家有关规定，缴纳所得税、提取专用基金、转入非财政拨款结余等当年结余的分配情况。</w:t>
      </w:r>
    </w:p>
    <w:p w14:paraId="01EB93D7">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（八）年末结转和结余：</w:t>
      </w:r>
      <w:r>
        <w:rPr>
          <w:rFonts w:hint="default" w:ascii="Times New Roman" w:hAnsi="Times New Roman" w:eastAsia="方正仿宋_GBK" w:cs="Times New Roman"/>
          <w:color w:val="auto"/>
          <w:sz w:val="32"/>
          <w:szCs w:val="32"/>
          <w:shd w:val="clear" w:color="auto" w:fill="FFFFFF"/>
        </w:rPr>
        <w:t>指单位结转下年的基本支出结转、项目支出结转和结余、经营结余。</w:t>
      </w:r>
    </w:p>
    <w:p w14:paraId="346482C5">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（九）基本支出：</w:t>
      </w:r>
      <w:r>
        <w:rPr>
          <w:rFonts w:hint="default" w:ascii="Times New Roman" w:hAnsi="Times New Roman" w:eastAsia="方正仿宋_GBK" w:cs="Times New Roman"/>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957B1E4">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（十）项目支出：</w:t>
      </w:r>
      <w:r>
        <w:rPr>
          <w:rFonts w:hint="default" w:ascii="Times New Roman" w:hAnsi="Times New Roman" w:eastAsia="方正仿宋_GBK" w:cs="Times New Roman"/>
          <w:color w:val="auto"/>
          <w:sz w:val="32"/>
          <w:szCs w:val="32"/>
          <w:shd w:val="clear" w:color="auto" w:fill="FFFFFF"/>
        </w:rPr>
        <w:t>指在基本支出之外为完成特定行政任务和事业发展目标所发生的支出。</w:t>
      </w:r>
    </w:p>
    <w:p w14:paraId="5C1BE444">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（十一）经营支出：</w:t>
      </w:r>
      <w:r>
        <w:rPr>
          <w:rFonts w:hint="default" w:ascii="Times New Roman" w:hAnsi="Times New Roman" w:eastAsia="方正仿宋_GBK" w:cs="Times New Roman"/>
          <w:color w:val="auto"/>
          <w:sz w:val="32"/>
          <w:szCs w:val="32"/>
          <w:shd w:val="clear" w:color="auto" w:fill="FFFFFF"/>
        </w:rPr>
        <w:t>指事业单位在专业业务活动及其辅助活动之外开展非独立核算经营活动发生的支出。</w:t>
      </w:r>
    </w:p>
    <w:p w14:paraId="62E6221A">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（十二）“三公”经费：</w:t>
      </w:r>
      <w:r>
        <w:rPr>
          <w:rFonts w:hint="default" w:ascii="Times New Roman" w:hAnsi="Times New Roman" w:eastAsia="方正仿宋_GBK" w:cs="Times New Roman"/>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E581730">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（十三）机关运行经费：</w:t>
      </w:r>
      <w:r>
        <w:rPr>
          <w:rFonts w:hint="default" w:ascii="Times New Roman" w:hAnsi="Times New Roman" w:eastAsia="方正仿宋_GBK" w:cs="Times New Roman"/>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397E28F">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（十四）工资福利支出（支出经济分类科目类级）：</w:t>
      </w:r>
      <w:r>
        <w:rPr>
          <w:rFonts w:hint="default" w:ascii="Times New Roman" w:hAnsi="Times New Roman" w:eastAsia="方正仿宋_GBK" w:cs="Times New Roman"/>
          <w:color w:val="auto"/>
          <w:sz w:val="32"/>
          <w:szCs w:val="32"/>
          <w:shd w:val="clear" w:color="auto" w:fill="FFFFFF"/>
        </w:rPr>
        <w:t>反映单位开支的在职职工和编制外长期聘用人员的各类劳动报酬，以及为上述人员缴纳的各项社会保险费等。</w:t>
      </w:r>
    </w:p>
    <w:p w14:paraId="3AAF02D9">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（十五）商品和服务支出（支出经济分类科目类级）：</w:t>
      </w:r>
      <w:r>
        <w:rPr>
          <w:rFonts w:hint="default" w:ascii="Times New Roman" w:hAnsi="Times New Roman" w:eastAsia="方正仿宋_GBK" w:cs="Times New Roman"/>
          <w:color w:val="auto"/>
          <w:sz w:val="32"/>
          <w:szCs w:val="32"/>
          <w:shd w:val="clear" w:color="auto" w:fill="FFFFFF"/>
        </w:rPr>
        <w:t>反映单位购买商品和服务的支出（不包括用于购置固定资产的支出、战略性和应急储备支出）。</w:t>
      </w:r>
    </w:p>
    <w:p w14:paraId="07B992E5">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（十六）对个人和家庭的补助（支出经济分类科目类级）：</w:t>
      </w:r>
      <w:r>
        <w:rPr>
          <w:rFonts w:hint="default" w:ascii="Times New Roman" w:hAnsi="Times New Roman" w:eastAsia="方正仿宋_GBK" w:cs="Times New Roman"/>
          <w:color w:val="auto"/>
          <w:sz w:val="32"/>
          <w:szCs w:val="32"/>
          <w:shd w:val="clear" w:color="auto" w:fill="FFFFFF"/>
        </w:rPr>
        <w:t>反映用于对个人和家庭的补助支出。</w:t>
      </w:r>
    </w:p>
    <w:p w14:paraId="54D0194E">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（十七）其他资本性支出（支出经济分类科目类级）：</w:t>
      </w:r>
      <w:r>
        <w:rPr>
          <w:rFonts w:hint="default" w:ascii="Times New Roman" w:hAnsi="Times New Roman" w:eastAsia="方正仿宋_GBK" w:cs="Times New Roman"/>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C3682EF">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（十八）行政运行（支出功能分类科目项级）：</w:t>
      </w:r>
      <w:r>
        <w:rPr>
          <w:rFonts w:hint="default" w:ascii="Times New Roman" w:hAnsi="Times New Roman" w:eastAsia="方正仿宋_GBK" w:cs="Times New Roman"/>
          <w:color w:val="auto"/>
          <w:sz w:val="32"/>
          <w:szCs w:val="32"/>
          <w:shd w:val="clear" w:color="auto" w:fill="FFFFFF"/>
        </w:rPr>
        <w:t>反映行政单位（包括实行公务员管理的事业单位）的基本支出。</w:t>
      </w:r>
    </w:p>
    <w:p w14:paraId="105FCB67">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（十九）一般行政管理事务（支出功能分类科目项级）：</w:t>
      </w:r>
      <w:r>
        <w:rPr>
          <w:rFonts w:hint="default" w:ascii="Times New Roman" w:hAnsi="Times New Roman" w:eastAsia="方正仿宋_GBK" w:cs="Times New Roman"/>
          <w:color w:val="auto"/>
          <w:sz w:val="32"/>
          <w:szCs w:val="32"/>
          <w:shd w:val="clear" w:color="auto" w:fill="FFFFFF"/>
        </w:rPr>
        <w:t>反映行政单位（包括实行公务员管理的事业单位）未单独设置项级科目的其他项目支出。</w:t>
      </w:r>
    </w:p>
    <w:p w14:paraId="7B50C3B5">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（二十）事业运行（支出功能分类科目项级）：</w:t>
      </w:r>
      <w:r>
        <w:rPr>
          <w:rFonts w:hint="default" w:ascii="Times New Roman" w:hAnsi="Times New Roman" w:eastAsia="方正仿宋_GBK" w:cs="Times New Roman"/>
          <w:color w:val="auto"/>
          <w:sz w:val="32"/>
          <w:szCs w:val="32"/>
          <w:shd w:val="clear" w:color="auto" w:fill="FFFFFF"/>
        </w:rPr>
        <w:t>反映事业单位的基本支出，不包括行政单位（包括实行公务员管理的事业单位）后勤服务中心、医务室等附属事业单位。</w:t>
      </w:r>
    </w:p>
    <w:p w14:paraId="4A305D2B">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（二十一）政协会议（支出功能分类科目项级）：</w:t>
      </w:r>
      <w:r>
        <w:rPr>
          <w:rFonts w:hint="default" w:ascii="Times New Roman" w:hAnsi="Times New Roman" w:eastAsia="方正仿宋_GBK" w:cs="Times New Roman"/>
          <w:color w:val="auto"/>
          <w:sz w:val="32"/>
          <w:szCs w:val="32"/>
          <w:shd w:val="clear" w:color="auto" w:fill="FFFFFF"/>
        </w:rPr>
        <w:t>反映各级政协召开政治协商会议等专门会议的支出。</w:t>
      </w:r>
    </w:p>
    <w:p w14:paraId="3BB5EF8C">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（二十二）计划生育服务（支出功能分类科目项级）：</w:t>
      </w:r>
      <w:r>
        <w:rPr>
          <w:rFonts w:hint="default" w:ascii="Times New Roman" w:hAnsi="Times New Roman" w:eastAsia="方正仿宋_GBK" w:cs="Times New Roman"/>
          <w:color w:val="auto"/>
          <w:sz w:val="32"/>
          <w:szCs w:val="32"/>
          <w:shd w:val="clear" w:color="auto" w:fill="FFFFFF"/>
        </w:rPr>
        <w:t>反映计划生育服务支出。</w:t>
      </w:r>
    </w:p>
    <w:p w14:paraId="7C5E3E9D">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（二十三）行政单位离退休（支出功能分类科目项级）：</w:t>
      </w:r>
      <w:r>
        <w:rPr>
          <w:rFonts w:hint="default" w:ascii="Times New Roman" w:hAnsi="Times New Roman" w:eastAsia="方正仿宋_GBK" w:cs="Times New Roman"/>
          <w:color w:val="auto"/>
          <w:sz w:val="32"/>
          <w:szCs w:val="32"/>
          <w:shd w:val="clear" w:color="auto" w:fill="FFFFFF"/>
        </w:rPr>
        <w:t>反映行政单位（包括实行公务员管理的事业单位）开支的离退休经费。</w:t>
      </w:r>
    </w:p>
    <w:p w14:paraId="4DC413C0">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（二十四）机关事业单位基本养老保险缴费支出（支出功能分类科目项级）：</w:t>
      </w:r>
      <w:r>
        <w:rPr>
          <w:rFonts w:hint="default" w:ascii="Times New Roman" w:hAnsi="Times New Roman" w:eastAsia="方正仿宋_GBK" w:cs="Times New Roman"/>
          <w:color w:val="auto"/>
          <w:sz w:val="32"/>
          <w:szCs w:val="32"/>
          <w:shd w:val="clear" w:color="auto" w:fill="FFFFFF"/>
        </w:rPr>
        <w:t>反映机关事业单位实施养老保险制度由本单位缴纳的基本养老保险支出。</w:t>
      </w:r>
    </w:p>
    <w:p w14:paraId="05F78A24">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（二十五）机关事业单位职业年金缴费支出（支出功能分类科目项级）：</w:t>
      </w:r>
      <w:r>
        <w:rPr>
          <w:rFonts w:hint="default" w:ascii="Times New Roman" w:hAnsi="Times New Roman" w:eastAsia="方正仿宋_GBK" w:cs="Times New Roman"/>
          <w:color w:val="auto"/>
          <w:sz w:val="32"/>
          <w:szCs w:val="32"/>
          <w:shd w:val="clear" w:color="auto" w:fill="FFFFFF"/>
        </w:rPr>
        <w:t>反映机关事业单位实施养老保险制度由本单位缴纳的职业年金支出。</w:t>
      </w:r>
    </w:p>
    <w:p w14:paraId="211AC923">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（二十六）死亡抚恤（支出功能分类科目项级）：</w:t>
      </w:r>
      <w:r>
        <w:rPr>
          <w:rFonts w:hint="default" w:ascii="Times New Roman" w:hAnsi="Times New Roman" w:eastAsia="方正仿宋_GBK" w:cs="Times New Roman"/>
          <w:color w:val="auto"/>
          <w:sz w:val="32"/>
          <w:szCs w:val="32"/>
          <w:shd w:val="clear" w:color="auto" w:fill="FFFFFF"/>
        </w:rPr>
        <w:t>反映按规定用于烈士和牺牲、病故人员家属的一次性和定期抚恤金、丧葬补助费以及烈士褒扬金。</w:t>
      </w:r>
    </w:p>
    <w:p w14:paraId="497C2E82">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（二十七）行政单位医疗（支出功能分类科目项级）：</w:t>
      </w:r>
      <w:r>
        <w:rPr>
          <w:rFonts w:hint="default" w:ascii="Times New Roman" w:hAnsi="Times New Roman" w:eastAsia="方正仿宋_GBK" w:cs="Times New Roman"/>
          <w:color w:val="auto"/>
          <w:sz w:val="32"/>
          <w:szCs w:val="32"/>
          <w:shd w:val="clear" w:color="auto" w:fill="FFFFFF"/>
        </w:rPr>
        <w:t>反映财政部门安排的行政单位（包括实行公务员管理的事业单位）基本医疗保险缴费经费，未参加医疗保险的行政单位的公费医疗经费，按国家规定享受离休人员、红军老战士待遇人员的医疗经费。</w:t>
      </w:r>
    </w:p>
    <w:p w14:paraId="70879F50">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（二十八）事业单位医疗（支出功能分类科目项级）：</w:t>
      </w:r>
      <w:r>
        <w:rPr>
          <w:rFonts w:hint="default" w:ascii="Times New Roman" w:hAnsi="Times New Roman" w:eastAsia="方正仿宋_GBK" w:cs="Times New Roman"/>
          <w:color w:val="auto"/>
          <w:sz w:val="32"/>
          <w:szCs w:val="32"/>
          <w:shd w:val="clear" w:color="auto" w:fill="FFFFFF"/>
        </w:rPr>
        <w:t>反映财政部门安排的事业单位基本医疗保险缴费经费，未参加医疗保险的行政单位的公费医疗经费，按国家规定享受离休人员待遇的医疗经费。</w:t>
      </w:r>
    </w:p>
    <w:p w14:paraId="77A6057B">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楷体_GBK" w:cs="方正楷体_GBK"/>
          <w:b w:val="0"/>
          <w:bCs w:val="0"/>
          <w:color w:val="auto"/>
          <w:kern w:val="0"/>
          <w:sz w:val="32"/>
          <w:szCs w:val="32"/>
          <w:lang w:val="en-US" w:eastAsia="zh-CN" w:bidi="ar-SA"/>
        </w:rPr>
        <w:t>（二十九）住房公积金（支出功能分类科目项级）：</w:t>
      </w:r>
      <w:r>
        <w:rPr>
          <w:rFonts w:hint="default" w:ascii="Times New Roman" w:hAnsi="Times New Roman" w:eastAsia="方正仿宋_GBK" w:cs="Times New Roman"/>
          <w:color w:val="auto"/>
          <w:sz w:val="32"/>
          <w:szCs w:val="32"/>
          <w:shd w:val="clear" w:color="auto" w:fill="FFFFFF"/>
          <w:lang w:val="en-US" w:eastAsia="zh-CN"/>
        </w:rPr>
        <w:t>反映行政事业单位按人力资源和社会保障部、财政部规定的基本工资和津贴补贴以及规定比例为职工缴纳的住房公积金。</w:t>
      </w:r>
    </w:p>
    <w:p w14:paraId="657116D8">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楷体_GBK" w:cs="方正楷体_GBK"/>
          <w:b w:val="0"/>
          <w:bCs w:val="0"/>
          <w:color w:val="auto"/>
          <w:kern w:val="0"/>
          <w:sz w:val="32"/>
          <w:szCs w:val="32"/>
          <w:lang w:val="en-US" w:eastAsia="zh-CN" w:bidi="ar-SA"/>
        </w:rPr>
        <w:t>（三十）购房补贴（支出功能分类科目项级）：</w:t>
      </w:r>
      <w:r>
        <w:rPr>
          <w:rFonts w:hint="default" w:ascii="Times New Roman" w:hAnsi="Times New Roman" w:eastAsia="方正仿宋_GBK" w:cs="Times New Roman"/>
          <w:color w:val="auto"/>
          <w:sz w:val="32"/>
          <w:szCs w:val="32"/>
          <w:shd w:val="clear" w:color="auto" w:fill="FFFFFF"/>
          <w:lang w:val="en-US" w:eastAsia="zh-CN"/>
        </w:rPr>
        <w:t>反映按房改政策规定，行政事业单位向符合条件职工（含离退休人员）、军队（含武警）向转役复员离退休人员发放的用于购买住房的补贴。</w:t>
      </w:r>
    </w:p>
    <w:p w14:paraId="1B953025">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七、</w:t>
      </w:r>
      <w:r>
        <w:rPr>
          <w:rFonts w:hint="default" w:ascii="Times New Roman" w:hAnsi="Times New Roman" w:eastAsia="方正黑体_GBK" w:cs="Times New Roman"/>
          <w:sz w:val="32"/>
          <w:szCs w:val="32"/>
        </w:rPr>
        <w:t>决算公开联系方式及信息反馈渠道</w:t>
      </w:r>
    </w:p>
    <w:p w14:paraId="2FA063CA">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bidi="ar-SA"/>
        </w:rPr>
      </w:pPr>
      <w:r>
        <w:rPr>
          <w:rFonts w:hint="default" w:ascii="Times New Roman" w:hAnsi="Times New Roman" w:eastAsia="方正仿宋_GBK" w:cs="Times New Roman"/>
          <w:color w:val="auto"/>
          <w:sz w:val="32"/>
          <w:szCs w:val="32"/>
          <w:shd w:val="clear" w:color="auto" w:fill="FFFFFF"/>
          <w:lang w:val="en-US" w:eastAsia="zh-CN" w:bidi="ar-SA"/>
        </w:rPr>
        <w:t>本单位决算公开信息反馈和联系方式：023-63765213</w:t>
      </w:r>
    </w:p>
    <w:p w14:paraId="317CCD46">
      <w:pPr>
        <w:keepNext w:val="0"/>
        <w:keepLines w:val="0"/>
        <w:pageBreakBefore w:val="0"/>
        <w:kinsoku/>
        <w:wordWrap/>
        <w:overflowPunct/>
        <w:topLinePunct w:val="0"/>
        <w:autoSpaceDN/>
        <w:bidi w:val="0"/>
        <w:adjustRightInd/>
        <w:spacing w:line="594" w:lineRule="exact"/>
        <w:textAlignment w:val="auto"/>
        <w:rPr>
          <w:rFonts w:ascii="Times New Roman" w:hAnsi="Times New Roman"/>
        </w:rPr>
      </w:pPr>
    </w:p>
    <w:p w14:paraId="267A316F">
      <w:pPr>
        <w:keepNext w:val="0"/>
        <w:keepLines w:val="0"/>
        <w:pageBreakBefore w:val="0"/>
        <w:kinsoku/>
        <w:wordWrap/>
        <w:overflowPunct/>
        <w:topLinePunct w:val="0"/>
        <w:autoSpaceDN/>
        <w:bidi w:val="0"/>
        <w:adjustRightInd/>
        <w:spacing w:line="594" w:lineRule="exact"/>
        <w:textAlignment w:val="auto"/>
        <w:rPr>
          <w:rFonts w:ascii="Times New Roman" w:hAnsi="Times New Roman"/>
        </w:rPr>
      </w:pPr>
    </w:p>
    <w:p w14:paraId="5DEEFA38">
      <w:pPr>
        <w:keepNext w:val="0"/>
        <w:keepLines w:val="0"/>
        <w:pageBreakBefore w:val="0"/>
        <w:kinsoku/>
        <w:wordWrap/>
        <w:overflowPunct/>
        <w:topLinePunct w:val="0"/>
        <w:autoSpaceDN/>
        <w:bidi w:val="0"/>
        <w:adjustRightInd/>
        <w:spacing w:line="594" w:lineRule="exact"/>
        <w:textAlignment w:val="auto"/>
        <w:rPr>
          <w:rFonts w:ascii="Times New Roman" w:hAnsi="Times New Roman"/>
        </w:rPr>
      </w:pPr>
    </w:p>
    <w:p w14:paraId="7BFD877C">
      <w:pPr>
        <w:keepNext w:val="0"/>
        <w:keepLines w:val="0"/>
        <w:pageBreakBefore w:val="0"/>
        <w:kinsoku/>
        <w:wordWrap/>
        <w:overflowPunct/>
        <w:topLinePunct w:val="0"/>
        <w:autoSpaceDN/>
        <w:bidi w:val="0"/>
        <w:adjustRightInd/>
        <w:spacing w:line="594" w:lineRule="exact"/>
        <w:textAlignment w:val="auto"/>
        <w:rPr>
          <w:rFonts w:ascii="Times New Roman" w:hAnsi="Times New Roman"/>
        </w:rPr>
        <w:sectPr>
          <w:footerReference r:id="rId3" w:type="default"/>
          <w:pgSz w:w="11906" w:h="16838"/>
          <w:pgMar w:top="1984" w:right="1446" w:bottom="1644" w:left="1446" w:header="851" w:footer="992" w:gutter="0"/>
          <w:pgNumType w:fmt="decimal"/>
          <w:cols w:space="425" w:num="1"/>
          <w:docGrid w:type="lines" w:linePitch="312" w:charSpace="0"/>
        </w:sectPr>
      </w:pPr>
    </w:p>
    <w:tbl>
      <w:tblPr>
        <w:tblStyle w:val="5"/>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3711"/>
        <w:gridCol w:w="3074"/>
        <w:gridCol w:w="3494"/>
        <w:gridCol w:w="2455"/>
      </w:tblGrid>
      <w:tr w14:paraId="5C6B8B1C">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D52EB21">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13925119">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50FEF30E">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358BEDF9">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5A79C1F1">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A711E8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4082ACE4">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D82962E">
            <w:pPr>
              <w:spacing w:line="280" w:lineRule="exact"/>
              <w:rPr>
                <w:rFonts w:hint="default" w:ascii="Arial" w:hAnsi="Arial" w:cs="Arial"/>
                <w:color w:val="000000"/>
                <w:sz w:val="22"/>
                <w:szCs w:val="22"/>
              </w:rPr>
            </w:pPr>
            <w:r>
              <w:rPr>
                <w:rFonts w:cs="宋体"/>
                <w:sz w:val="20"/>
                <w:szCs w:val="20"/>
              </w:rPr>
              <w:t>部门：</w:t>
            </w:r>
            <w:r>
              <w:rPr>
                <w:sz w:val="20"/>
                <w:u w:color="auto"/>
              </w:rPr>
              <w:t>中国人民政治协商会议重庆市渝中区委员会办公室</w:t>
            </w:r>
          </w:p>
        </w:tc>
        <w:tc>
          <w:tcPr>
            <w:tcW w:w="1372" w:type="pct"/>
            <w:tcBorders>
              <w:top w:val="nil"/>
              <w:left w:val="nil"/>
              <w:bottom w:val="nil"/>
              <w:right w:val="nil"/>
            </w:tcBorders>
            <w:shd w:val="clear" w:color="auto" w:fill="auto"/>
            <w:noWrap/>
            <w:tcMar>
              <w:top w:w="15" w:type="dxa"/>
              <w:left w:w="15" w:type="dxa"/>
              <w:right w:w="15" w:type="dxa"/>
            </w:tcMar>
            <w:vAlign w:val="bottom"/>
          </w:tcPr>
          <w:p w14:paraId="693D52C3">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2AEF16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62C0DA4">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BEB40">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B2CC8ED">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112BCBB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FD9F8">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75467">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E0356">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FF69A">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1671E1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1C901">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608E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1,840.15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457B9">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6F3F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1,349.11</w:t>
            </w:r>
            <w:r>
              <w:rPr>
                <w:rFonts w:ascii="Times New Roman" w:hAnsi="Times New Roman"/>
                <w:color w:val="000000"/>
                <w:sz w:val="20"/>
                <w:u w:color="auto"/>
              </w:rPr>
              <w:t xml:space="preserve"> </w:t>
            </w:r>
          </w:p>
        </w:tc>
      </w:tr>
      <w:tr w14:paraId="4FF5826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01B90">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E65A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0557B">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FDF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B442E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9713F">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D68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E6A1B">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1F8C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FDCD73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F3D0F">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0F1F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85C91">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666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D2B06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4EE23">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0E6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3D403">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268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999349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66CE3">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EB95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9A1E2">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2BE6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E86328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2F64A">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5838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CE519">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4638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F5809E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23D64">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55A8C9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10F7B">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715D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354.49</w:t>
            </w:r>
            <w:r>
              <w:rPr>
                <w:rFonts w:ascii="Times New Roman" w:hAnsi="Times New Roman"/>
                <w:color w:val="000000"/>
                <w:sz w:val="20"/>
                <w:u w:color="auto"/>
              </w:rPr>
              <w:t xml:space="preserve"> </w:t>
            </w:r>
          </w:p>
        </w:tc>
      </w:tr>
      <w:tr w14:paraId="2166DFB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3E1FA">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BFCE9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92A27">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EDF6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63.70</w:t>
            </w:r>
            <w:r>
              <w:rPr>
                <w:rFonts w:ascii="Times New Roman" w:hAnsi="Times New Roman"/>
                <w:color w:val="000000"/>
                <w:sz w:val="20"/>
                <w:u w:color="auto"/>
              </w:rPr>
              <w:t xml:space="preserve"> </w:t>
            </w:r>
          </w:p>
        </w:tc>
      </w:tr>
      <w:tr w14:paraId="74822EE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398C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56028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300DF">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1B0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93A79E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C435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C03E1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E91A2">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824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537C19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FA78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3DC1B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7F2F5">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D313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6137DB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2224E">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0168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C4633">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8957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04AC12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8A8C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FC34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FFC71">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6036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A1B86A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4E3B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F6A3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20DD6">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C631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B2E044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5554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79AB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44C77">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1A11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C20ED6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0498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2395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B4C7B">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EDC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182B270">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0081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DB83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EF323">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F09F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50631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9159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D2A4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FAF3B">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DB2B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87.12</w:t>
            </w:r>
            <w:r>
              <w:rPr>
                <w:rFonts w:ascii="Times New Roman" w:hAnsi="Times New Roman"/>
                <w:color w:val="000000"/>
                <w:sz w:val="20"/>
                <w:u w:color="auto"/>
              </w:rPr>
              <w:t xml:space="preserve"> </w:t>
            </w:r>
          </w:p>
        </w:tc>
      </w:tr>
      <w:tr w14:paraId="3B7F60F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04D3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5BFF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555BE">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F94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8840EC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FAC4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CD65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84877">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3B6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87D4A7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0DF6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2A9D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28E7A">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72A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93FB6A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D76F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734A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4FA14">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F2F4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952610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6ACC7">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0C82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63013">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825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D1B75A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DBDB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5A30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63943">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8751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15ECA5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DAB4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2A58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D8D6F">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2CDD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DD76E9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F5FC4">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A820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1,840.15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3A4E3">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970E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1,854.42</w:t>
            </w:r>
            <w:r>
              <w:rPr>
                <w:rFonts w:ascii="Times New Roman" w:hAnsi="Times New Roman"/>
                <w:color w:val="000000"/>
                <w:sz w:val="20"/>
                <w:u w:color="auto"/>
              </w:rPr>
              <w:t xml:space="preserve"> </w:t>
            </w:r>
          </w:p>
        </w:tc>
      </w:tr>
      <w:tr w14:paraId="27653B8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70D0D">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C6B6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4CABE">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E386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1195BF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4C68F">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F642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FCC7C">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E15A52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95C10B5">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A3EBC">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1D24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1,854.42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BD4E17D">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F33B5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1,854.42</w:t>
            </w:r>
            <w:r>
              <w:rPr>
                <w:rFonts w:ascii="Times New Roman" w:hAnsi="Times New Roman"/>
                <w:color w:val="000000"/>
                <w:sz w:val="20"/>
                <w:u w:color="auto"/>
              </w:rPr>
              <w:t xml:space="preserve"> </w:t>
            </w:r>
          </w:p>
        </w:tc>
      </w:tr>
    </w:tbl>
    <w:p w14:paraId="7D18B298">
      <w:pPr>
        <w:rPr>
          <w:rFonts w:hint="default" w:cs="宋体"/>
          <w:sz w:val="21"/>
          <w:szCs w:val="21"/>
        </w:rPr>
      </w:pPr>
    </w:p>
    <w:p w14:paraId="67A0B9B7">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5"/>
        <w:tblW w:w="5059" w:type="pct"/>
        <w:tblInd w:w="0" w:type="dxa"/>
        <w:tblLayout w:type="fixed"/>
        <w:tblCellMar>
          <w:top w:w="0" w:type="dxa"/>
          <w:left w:w="0" w:type="dxa"/>
          <w:bottom w:w="0" w:type="dxa"/>
          <w:right w:w="0" w:type="dxa"/>
        </w:tblCellMar>
      </w:tblPr>
      <w:tblGrid>
        <w:gridCol w:w="1177"/>
        <w:gridCol w:w="2569"/>
        <w:gridCol w:w="1190"/>
        <w:gridCol w:w="1235"/>
        <w:gridCol w:w="1264"/>
        <w:gridCol w:w="1171"/>
        <w:gridCol w:w="1198"/>
        <w:gridCol w:w="1085"/>
        <w:gridCol w:w="1085"/>
        <w:gridCol w:w="1422"/>
      </w:tblGrid>
      <w:tr w14:paraId="08141CB4">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3646C25C">
            <w:pPr>
              <w:jc w:val="center"/>
              <w:textAlignment w:val="bottom"/>
              <w:rPr>
                <w:rFonts w:hint="default" w:cs="宋体"/>
                <w:b/>
                <w:color w:val="000000"/>
                <w:sz w:val="32"/>
                <w:szCs w:val="32"/>
              </w:rPr>
            </w:pPr>
            <w:r>
              <w:rPr>
                <w:rFonts w:cs="宋体"/>
                <w:b/>
                <w:color w:val="000000"/>
                <w:sz w:val="32"/>
                <w:szCs w:val="32"/>
              </w:rPr>
              <w:t>收入决算表</w:t>
            </w:r>
          </w:p>
        </w:tc>
      </w:tr>
      <w:tr w14:paraId="2830C65F">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279FEA7B">
            <w:pPr>
              <w:spacing w:line="280" w:lineRule="exact"/>
              <w:rPr>
                <w:rFonts w:hint="default" w:cs="宋体"/>
                <w:color w:val="000000"/>
                <w:sz w:val="20"/>
                <w:szCs w:val="20"/>
              </w:rPr>
            </w:pPr>
            <w:r>
              <w:rPr>
                <w:rFonts w:cs="宋体"/>
                <w:sz w:val="20"/>
                <w:szCs w:val="20"/>
              </w:rPr>
              <w:t>部门：</w:t>
            </w:r>
            <w:r>
              <w:rPr>
                <w:sz w:val="20"/>
                <w:u w:color="auto"/>
              </w:rPr>
              <w:t>中国人民政治协商会议重庆市渝中区委员会办公室</w:t>
            </w:r>
          </w:p>
        </w:tc>
        <w:tc>
          <w:tcPr>
            <w:tcW w:w="461" w:type="pct"/>
            <w:tcBorders>
              <w:top w:val="nil"/>
              <w:left w:val="nil"/>
              <w:bottom w:val="nil"/>
              <w:right w:val="nil"/>
            </w:tcBorders>
            <w:shd w:val="clear" w:color="auto" w:fill="auto"/>
            <w:noWrap/>
            <w:tcMar>
              <w:top w:w="15" w:type="dxa"/>
              <w:left w:w="15" w:type="dxa"/>
              <w:right w:w="15" w:type="dxa"/>
            </w:tcMar>
            <w:vAlign w:val="bottom"/>
          </w:tcPr>
          <w:p w14:paraId="38DA859B">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03FCB64B">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4D03D019">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20878E0D">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B6F7E7C">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CAE7390">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035A266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6C8C115F">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505C0BD1">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5EE46F9B">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6DB8F095">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6F899682">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315A080B">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3E207AD">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1204730">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12241B1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2AA33F3">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43313D6">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EA555">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9493D">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FDA20">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FC175E">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EF303">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FBF9A">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07EE6">
            <w:pPr>
              <w:jc w:val="center"/>
              <w:textAlignment w:val="center"/>
              <w:rPr>
                <w:rFonts w:hint="default" w:cs="宋体"/>
                <w:b/>
                <w:color w:val="000000"/>
                <w:sz w:val="20"/>
                <w:szCs w:val="20"/>
              </w:rPr>
            </w:pPr>
            <w:r>
              <w:rPr>
                <w:rFonts w:cs="宋体"/>
                <w:b/>
                <w:color w:val="000000"/>
                <w:sz w:val="20"/>
                <w:szCs w:val="20"/>
              </w:rPr>
              <w:t>其他收入</w:t>
            </w:r>
          </w:p>
        </w:tc>
      </w:tr>
      <w:tr w14:paraId="0B0CABB1">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074E4">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84F9BB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0B6A8">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179F4">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4357E">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CEA2B">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8DA75">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17A6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0A276">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BB7B1">
            <w:pPr>
              <w:jc w:val="center"/>
              <w:rPr>
                <w:rFonts w:hint="default" w:cs="宋体"/>
                <w:b/>
                <w:color w:val="000000"/>
                <w:sz w:val="20"/>
                <w:szCs w:val="20"/>
              </w:rPr>
            </w:pPr>
          </w:p>
        </w:tc>
      </w:tr>
      <w:tr w14:paraId="61FAFDF5">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CB629">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EB41496">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EF20A">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F4304">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280B6">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8329C">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7866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643F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8CAEA">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EEA1A">
            <w:pPr>
              <w:jc w:val="center"/>
              <w:rPr>
                <w:rFonts w:hint="default" w:cs="宋体"/>
                <w:b/>
                <w:color w:val="000000"/>
                <w:sz w:val="20"/>
                <w:szCs w:val="20"/>
              </w:rPr>
            </w:pPr>
          </w:p>
        </w:tc>
      </w:tr>
      <w:tr w14:paraId="16F0E03E">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5AFDE">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136160B">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552EF">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69F6C">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4187E">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FC182">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41BB1">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D920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91099">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692C9">
            <w:pPr>
              <w:jc w:val="center"/>
              <w:rPr>
                <w:rFonts w:hint="default" w:cs="宋体"/>
                <w:b/>
                <w:color w:val="000000"/>
                <w:sz w:val="20"/>
                <w:szCs w:val="20"/>
              </w:rPr>
            </w:pPr>
          </w:p>
        </w:tc>
      </w:tr>
      <w:tr w14:paraId="4E6D3EDC">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56ED1">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F0335A2">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7B2A5">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9C415">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4BAE6">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3395C">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8F604">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EB7F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6D177">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F5358">
            <w:pPr>
              <w:jc w:val="center"/>
              <w:rPr>
                <w:rFonts w:hint="default" w:cs="宋体"/>
                <w:b/>
                <w:color w:val="000000"/>
                <w:sz w:val="20"/>
                <w:szCs w:val="20"/>
              </w:rPr>
            </w:pPr>
          </w:p>
        </w:tc>
      </w:tr>
      <w:tr w14:paraId="578E3AAB">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7407F">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7B6C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1,840.15</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1511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1,840.15</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C14B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8F45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EC3C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123A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CA19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DACC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EA813B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30DD0">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B0B41">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18B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1,334.84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AEF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1,334.84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612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203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8EA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5FA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0B0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1E1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86CBE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ACEC4">
            <w:pPr>
              <w:textAlignment w:val="center"/>
              <w:rPr>
                <w:rFonts w:hint="default" w:cs="宋体"/>
                <w:color w:val="000000"/>
                <w:sz w:val="20"/>
                <w:szCs w:val="20"/>
              </w:rPr>
            </w:pPr>
            <w:r>
              <w:rPr>
                <w:rFonts w:cs="宋体"/>
                <w:b/>
                <w:color w:val="000000"/>
                <w:sz w:val="20"/>
                <w:szCs w:val="20"/>
              </w:rPr>
              <w:t>20102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BB1B1">
            <w:pPr>
              <w:textAlignment w:val="center"/>
              <w:rPr>
                <w:rFonts w:hint="default" w:cs="宋体"/>
                <w:color w:val="000000"/>
                <w:sz w:val="20"/>
                <w:szCs w:val="20"/>
              </w:rPr>
            </w:pPr>
            <w:r>
              <w:rPr>
                <w:rFonts w:cs="宋体"/>
                <w:b/>
                <w:color w:val="000000"/>
                <w:sz w:val="20"/>
                <w:szCs w:val="20"/>
              </w:rPr>
              <w:t>政协事务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67E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1,334.84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A11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1,334.84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8DB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6C1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92F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FB0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076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3CA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5B34E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2C07C">
            <w:pPr>
              <w:textAlignment w:val="center"/>
              <w:rPr>
                <w:rFonts w:hint="default" w:cs="宋体"/>
                <w:color w:val="000000"/>
                <w:sz w:val="20"/>
                <w:szCs w:val="20"/>
              </w:rPr>
            </w:pPr>
            <w:r>
              <w:rPr>
                <w:rFonts w:cs="宋体"/>
                <w:color w:val="000000"/>
                <w:sz w:val="20"/>
                <w:szCs w:val="20"/>
              </w:rPr>
              <w:t>2010201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1E6DA">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097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738.63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D86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738.63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575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1BC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B36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B4B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C21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949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E5E93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4A20A">
            <w:pPr>
              <w:textAlignment w:val="center"/>
              <w:rPr>
                <w:rFonts w:hint="default" w:cs="宋体"/>
                <w:color w:val="000000"/>
                <w:sz w:val="20"/>
                <w:szCs w:val="20"/>
              </w:rPr>
            </w:pPr>
            <w:r>
              <w:rPr>
                <w:rFonts w:cs="宋体"/>
                <w:color w:val="000000"/>
                <w:sz w:val="20"/>
                <w:szCs w:val="20"/>
              </w:rPr>
              <w:t>2010202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8059B">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3AC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353.12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4AC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353.12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430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D2C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EB7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BF5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9A4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893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AE0E4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E7339">
            <w:pPr>
              <w:textAlignment w:val="center"/>
              <w:rPr>
                <w:rFonts w:hint="default" w:cs="宋体"/>
                <w:color w:val="000000"/>
                <w:sz w:val="20"/>
                <w:szCs w:val="20"/>
              </w:rPr>
            </w:pPr>
            <w:r>
              <w:rPr>
                <w:rFonts w:cs="宋体"/>
                <w:color w:val="000000"/>
                <w:sz w:val="20"/>
                <w:szCs w:val="20"/>
              </w:rPr>
              <w:t>2010204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E00D3">
            <w:pPr>
              <w:textAlignment w:val="center"/>
              <w:rPr>
                <w:rFonts w:hint="default" w:cs="宋体"/>
                <w:color w:val="000000"/>
                <w:sz w:val="20"/>
                <w:szCs w:val="20"/>
              </w:rPr>
            </w:pPr>
            <w:r>
              <w:rPr>
                <w:rFonts w:cs="宋体"/>
                <w:color w:val="000000"/>
                <w:sz w:val="20"/>
                <w:szCs w:val="20"/>
              </w:rPr>
              <w:t>政协会议</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50D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104.83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40D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104.83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BE4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D1F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5A3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EFF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D5A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D79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7F63F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3101E">
            <w:pPr>
              <w:textAlignment w:val="center"/>
              <w:rPr>
                <w:rFonts w:hint="default" w:cs="宋体"/>
                <w:color w:val="000000"/>
                <w:sz w:val="20"/>
                <w:szCs w:val="20"/>
              </w:rPr>
            </w:pPr>
            <w:r>
              <w:rPr>
                <w:rFonts w:cs="宋体"/>
                <w:color w:val="000000"/>
                <w:sz w:val="20"/>
                <w:szCs w:val="20"/>
              </w:rPr>
              <w:t>2010250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2EEC5">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9DD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138.26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9F8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138.26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B88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600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3D2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7AF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1D7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148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7FD21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47AC4">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E7097">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6F9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354.49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21B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354.49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95B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345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CB2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F13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3A7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FF0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D20C2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38964">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2494C">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56D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322.07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499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322.07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4F6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A22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048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C25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779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F9E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FC9E3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4953B">
            <w:pPr>
              <w:textAlignment w:val="center"/>
              <w:rPr>
                <w:rFonts w:hint="default" w:cs="宋体"/>
                <w:color w:val="000000"/>
                <w:sz w:val="20"/>
                <w:szCs w:val="20"/>
              </w:rPr>
            </w:pPr>
            <w:r>
              <w:rPr>
                <w:rFonts w:cs="宋体"/>
                <w:color w:val="000000"/>
                <w:sz w:val="20"/>
                <w:szCs w:val="20"/>
              </w:rPr>
              <w:t>2080501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A60D4">
            <w:pPr>
              <w:textAlignment w:val="center"/>
              <w:rPr>
                <w:rFonts w:hint="default" w:cs="宋体"/>
                <w:color w:val="000000"/>
                <w:sz w:val="20"/>
                <w:szCs w:val="20"/>
              </w:rPr>
            </w:pPr>
            <w:r>
              <w:rPr>
                <w:rFonts w:cs="宋体"/>
                <w:color w:val="000000"/>
                <w:sz w:val="20"/>
                <w:szCs w:val="20"/>
              </w:rPr>
              <w:t>行政单位离退休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19E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187.04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F6F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187.04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FAC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1C6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929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9B7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411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CF9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55EC2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8D57D">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CAC95">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341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02E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4D9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339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D78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AA4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DFF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182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C64F2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C0A6E">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BDAAA">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B94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77C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27A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9C2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CB0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DDA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380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A85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9DDE1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42A98">
            <w:pPr>
              <w:textAlignment w:val="center"/>
              <w:rPr>
                <w:rFonts w:hint="default" w:cs="宋体"/>
                <w:color w:val="000000"/>
                <w:sz w:val="20"/>
                <w:szCs w:val="20"/>
              </w:rPr>
            </w:pPr>
            <w:r>
              <w:rPr>
                <w:rFonts w:cs="宋体"/>
                <w:b/>
                <w:color w:val="000000"/>
                <w:sz w:val="20"/>
                <w:szCs w:val="20"/>
              </w:rPr>
              <w:t>20808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F2679">
            <w:pPr>
              <w:textAlignment w:val="center"/>
              <w:rPr>
                <w:rFonts w:hint="default" w:cs="宋体"/>
                <w:color w:val="000000"/>
                <w:sz w:val="20"/>
                <w:szCs w:val="20"/>
              </w:rPr>
            </w:pPr>
            <w:r>
              <w:rPr>
                <w:rFonts w:cs="宋体"/>
                <w:b/>
                <w:color w:val="000000"/>
                <w:sz w:val="20"/>
                <w:szCs w:val="20"/>
              </w:rPr>
              <w:t>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C97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669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3AE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1F7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AE5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9B3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0BC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616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6ED5C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FDC0E">
            <w:pPr>
              <w:textAlignment w:val="center"/>
              <w:rPr>
                <w:rFonts w:hint="default" w:cs="宋体"/>
                <w:color w:val="000000"/>
                <w:sz w:val="20"/>
                <w:szCs w:val="20"/>
              </w:rPr>
            </w:pPr>
            <w:r>
              <w:rPr>
                <w:rFonts w:cs="宋体"/>
                <w:color w:val="000000"/>
                <w:sz w:val="20"/>
                <w:szCs w:val="20"/>
              </w:rPr>
              <w:t>2080801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71A03">
            <w:pPr>
              <w:textAlignment w:val="center"/>
              <w:rPr>
                <w:rFonts w:hint="default" w:cs="宋体"/>
                <w:color w:val="000000"/>
                <w:sz w:val="20"/>
                <w:szCs w:val="20"/>
              </w:rPr>
            </w:pPr>
            <w:r>
              <w:rPr>
                <w:rFonts w:cs="宋体"/>
                <w:color w:val="000000"/>
                <w:sz w:val="20"/>
                <w:szCs w:val="20"/>
              </w:rPr>
              <w:t>死亡抚恤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5A4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ECA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FFC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89C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AEB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2EB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D7B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7A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E57B0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10553">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CCB72">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692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63.70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78E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63.70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91C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737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855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AFB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A34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08D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7FD4F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18FDB">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16CDB">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C05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63.70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FB4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63.70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D3D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6CA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75C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099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C6B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E3E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99166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EC988">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5DCFD">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6E4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E81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232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8C8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BEF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3E6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6F3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684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60D98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DDCD0">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40892">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F1F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36E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252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55E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B0A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01F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739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2E1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6CE61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62769">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67812">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64A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87.12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D42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87.12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121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8DB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29E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93A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ECB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30A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67900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86EAB">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7FF2D">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0A8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87.12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A32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87.12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56A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E14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C09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4E9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545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75E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D7567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2DE6C">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5A4E6">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3C1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026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F01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1EC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33A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E37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AAC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C7A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7F2DD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7A18C">
            <w:pPr>
              <w:textAlignment w:val="center"/>
              <w:rPr>
                <w:rFonts w:hint="default" w:cs="宋体"/>
                <w:color w:val="000000"/>
                <w:sz w:val="20"/>
                <w:szCs w:val="20"/>
              </w:rPr>
            </w:pPr>
            <w:r>
              <w:rPr>
                <w:rFonts w:cs="宋体"/>
                <w:color w:val="000000"/>
                <w:sz w:val="20"/>
                <w:szCs w:val="20"/>
              </w:rPr>
              <w:t>2210203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43130">
            <w:pPr>
              <w:textAlignment w:val="center"/>
              <w:rPr>
                <w:rFonts w:hint="default" w:cs="宋体"/>
                <w:color w:val="000000"/>
                <w:sz w:val="20"/>
                <w:szCs w:val="20"/>
              </w:rPr>
            </w:pPr>
            <w:r>
              <w:rPr>
                <w:rFonts w:cs="宋体"/>
                <w:color w:val="000000"/>
                <w:sz w:val="20"/>
                <w:szCs w:val="20"/>
              </w:rPr>
              <w:t>购房补贴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148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DA9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C95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5DB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43E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E4D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97D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7A8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A013976">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F25E252">
      <w:pPr>
        <w:rPr>
          <w:rFonts w:hint="default" w:cs="宋体"/>
          <w:sz w:val="20"/>
          <w:szCs w:val="20"/>
        </w:rPr>
      </w:pPr>
      <w:r>
        <w:rPr>
          <w:rFonts w:cs="宋体"/>
          <w:sz w:val="20"/>
          <w:szCs w:val="20"/>
        </w:rPr>
        <w:br w:type="page"/>
      </w:r>
    </w:p>
    <w:tbl>
      <w:tblPr>
        <w:tblStyle w:val="5"/>
        <w:tblW w:w="5000" w:type="pct"/>
        <w:tblInd w:w="0" w:type="dxa"/>
        <w:tblLayout w:type="fixed"/>
        <w:tblCellMar>
          <w:top w:w="0" w:type="dxa"/>
          <w:left w:w="0" w:type="dxa"/>
          <w:bottom w:w="0" w:type="dxa"/>
          <w:right w:w="0" w:type="dxa"/>
        </w:tblCellMar>
      </w:tblPr>
      <w:tblGrid>
        <w:gridCol w:w="1066"/>
        <w:gridCol w:w="3384"/>
        <w:gridCol w:w="1555"/>
        <w:gridCol w:w="1502"/>
        <w:gridCol w:w="1356"/>
        <w:gridCol w:w="1303"/>
        <w:gridCol w:w="1443"/>
        <w:gridCol w:w="1631"/>
      </w:tblGrid>
      <w:tr w14:paraId="311D650A">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47650B9">
            <w:pPr>
              <w:jc w:val="center"/>
              <w:textAlignment w:val="bottom"/>
              <w:rPr>
                <w:rFonts w:hint="default" w:cs="宋体"/>
                <w:b/>
                <w:color w:val="000000"/>
                <w:sz w:val="32"/>
                <w:szCs w:val="32"/>
              </w:rPr>
            </w:pPr>
            <w:r>
              <w:rPr>
                <w:rFonts w:cs="宋体"/>
                <w:b/>
                <w:color w:val="000000"/>
                <w:sz w:val="32"/>
                <w:szCs w:val="32"/>
              </w:rPr>
              <w:t>支出决算表</w:t>
            </w:r>
          </w:p>
        </w:tc>
      </w:tr>
      <w:tr w14:paraId="7D1A4B9E">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1A2452AD">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中国人民政治协商会议重庆市渝中区委员会办公室 </w:t>
            </w:r>
          </w:p>
        </w:tc>
        <w:tc>
          <w:tcPr>
            <w:tcW w:w="567" w:type="pct"/>
            <w:tcBorders>
              <w:top w:val="nil"/>
              <w:left w:val="nil"/>
              <w:bottom w:val="nil"/>
              <w:right w:val="nil"/>
            </w:tcBorders>
            <w:shd w:val="clear" w:color="auto" w:fill="auto"/>
            <w:noWrap/>
            <w:tcMar>
              <w:top w:w="15" w:type="dxa"/>
              <w:left w:w="15" w:type="dxa"/>
              <w:right w:w="15" w:type="dxa"/>
            </w:tcMar>
            <w:vAlign w:val="bottom"/>
          </w:tcPr>
          <w:p w14:paraId="5A759792">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6CD9B0FE">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16DEE533">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6E72B44D">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03F7F7E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7DEF8EE8">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76532D2D">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2754D8DC">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7B99FD4D">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7073250C">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3D5A0850">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5D66B90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E8DDAA4">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442411">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5DCDB">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52DE7">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20123">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35351">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86932">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A9CD4">
            <w:pPr>
              <w:jc w:val="center"/>
              <w:textAlignment w:val="center"/>
              <w:rPr>
                <w:rFonts w:hint="default" w:cs="宋体"/>
                <w:b/>
                <w:color w:val="000000"/>
                <w:sz w:val="20"/>
                <w:szCs w:val="20"/>
              </w:rPr>
            </w:pPr>
            <w:r>
              <w:rPr>
                <w:rFonts w:cs="宋体"/>
                <w:b/>
                <w:color w:val="000000"/>
                <w:sz w:val="20"/>
                <w:szCs w:val="20"/>
              </w:rPr>
              <w:t>对附属单位补助支出</w:t>
            </w:r>
          </w:p>
        </w:tc>
      </w:tr>
      <w:tr w14:paraId="2A8BDD8F">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DB7B9">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CAD80B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BE6EC">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8DEF2">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10C6E">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4654E">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0CCC3">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BA0EC">
            <w:pPr>
              <w:jc w:val="center"/>
              <w:rPr>
                <w:rFonts w:hint="default" w:cs="宋体"/>
                <w:b/>
                <w:color w:val="000000"/>
                <w:sz w:val="20"/>
                <w:szCs w:val="20"/>
              </w:rPr>
            </w:pPr>
          </w:p>
        </w:tc>
      </w:tr>
      <w:tr w14:paraId="5E59CDEE">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B6BBC">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0065809">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31D3F">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C9D7E">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D1CCB">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3043C">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C1B91">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11069">
            <w:pPr>
              <w:jc w:val="center"/>
              <w:rPr>
                <w:rFonts w:hint="default" w:cs="宋体"/>
                <w:b/>
                <w:color w:val="000000"/>
                <w:sz w:val="20"/>
                <w:szCs w:val="20"/>
              </w:rPr>
            </w:pPr>
          </w:p>
        </w:tc>
      </w:tr>
      <w:tr w14:paraId="071B378F">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6573B">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E0902F4">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17BDF">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992AD">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18381">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21B2C">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8FCD3">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08880">
            <w:pPr>
              <w:jc w:val="center"/>
              <w:rPr>
                <w:rFonts w:hint="default" w:cs="宋体"/>
                <w:b/>
                <w:color w:val="000000"/>
                <w:sz w:val="20"/>
                <w:szCs w:val="20"/>
              </w:rPr>
            </w:pPr>
          </w:p>
        </w:tc>
      </w:tr>
      <w:tr w14:paraId="331E9AAB">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9548F">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F962C0A">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7AB73">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0D37E">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A7BCF">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30DD4">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53638">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638F4">
            <w:pPr>
              <w:jc w:val="center"/>
              <w:rPr>
                <w:rFonts w:hint="default" w:cs="宋体"/>
                <w:b/>
                <w:color w:val="000000"/>
                <w:sz w:val="20"/>
                <w:szCs w:val="20"/>
              </w:rPr>
            </w:pPr>
          </w:p>
        </w:tc>
      </w:tr>
      <w:tr w14:paraId="34DBEDA5">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7A97A">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9A86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1,854.42</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9EB4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1,396.47</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0B69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457.95</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292B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00F6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C93D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17846C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F2088">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26563">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C9E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1,349.11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057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891.16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A6E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457.95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350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E1D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1E8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FB20A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E7710">
            <w:pPr>
              <w:textAlignment w:val="center"/>
              <w:rPr>
                <w:rFonts w:hint="default" w:cs="宋体"/>
                <w:color w:val="000000"/>
                <w:sz w:val="20"/>
                <w:szCs w:val="20"/>
              </w:rPr>
            </w:pPr>
            <w:r>
              <w:rPr>
                <w:rFonts w:cs="宋体"/>
                <w:b/>
                <w:color w:val="000000"/>
                <w:sz w:val="20"/>
                <w:szCs w:val="20"/>
              </w:rPr>
              <w:t>20102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B17A1">
            <w:pPr>
              <w:textAlignment w:val="center"/>
              <w:rPr>
                <w:rFonts w:hint="default" w:cs="宋体"/>
                <w:color w:val="000000"/>
                <w:sz w:val="20"/>
                <w:szCs w:val="20"/>
              </w:rPr>
            </w:pPr>
            <w:r>
              <w:rPr>
                <w:rFonts w:cs="宋体"/>
                <w:b/>
                <w:color w:val="000000"/>
                <w:sz w:val="20"/>
                <w:szCs w:val="20"/>
              </w:rPr>
              <w:t>政协事务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650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1,349.11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A08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891.16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BD6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457.95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254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4B8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42E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284E4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B8021">
            <w:pPr>
              <w:textAlignment w:val="center"/>
              <w:rPr>
                <w:rFonts w:hint="default" w:cs="宋体"/>
                <w:color w:val="000000"/>
                <w:sz w:val="20"/>
                <w:szCs w:val="20"/>
              </w:rPr>
            </w:pPr>
            <w:r>
              <w:rPr>
                <w:rFonts w:cs="宋体"/>
                <w:color w:val="000000"/>
                <w:sz w:val="20"/>
                <w:szCs w:val="20"/>
              </w:rPr>
              <w:t>2010201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60C78">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A05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750.69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149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750.69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16C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598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8F5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BCB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11921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95671">
            <w:pPr>
              <w:textAlignment w:val="center"/>
              <w:rPr>
                <w:rFonts w:hint="default" w:cs="宋体"/>
                <w:color w:val="000000"/>
                <w:sz w:val="20"/>
                <w:szCs w:val="20"/>
              </w:rPr>
            </w:pPr>
            <w:r>
              <w:rPr>
                <w:rFonts w:cs="宋体"/>
                <w:color w:val="000000"/>
                <w:sz w:val="20"/>
                <w:szCs w:val="20"/>
              </w:rPr>
              <w:t>2010202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11D26">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187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353.12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D53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80B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353.12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792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C54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70D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7FC41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F710A">
            <w:pPr>
              <w:textAlignment w:val="center"/>
              <w:rPr>
                <w:rFonts w:hint="default" w:cs="宋体"/>
                <w:color w:val="000000"/>
                <w:sz w:val="20"/>
                <w:szCs w:val="20"/>
              </w:rPr>
            </w:pPr>
            <w:r>
              <w:rPr>
                <w:rFonts w:cs="宋体"/>
                <w:color w:val="000000"/>
                <w:sz w:val="20"/>
                <w:szCs w:val="20"/>
              </w:rPr>
              <w:t>2010204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62F30">
            <w:pPr>
              <w:textAlignment w:val="center"/>
              <w:rPr>
                <w:rFonts w:hint="default" w:cs="宋体"/>
                <w:color w:val="000000"/>
                <w:sz w:val="20"/>
                <w:szCs w:val="20"/>
              </w:rPr>
            </w:pPr>
            <w:r>
              <w:rPr>
                <w:rFonts w:cs="宋体"/>
                <w:color w:val="000000"/>
                <w:sz w:val="20"/>
                <w:szCs w:val="20"/>
              </w:rPr>
              <w:t>政协会议</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CD0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104.83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D2C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6CC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104.83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668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6E8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2F0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51436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4CE6A">
            <w:pPr>
              <w:textAlignment w:val="center"/>
              <w:rPr>
                <w:rFonts w:hint="default" w:cs="宋体"/>
                <w:color w:val="000000"/>
                <w:sz w:val="20"/>
                <w:szCs w:val="20"/>
              </w:rPr>
            </w:pPr>
            <w:r>
              <w:rPr>
                <w:rFonts w:cs="宋体"/>
                <w:color w:val="000000"/>
                <w:sz w:val="20"/>
                <w:szCs w:val="20"/>
              </w:rPr>
              <w:t>2010250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BFEB9">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31B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140.48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A4F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140.48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F88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A78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C9C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608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18A0B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E053D">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F5F7C">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525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354.49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7F7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354.49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DEF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043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381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87F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1C2A2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5EBFA">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6EA02">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1B2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322.07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15E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322.07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CB3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300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4AE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13D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216E5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5D6DF">
            <w:pPr>
              <w:textAlignment w:val="center"/>
              <w:rPr>
                <w:rFonts w:hint="default" w:cs="宋体"/>
                <w:color w:val="000000"/>
                <w:sz w:val="20"/>
                <w:szCs w:val="20"/>
              </w:rPr>
            </w:pPr>
            <w:r>
              <w:rPr>
                <w:rFonts w:cs="宋体"/>
                <w:color w:val="000000"/>
                <w:sz w:val="20"/>
                <w:szCs w:val="20"/>
              </w:rPr>
              <w:t>2080501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F5E7A">
            <w:pPr>
              <w:textAlignment w:val="center"/>
              <w:rPr>
                <w:rFonts w:hint="default" w:cs="宋体"/>
                <w:color w:val="000000"/>
                <w:sz w:val="20"/>
                <w:szCs w:val="20"/>
              </w:rPr>
            </w:pPr>
            <w:r>
              <w:rPr>
                <w:rFonts w:cs="宋体"/>
                <w:color w:val="000000"/>
                <w:sz w:val="20"/>
                <w:szCs w:val="20"/>
              </w:rPr>
              <w:t>行政单位离退休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729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187.04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553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187.04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CF9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9E6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0C5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BC9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FBFC5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755C9">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B03A5">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C2E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B98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472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C8F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843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7D3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C6124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52A86">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246A7">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319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7B2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CAB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C89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CEC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8FB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AB95D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26C46">
            <w:pPr>
              <w:textAlignment w:val="center"/>
              <w:rPr>
                <w:rFonts w:hint="default" w:cs="宋体"/>
                <w:color w:val="000000"/>
                <w:sz w:val="20"/>
                <w:szCs w:val="20"/>
              </w:rPr>
            </w:pPr>
            <w:r>
              <w:rPr>
                <w:rFonts w:cs="宋体"/>
                <w:b/>
                <w:color w:val="000000"/>
                <w:sz w:val="20"/>
                <w:szCs w:val="20"/>
              </w:rPr>
              <w:t>20808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0C1B4">
            <w:pPr>
              <w:textAlignment w:val="center"/>
              <w:rPr>
                <w:rFonts w:hint="default" w:cs="宋体"/>
                <w:color w:val="000000"/>
                <w:sz w:val="20"/>
                <w:szCs w:val="20"/>
              </w:rPr>
            </w:pPr>
            <w:r>
              <w:rPr>
                <w:rFonts w:cs="宋体"/>
                <w:b/>
                <w:color w:val="000000"/>
                <w:sz w:val="20"/>
                <w:szCs w:val="20"/>
              </w:rPr>
              <w:t>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8CC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1B8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373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C3A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ACA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799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F18D8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1E20E">
            <w:pPr>
              <w:textAlignment w:val="center"/>
              <w:rPr>
                <w:rFonts w:hint="default" w:cs="宋体"/>
                <w:color w:val="000000"/>
                <w:sz w:val="20"/>
                <w:szCs w:val="20"/>
              </w:rPr>
            </w:pPr>
            <w:r>
              <w:rPr>
                <w:rFonts w:cs="宋体"/>
                <w:color w:val="000000"/>
                <w:sz w:val="20"/>
                <w:szCs w:val="20"/>
              </w:rPr>
              <w:t>2080801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903F3">
            <w:pPr>
              <w:textAlignment w:val="center"/>
              <w:rPr>
                <w:rFonts w:hint="default" w:cs="宋体"/>
                <w:color w:val="000000"/>
                <w:sz w:val="20"/>
                <w:szCs w:val="20"/>
              </w:rPr>
            </w:pPr>
            <w:r>
              <w:rPr>
                <w:rFonts w:cs="宋体"/>
                <w:color w:val="000000"/>
                <w:sz w:val="20"/>
                <w:szCs w:val="20"/>
              </w:rPr>
              <w:t>死亡抚恤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B1E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2CF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014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6B1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F35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09A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0C36C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8BDC9">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507AD">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C93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63.70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C7A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63.70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184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CE1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A8C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8D7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96215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9B084">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C75E9">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49B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63.70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0C7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63.70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FD8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4AA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FFC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32D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2C203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D7091">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F1A32">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C52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2C2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C6A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304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189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4C1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A7388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72994">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234B6">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F69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BD8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29B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86C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8F4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C42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B38C4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11BEB">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C5861">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DBF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87.12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76D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87.12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F7B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DA2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0FA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0A7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1B9EA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A8AA3">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C446D">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310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87.12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DE8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87.12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C29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B78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504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066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9F463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E126F">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E2D4F">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182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4BB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53D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B2D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64C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5AD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B927A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5EA84">
            <w:pPr>
              <w:textAlignment w:val="center"/>
              <w:rPr>
                <w:rFonts w:hint="default" w:cs="宋体"/>
                <w:color w:val="000000"/>
                <w:sz w:val="20"/>
                <w:szCs w:val="20"/>
              </w:rPr>
            </w:pPr>
            <w:r>
              <w:rPr>
                <w:rFonts w:cs="宋体"/>
                <w:color w:val="000000"/>
                <w:sz w:val="20"/>
                <w:szCs w:val="20"/>
              </w:rPr>
              <w:t>2210203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4184B">
            <w:pPr>
              <w:textAlignment w:val="center"/>
              <w:rPr>
                <w:rFonts w:hint="default" w:cs="宋体"/>
                <w:color w:val="000000"/>
                <w:sz w:val="20"/>
                <w:szCs w:val="20"/>
              </w:rPr>
            </w:pPr>
            <w:r>
              <w:rPr>
                <w:rFonts w:cs="宋体"/>
                <w:color w:val="000000"/>
                <w:sz w:val="20"/>
                <w:szCs w:val="20"/>
              </w:rPr>
              <w:t>购房补贴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C19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68C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90D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57B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DB0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C90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CD1279E">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91AE412">
      <w:pPr>
        <w:rPr>
          <w:rFonts w:hint="default" w:cs="宋体"/>
          <w:sz w:val="21"/>
          <w:szCs w:val="21"/>
        </w:rPr>
      </w:pPr>
      <w:r>
        <w:rPr>
          <w:rFonts w:cs="宋体"/>
          <w:sz w:val="21"/>
          <w:szCs w:val="21"/>
        </w:rPr>
        <w:br w:type="page"/>
      </w:r>
    </w:p>
    <w:p w14:paraId="53CA987D">
      <w:pPr>
        <w:rPr>
          <w:rFonts w:hint="default" w:cs="宋体"/>
          <w:sz w:val="21"/>
          <w:szCs w:val="21"/>
        </w:rPr>
      </w:pPr>
    </w:p>
    <w:tbl>
      <w:tblPr>
        <w:tblStyle w:val="5"/>
        <w:tblW w:w="4790" w:type="pct"/>
        <w:tblInd w:w="0" w:type="dxa"/>
        <w:tblLayout w:type="autofit"/>
        <w:tblCellMar>
          <w:top w:w="0" w:type="dxa"/>
          <w:left w:w="0" w:type="dxa"/>
          <w:bottom w:w="0" w:type="dxa"/>
          <w:right w:w="0" w:type="dxa"/>
        </w:tblCellMar>
      </w:tblPr>
      <w:tblGrid>
        <w:gridCol w:w="2564"/>
        <w:gridCol w:w="1314"/>
        <w:gridCol w:w="2747"/>
        <w:gridCol w:w="1464"/>
        <w:gridCol w:w="1464"/>
        <w:gridCol w:w="1464"/>
        <w:gridCol w:w="1667"/>
      </w:tblGrid>
      <w:tr w14:paraId="1A34B53A">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F1E907F">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50609110">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67E7D4CF">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中国人民政治协商会议重庆市渝中区委员会办公室</w:t>
            </w:r>
          </w:p>
        </w:tc>
        <w:tc>
          <w:tcPr>
            <w:tcW w:w="577" w:type="pct"/>
            <w:tcBorders>
              <w:top w:val="nil"/>
              <w:left w:val="nil"/>
              <w:bottom w:val="nil"/>
              <w:right w:val="nil"/>
            </w:tcBorders>
            <w:shd w:val="clear" w:color="auto" w:fill="auto"/>
            <w:noWrap/>
            <w:tcMar>
              <w:top w:w="15" w:type="dxa"/>
              <w:left w:w="15" w:type="dxa"/>
              <w:right w:w="15" w:type="dxa"/>
            </w:tcMar>
            <w:vAlign w:val="bottom"/>
          </w:tcPr>
          <w:p w14:paraId="311CFE0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FB1295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009AB98">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8EBD3AA">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09084AA8">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61B33F9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4C3862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C386F8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5AB8DDC">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8728434">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3E0D775">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1415B">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42F81">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445B667">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AF31A">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164DB">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F6AEBC">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87D69">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73C85589">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A2946">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BFF93">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21E2D5">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00DEC">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88E42">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CE1B8">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98802">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0CD7BE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D4AA2">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0ACD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1,840.15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6BA1B">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8981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1,349.11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4381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1,349.11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070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7B3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EA22C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7D918">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1D4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B4EB2">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4ED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5B6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567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854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B01D3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54372">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C97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369CE">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4A4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874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C57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087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9C155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C792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B2E3B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78E68">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1B5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31D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E5F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3B0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B449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8A91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2C03D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D8672">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9B6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647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182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849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78F28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3D54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53754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A4154">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CF4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C9E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342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B1F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680C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BE43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35B29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20192">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478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56C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855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170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55EE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2381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D4738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FA2D4">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221E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BE1C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BE4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58C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AFB9E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FDEA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14C7E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DE5D0">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6D8C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63.70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3D67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63.70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3A8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251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6CF5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22EA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C074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6CFAF">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A92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8B1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7C1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598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978DD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7171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247E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A7AEE">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243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CB6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224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88D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19D33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8978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E82C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24DE1">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5BA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6DF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A4F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583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F8CC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EF58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B5F5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700E">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6B0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428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DEE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A4D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8F3D9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EBD5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100F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D4071">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622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D9A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241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058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6803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A078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40DE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64A02">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133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F5C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ED4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260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BB7CD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3B74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C13F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52E5A">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74F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F13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2F2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18D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03369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E643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E3DE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C32E5">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B78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E50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999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8D3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961A3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B930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A66B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2A00E">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002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67F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FD6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10F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DC4D2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BDAC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7015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54A79">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9D80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87.12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BA0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87.12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8A2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719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5C459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0FFE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0569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A17FA">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58A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195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3D6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60E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9F1E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B3A2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0EAF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955ED">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EB3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577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156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D9C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87AC0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DC76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DB9E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E642A">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FAA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1C7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A98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026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9118E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463D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929C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8D26F">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C21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0C9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00C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308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7B97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D8B7B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2B1F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6C864">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C96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615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4B9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BEB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63EC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ECDF3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EBB2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6A650">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88C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D5A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053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41D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0106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0D351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415D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94213">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050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FEF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030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FCC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B82F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2673B">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B607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1,840.15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7C8B0">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27E3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1,854.42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2F2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1,854.42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F11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052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8D43C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BC46C">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2FB5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49399">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923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550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F4F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60D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CB078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79CAC">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7FBE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296A03">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CC3A35">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84B145">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DA5F16">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00FB17">
            <w:pPr>
              <w:spacing w:line="200" w:lineRule="exact"/>
              <w:rPr>
                <w:rFonts w:hint="default" w:ascii="Times New Roman" w:hAnsi="Times New Roman"/>
                <w:color w:val="000000"/>
                <w:sz w:val="18"/>
                <w:szCs w:val="18"/>
              </w:rPr>
            </w:pPr>
          </w:p>
        </w:tc>
      </w:tr>
      <w:tr w14:paraId="1B16D94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4EA76">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FE4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8F411">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15B9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24D08">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2067B">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45929">
            <w:pPr>
              <w:spacing w:line="200" w:lineRule="exact"/>
              <w:jc w:val="right"/>
              <w:rPr>
                <w:rFonts w:hint="default" w:ascii="Times New Roman" w:hAnsi="Times New Roman"/>
                <w:color w:val="000000"/>
                <w:sz w:val="18"/>
                <w:szCs w:val="18"/>
              </w:rPr>
            </w:pPr>
          </w:p>
        </w:tc>
      </w:tr>
      <w:tr w14:paraId="55324D5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331B8">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37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99785">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5D97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6A97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B8DB4">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257B4">
            <w:pPr>
              <w:spacing w:line="200" w:lineRule="exact"/>
              <w:jc w:val="right"/>
              <w:rPr>
                <w:rFonts w:hint="default" w:ascii="Times New Roman" w:hAnsi="Times New Roman"/>
                <w:color w:val="000000"/>
                <w:sz w:val="18"/>
                <w:szCs w:val="18"/>
              </w:rPr>
            </w:pPr>
          </w:p>
        </w:tc>
      </w:tr>
      <w:tr w14:paraId="3A99944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32960">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9375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1,854.42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262D7">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A193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1,854.42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F81D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1,854.42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E84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4E6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52C27B9F">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5"/>
        <w:tblW w:w="5000" w:type="pct"/>
        <w:tblInd w:w="0" w:type="dxa"/>
        <w:tblLayout w:type="autofit"/>
        <w:tblCellMar>
          <w:top w:w="0" w:type="dxa"/>
          <w:left w:w="0" w:type="dxa"/>
          <w:bottom w:w="0" w:type="dxa"/>
          <w:right w:w="0" w:type="dxa"/>
        </w:tblCellMar>
      </w:tblPr>
      <w:tblGrid>
        <w:gridCol w:w="1128"/>
        <w:gridCol w:w="3519"/>
        <w:gridCol w:w="2857"/>
        <w:gridCol w:w="2849"/>
        <w:gridCol w:w="2887"/>
      </w:tblGrid>
      <w:tr w14:paraId="1FF0FD3F">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58DF38E">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422AEB62">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76735F8">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中国人民政治协商会议重庆市渝中区委员会办公室</w:t>
            </w:r>
          </w:p>
        </w:tc>
        <w:tc>
          <w:tcPr>
            <w:tcW w:w="1076" w:type="pct"/>
            <w:tcBorders>
              <w:top w:val="nil"/>
              <w:left w:val="nil"/>
              <w:bottom w:val="nil"/>
              <w:right w:val="nil"/>
            </w:tcBorders>
            <w:shd w:val="clear" w:color="auto" w:fill="auto"/>
            <w:noWrap/>
            <w:tcMar>
              <w:top w:w="15" w:type="dxa"/>
              <w:left w:w="15" w:type="dxa"/>
              <w:right w:w="15" w:type="dxa"/>
            </w:tcMar>
            <w:vAlign w:val="bottom"/>
          </w:tcPr>
          <w:p w14:paraId="4CCF00BC">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B3A705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25BD2119">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07A29279">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54A902B5">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14D03B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853538B">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62795">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DB44E6">
            <w:pPr>
              <w:jc w:val="center"/>
              <w:textAlignment w:val="center"/>
              <w:rPr>
                <w:rFonts w:hint="default" w:cs="宋体"/>
                <w:b/>
                <w:color w:val="000000"/>
                <w:sz w:val="20"/>
                <w:szCs w:val="20"/>
              </w:rPr>
            </w:pPr>
            <w:r>
              <w:rPr>
                <w:rFonts w:cs="宋体"/>
                <w:b/>
                <w:color w:val="000000"/>
                <w:sz w:val="20"/>
                <w:szCs w:val="20"/>
              </w:rPr>
              <w:t>本年支出</w:t>
            </w:r>
          </w:p>
        </w:tc>
      </w:tr>
      <w:tr w14:paraId="36EA800D">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007BA">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27944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296D3">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777FD4">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0F4C03">
            <w:pPr>
              <w:jc w:val="center"/>
              <w:textAlignment w:val="center"/>
              <w:rPr>
                <w:rFonts w:hint="default" w:cs="宋体"/>
                <w:b/>
                <w:color w:val="000000"/>
                <w:sz w:val="20"/>
                <w:szCs w:val="20"/>
              </w:rPr>
            </w:pPr>
            <w:r>
              <w:rPr>
                <w:rFonts w:cs="宋体"/>
                <w:b/>
                <w:color w:val="000000"/>
                <w:sz w:val="20"/>
                <w:szCs w:val="20"/>
              </w:rPr>
              <w:t>项目支出</w:t>
            </w:r>
          </w:p>
        </w:tc>
      </w:tr>
      <w:tr w14:paraId="5693A473">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B1B2D">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9C3BE8">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24B133">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19C2E3">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8E232F">
            <w:pPr>
              <w:jc w:val="center"/>
              <w:rPr>
                <w:rFonts w:hint="default" w:cs="宋体"/>
                <w:b/>
                <w:color w:val="000000"/>
                <w:sz w:val="20"/>
                <w:szCs w:val="20"/>
              </w:rPr>
            </w:pPr>
          </w:p>
        </w:tc>
      </w:tr>
      <w:tr w14:paraId="55C5B562">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0AF65">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2CADE4">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0B55DD">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FBA1B8">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95116E">
            <w:pPr>
              <w:jc w:val="center"/>
              <w:rPr>
                <w:rFonts w:hint="default" w:cs="宋体"/>
                <w:b/>
                <w:color w:val="000000"/>
                <w:sz w:val="20"/>
                <w:szCs w:val="20"/>
              </w:rPr>
            </w:pPr>
          </w:p>
        </w:tc>
      </w:tr>
      <w:tr w14:paraId="0FA9EECC">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5AEC6">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0FAC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1,854.42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834C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1,396.47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D166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457.95</w:t>
            </w:r>
            <w:r>
              <w:rPr>
                <w:rFonts w:ascii="Times New Roman" w:hAnsi="Times New Roman"/>
                <w:b/>
                <w:color w:val="000000"/>
                <w:sz w:val="20"/>
                <w:u w:color="auto"/>
              </w:rPr>
              <w:t xml:space="preserve"> </w:t>
            </w:r>
          </w:p>
        </w:tc>
      </w:tr>
      <w:tr w14:paraId="506522F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8556C">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8B54C">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19B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1,349.11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47C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891.16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31C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457.95</w:t>
            </w:r>
            <w:r>
              <w:rPr>
                <w:rFonts w:ascii="Times New Roman" w:hAnsi="Times New Roman"/>
                <w:b/>
                <w:color w:val="000000"/>
                <w:sz w:val="20"/>
                <w:u w:color="auto"/>
              </w:rPr>
              <w:t xml:space="preserve"> </w:t>
            </w:r>
          </w:p>
        </w:tc>
      </w:tr>
      <w:tr w14:paraId="5492687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69195">
            <w:pPr>
              <w:textAlignment w:val="center"/>
              <w:rPr>
                <w:rFonts w:hint="default" w:cs="宋体"/>
                <w:color w:val="000000"/>
                <w:sz w:val="20"/>
                <w:szCs w:val="20"/>
              </w:rPr>
            </w:pPr>
            <w:r>
              <w:rPr>
                <w:rFonts w:cs="宋体"/>
                <w:b/>
                <w:color w:val="000000"/>
                <w:sz w:val="20"/>
                <w:szCs w:val="20"/>
              </w:rPr>
              <w:t>20102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1CDF7">
            <w:pPr>
              <w:textAlignment w:val="center"/>
              <w:rPr>
                <w:rFonts w:hint="default" w:cs="宋体"/>
                <w:color w:val="000000"/>
                <w:sz w:val="20"/>
                <w:szCs w:val="20"/>
              </w:rPr>
            </w:pPr>
            <w:r>
              <w:rPr>
                <w:rFonts w:cs="宋体"/>
                <w:b/>
                <w:color w:val="000000"/>
                <w:sz w:val="20"/>
                <w:szCs w:val="20"/>
              </w:rPr>
              <w:t>政协事务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25C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1,349.11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E4B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891.16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410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457.95</w:t>
            </w:r>
            <w:r>
              <w:rPr>
                <w:rFonts w:ascii="Times New Roman" w:hAnsi="Times New Roman"/>
                <w:b/>
                <w:color w:val="000000"/>
                <w:sz w:val="20"/>
                <w:u w:color="auto"/>
              </w:rPr>
              <w:t xml:space="preserve"> </w:t>
            </w:r>
          </w:p>
        </w:tc>
      </w:tr>
      <w:tr w14:paraId="1589F5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73864">
            <w:pPr>
              <w:textAlignment w:val="center"/>
              <w:rPr>
                <w:rFonts w:hint="default" w:cs="宋体"/>
                <w:color w:val="000000"/>
                <w:sz w:val="20"/>
                <w:szCs w:val="20"/>
              </w:rPr>
            </w:pPr>
            <w:r>
              <w:rPr>
                <w:rFonts w:cs="宋体"/>
                <w:color w:val="000000"/>
                <w:sz w:val="20"/>
                <w:szCs w:val="20"/>
              </w:rPr>
              <w:t>2010201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B001F">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11F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750.69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F68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750.69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D17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96B30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ADCE1">
            <w:pPr>
              <w:textAlignment w:val="center"/>
              <w:rPr>
                <w:rFonts w:hint="default" w:cs="宋体"/>
                <w:color w:val="000000"/>
                <w:sz w:val="20"/>
                <w:szCs w:val="20"/>
              </w:rPr>
            </w:pPr>
            <w:r>
              <w:rPr>
                <w:rFonts w:cs="宋体"/>
                <w:color w:val="000000"/>
                <w:sz w:val="20"/>
                <w:szCs w:val="20"/>
              </w:rPr>
              <w:t>2010202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7159D">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926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353.12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823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769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353.12</w:t>
            </w:r>
            <w:r>
              <w:rPr>
                <w:rFonts w:ascii="Times New Roman" w:hAnsi="Times New Roman"/>
                <w:color w:val="000000"/>
                <w:sz w:val="20"/>
                <w:u w:color="auto"/>
              </w:rPr>
              <w:t xml:space="preserve"> </w:t>
            </w:r>
          </w:p>
        </w:tc>
      </w:tr>
      <w:tr w14:paraId="1812C24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B5640">
            <w:pPr>
              <w:textAlignment w:val="center"/>
              <w:rPr>
                <w:rFonts w:hint="default" w:cs="宋体"/>
                <w:color w:val="000000"/>
                <w:sz w:val="20"/>
                <w:szCs w:val="20"/>
              </w:rPr>
            </w:pPr>
            <w:r>
              <w:rPr>
                <w:rFonts w:cs="宋体"/>
                <w:color w:val="000000"/>
                <w:sz w:val="20"/>
                <w:szCs w:val="20"/>
              </w:rPr>
              <w:t>2010204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5213C">
            <w:pPr>
              <w:textAlignment w:val="center"/>
              <w:rPr>
                <w:rFonts w:hint="default" w:cs="宋体"/>
                <w:color w:val="000000"/>
                <w:sz w:val="20"/>
                <w:szCs w:val="20"/>
              </w:rPr>
            </w:pPr>
            <w:r>
              <w:rPr>
                <w:rFonts w:cs="宋体"/>
                <w:color w:val="000000"/>
                <w:sz w:val="20"/>
                <w:szCs w:val="20"/>
              </w:rPr>
              <w:t>政协会议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080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104.83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ED6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387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104.83</w:t>
            </w:r>
            <w:r>
              <w:rPr>
                <w:rFonts w:ascii="Times New Roman" w:hAnsi="Times New Roman"/>
                <w:color w:val="000000"/>
                <w:sz w:val="20"/>
                <w:u w:color="auto"/>
              </w:rPr>
              <w:t xml:space="preserve"> </w:t>
            </w:r>
          </w:p>
        </w:tc>
      </w:tr>
      <w:tr w14:paraId="466712F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8BFB2">
            <w:pPr>
              <w:textAlignment w:val="center"/>
              <w:rPr>
                <w:rFonts w:hint="default" w:cs="宋体"/>
                <w:color w:val="000000"/>
                <w:sz w:val="20"/>
                <w:szCs w:val="20"/>
              </w:rPr>
            </w:pPr>
            <w:r>
              <w:rPr>
                <w:rFonts w:cs="宋体"/>
                <w:color w:val="000000"/>
                <w:sz w:val="20"/>
                <w:szCs w:val="20"/>
              </w:rPr>
              <w:t>2010250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E617A">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616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140.48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BB2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140.48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5CB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BA59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7AE8E">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BCC43">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2F7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354.49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A09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354.49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0DD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EAA36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A7262">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1F404">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675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322.07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6D1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322.07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A80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48796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61049">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0D754">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EA0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187.04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7D3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187.04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FA3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A5016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9AD2C">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D713C">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5B5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3E4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272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3162D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041D6">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D0E53">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BC7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230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B84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C1265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C32F5">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16E43">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94F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5F2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F7F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16791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A3BC4">
            <w:pPr>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1AFB7">
            <w:pPr>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654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AB0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AA6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8B372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15173">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A58EB">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C24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63.70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6F2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63.70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538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24397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83BF8">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9FF53">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281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63.70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B4C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63.70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E00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832B6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4A52E">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B9BD6">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E6E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56.63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38F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56.63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40B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F90B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F023E">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F62E2">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702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819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EDE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4A276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2F902">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52AF4">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1C4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87.12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FDE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87.12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B56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A50AA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F5FBE">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8E332">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936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87.12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FAB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87.12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48A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9BCB8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71E23">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3D822">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5A6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195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76.70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958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CA594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F5399">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5D36D">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7BF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E56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10D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0E631AE">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E0CA3CD">
      <w:pPr>
        <w:ind w:firstLine="630" w:firstLineChars="300"/>
        <w:rPr>
          <w:rFonts w:hint="default" w:cs="宋体"/>
          <w:sz w:val="21"/>
          <w:szCs w:val="21"/>
        </w:rPr>
      </w:pPr>
      <w:r>
        <w:rPr>
          <w:rFonts w:cs="宋体"/>
          <w:sz w:val="21"/>
          <w:szCs w:val="21"/>
        </w:rPr>
        <w:br w:type="page"/>
      </w:r>
    </w:p>
    <w:tbl>
      <w:tblPr>
        <w:tblStyle w:val="5"/>
        <w:tblW w:w="4994" w:type="pct"/>
        <w:tblInd w:w="0" w:type="dxa"/>
        <w:tblLayout w:type="autofit"/>
        <w:tblCellMar>
          <w:top w:w="0" w:type="dxa"/>
          <w:left w:w="0" w:type="dxa"/>
          <w:bottom w:w="0" w:type="dxa"/>
          <w:right w:w="0" w:type="dxa"/>
        </w:tblCellMar>
      </w:tblPr>
      <w:tblGrid>
        <w:gridCol w:w="553"/>
        <w:gridCol w:w="2730"/>
        <w:gridCol w:w="1191"/>
        <w:gridCol w:w="615"/>
        <w:gridCol w:w="1830"/>
        <w:gridCol w:w="1086"/>
        <w:gridCol w:w="615"/>
        <w:gridCol w:w="3450"/>
        <w:gridCol w:w="1154"/>
      </w:tblGrid>
      <w:tr w14:paraId="587729E7">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B8F2F54">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561E36D">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4D31B88F">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中国人民政治协商会议重庆市渝中区委员会办公室</w:t>
            </w:r>
          </w:p>
        </w:tc>
        <w:tc>
          <w:tcPr>
            <w:tcW w:w="463" w:type="pct"/>
            <w:tcBorders>
              <w:top w:val="nil"/>
              <w:left w:val="nil"/>
              <w:bottom w:val="nil"/>
              <w:right w:val="nil"/>
            </w:tcBorders>
            <w:shd w:val="clear" w:color="auto" w:fill="auto"/>
            <w:noWrap/>
            <w:tcMar>
              <w:top w:w="15" w:type="dxa"/>
              <w:left w:w="15" w:type="dxa"/>
              <w:right w:w="15" w:type="dxa"/>
            </w:tcMar>
            <w:vAlign w:val="bottom"/>
          </w:tcPr>
          <w:p w14:paraId="3CEA259A">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B5889C2">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9FCFDDE">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1CDC07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7292DEAB">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76BC263C">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CEB4958">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79C7856">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16B977D">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56E14D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E376711">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73D63">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5F4B7BA">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5F458024">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1C50C">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58F067">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777ABC">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7F9D6">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C472D2">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9DB303">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80BB6">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A72334">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F5771D">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3AEB67AF">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E778C">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352915">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CF93F5">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D6787">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09CBC7">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56B12C">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FD2DA">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D29E80">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30765A">
            <w:pPr>
              <w:spacing w:line="192" w:lineRule="exact"/>
              <w:jc w:val="center"/>
              <w:rPr>
                <w:rFonts w:hint="default" w:cs="宋体"/>
                <w:b/>
                <w:color w:val="000000"/>
                <w:sz w:val="18"/>
                <w:szCs w:val="18"/>
              </w:rPr>
            </w:pPr>
          </w:p>
        </w:tc>
      </w:tr>
      <w:tr w14:paraId="7801868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E8B24">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F7F5C">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E966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986.19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8EC48">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B9F05">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2203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417FD">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21A85">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2377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E759E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0081F">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8EBC3">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67B4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A8A1D">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858E0">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4877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66209">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6C697">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8779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304CD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D88CC">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D75C9">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8FC8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124.54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64E9A">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B882A">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F353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7AC1B">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BBB1D">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E92B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262A1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AE139">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94DAE">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77ED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11489">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1B76B">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E239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DC7C2">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CFE16">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8E0D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EBD3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936E5">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5B956">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A4C2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8AA14">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6313D">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9CF0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24FF3">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A52B8">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3BBB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FF2F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69590">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4862E">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F7E7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CAF7A">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37B3D">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106B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271F8">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F4FBC">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C53B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2F796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544EA">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B9655">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94FA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6D3BA">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16068">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DBF6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35425">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06223">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E537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29C80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9EEF1">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F39B7">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F21C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C0B70">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E063A">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4C82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A4C01">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AC9CE">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436A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36175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F6E72">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14012">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D1EF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812A8">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19F24">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F4A2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DEA63">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A1CD5">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C649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8A81D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4C53D">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14A24">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8447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EF8F5">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F5DAC">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F74A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FD851">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4C95F">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0B45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21CAA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76806">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D8E6C">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C746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5F7A2">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89E73">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BF3A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0703E">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F45CC">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C201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03A62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FE8A6">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5DCE5">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48C2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DEDE9">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3CEAA">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739F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2DF27">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03B62">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82E9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A094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A470D">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F9CFD">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A49F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7E5EC">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96CAB">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A2A4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A7B43">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ED215">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E1EF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7EB76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F8AB0">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1935A">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C582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DD422">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DB133">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8B99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A564A">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E148B">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9D87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0D310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84CAC">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401EA">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9552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B6C26">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9135C">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B057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F6CEC">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3EEBC">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7B4D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9BD7C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6FAFB">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3CCA1">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9072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68685">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C2FBB">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AFDC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DCDA2">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12B12">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9E22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406FA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E63BC">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EF05A">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EBEC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3E06A">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44374">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C5B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AE36F">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D6845">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0CB8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EAB4A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2E604">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4640F">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A506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C8BB9">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94BDF">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13CC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9108F">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C9DC7">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5152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DE261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2095C">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92802">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67D4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5527D">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5BBC2">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259C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4BFCB">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D206F">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1312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C770F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08AF0">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2B0DC">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9439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C9844">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3DDD4">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7E08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71728">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7919C">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7066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5FA43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041C9">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8009A">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E0DD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793E6">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5CEC1">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84B2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E09C2">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24BDD">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068D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405FD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8125B">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21B19">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1095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9470E">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A6AC2">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0B3D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C0DC6">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C4781">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CE31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40168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9B88C">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8FC73">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2E30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8188D">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04F8F">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8F89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CDF4A">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FD572">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0818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7C4E4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FB3AB">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15249">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1866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7730D">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A1BBD">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5B6B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CF316">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7EC5D">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AA71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928AD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C9694">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7A3D7">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D311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0BF12">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75767">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9814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5202C">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30789">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CFF3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D2911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6246A">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0ECAA">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B5C4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3266C">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26A32">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9343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6B05A">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9DE56">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5CA6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263A6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D526B">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2E7FC">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7C2C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E0EFC">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AAA2F">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ED8C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6FE2D">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49321">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9075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513FB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43B3F">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2F138">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FC7306">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B17BD">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FD1D4">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BA0F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10743">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8F71D">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DB58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87147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7AD0D">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60C33">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4FAE9E">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166B3">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B21F8">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ADE5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7E3F1">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E1C7E">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5A9A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731BF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599F1">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39971">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408E6F">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92351">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91EBE">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86A8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F34C2">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6B3E3">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F188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4B43C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79C00">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F0507">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52776E">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F4473">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704FA">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331B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4F559">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93B3E">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48195">
            <w:pPr>
              <w:spacing w:line="192" w:lineRule="exact"/>
              <w:jc w:val="right"/>
              <w:rPr>
                <w:rFonts w:hint="default" w:ascii="Times New Roman" w:hAnsi="Times New Roman"/>
                <w:color w:val="000000"/>
                <w:sz w:val="18"/>
                <w:szCs w:val="18"/>
              </w:rPr>
            </w:pPr>
          </w:p>
        </w:tc>
      </w:tr>
      <w:tr w14:paraId="736A0CB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8B45B">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6E198">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F21EF5">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F4AA2">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7D8A2">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9177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EFC9D">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3A22A">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DB501">
            <w:pPr>
              <w:spacing w:line="192" w:lineRule="exact"/>
              <w:jc w:val="right"/>
              <w:rPr>
                <w:rFonts w:hint="default" w:ascii="Times New Roman" w:hAnsi="Times New Roman"/>
                <w:color w:val="000000"/>
                <w:sz w:val="18"/>
                <w:szCs w:val="18"/>
              </w:rPr>
            </w:pPr>
          </w:p>
        </w:tc>
      </w:tr>
      <w:tr w14:paraId="2A440C59">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444F5">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BB34A">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1135D6">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F657E">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6513A">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3064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F5581">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D5106">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EDF23">
            <w:pPr>
              <w:spacing w:line="192" w:lineRule="exact"/>
              <w:jc w:val="right"/>
              <w:rPr>
                <w:rFonts w:hint="default" w:ascii="Times New Roman" w:hAnsi="Times New Roman"/>
                <w:color w:val="000000"/>
                <w:sz w:val="18"/>
                <w:szCs w:val="18"/>
              </w:rPr>
            </w:pPr>
          </w:p>
        </w:tc>
      </w:tr>
      <w:tr w14:paraId="4219D46B">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632A6">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309B54">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1,179.43</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23C34">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9AD9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217.03</w:t>
            </w:r>
            <w:r>
              <w:rPr>
                <w:rFonts w:ascii="Times New Roman" w:hAnsi="Times New Roman"/>
                <w:color w:val="000000"/>
                <w:sz w:val="18"/>
                <w:u w:color="auto"/>
              </w:rPr>
              <w:t xml:space="preserve"> </w:t>
            </w:r>
          </w:p>
        </w:tc>
      </w:tr>
    </w:tbl>
    <w:p w14:paraId="1EBE4868">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5"/>
        <w:tblW w:w="5000" w:type="pct"/>
        <w:tblInd w:w="0" w:type="dxa"/>
        <w:tblLayout w:type="autofit"/>
        <w:tblCellMar>
          <w:top w:w="0" w:type="dxa"/>
          <w:left w:w="0" w:type="dxa"/>
          <w:bottom w:w="0" w:type="dxa"/>
          <w:right w:w="0" w:type="dxa"/>
        </w:tblCellMar>
      </w:tblPr>
      <w:tblGrid>
        <w:gridCol w:w="1199"/>
        <w:gridCol w:w="3047"/>
        <w:gridCol w:w="1470"/>
        <w:gridCol w:w="1470"/>
        <w:gridCol w:w="1470"/>
        <w:gridCol w:w="1470"/>
        <w:gridCol w:w="1525"/>
        <w:gridCol w:w="1589"/>
      </w:tblGrid>
      <w:tr w14:paraId="27C779D2">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E6DA3CD">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0509E7DF">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191555DE">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中国人民政治协商会议重庆市渝中区委员会办公室</w:t>
            </w:r>
          </w:p>
        </w:tc>
        <w:tc>
          <w:tcPr>
            <w:tcW w:w="555" w:type="pct"/>
            <w:tcBorders>
              <w:top w:val="nil"/>
              <w:left w:val="nil"/>
              <w:bottom w:val="nil"/>
              <w:right w:val="nil"/>
            </w:tcBorders>
            <w:shd w:val="clear" w:color="auto" w:fill="auto"/>
            <w:noWrap/>
            <w:tcMar>
              <w:top w:w="15" w:type="dxa"/>
              <w:left w:w="15" w:type="dxa"/>
              <w:right w:w="15" w:type="dxa"/>
            </w:tcMar>
            <w:vAlign w:val="bottom"/>
          </w:tcPr>
          <w:p w14:paraId="10B36A0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E24FE5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5BBAE00">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BC1DFCE">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2AE0AA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09F264CA">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2936677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C53E55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4D9FF5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6F1B6B7">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7CD468C">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ADD0F2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89CEE42">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E9F57">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87BBF7B">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9AC06">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FE499A6">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3EC2A">
            <w:pPr>
              <w:jc w:val="center"/>
              <w:textAlignment w:val="center"/>
              <w:rPr>
                <w:rFonts w:hint="default" w:cs="宋体"/>
                <w:b/>
                <w:color w:val="000000"/>
                <w:sz w:val="20"/>
                <w:szCs w:val="20"/>
              </w:rPr>
            </w:pPr>
            <w:r>
              <w:rPr>
                <w:rFonts w:cs="宋体"/>
                <w:b/>
                <w:color w:val="000000"/>
                <w:sz w:val="20"/>
                <w:szCs w:val="20"/>
              </w:rPr>
              <w:t>年末结转和结余</w:t>
            </w:r>
          </w:p>
        </w:tc>
      </w:tr>
      <w:tr w14:paraId="2D979495">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CD49A">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A882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E5C53E">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2CE7A">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60596E">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3722B4">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BAD147">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0B029">
            <w:pPr>
              <w:jc w:val="center"/>
              <w:rPr>
                <w:rFonts w:hint="default" w:cs="宋体"/>
                <w:b/>
                <w:color w:val="000000"/>
                <w:sz w:val="20"/>
                <w:szCs w:val="20"/>
              </w:rPr>
            </w:pPr>
          </w:p>
        </w:tc>
      </w:tr>
      <w:tr w14:paraId="147A2D53">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7BD4A">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B1E1F">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61F7FB">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B0DC1">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DC81E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5470F0">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7AED2">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83DD4">
            <w:pPr>
              <w:jc w:val="center"/>
              <w:rPr>
                <w:rFonts w:hint="default" w:cs="宋体"/>
                <w:b/>
                <w:color w:val="000000"/>
                <w:sz w:val="20"/>
                <w:szCs w:val="20"/>
              </w:rPr>
            </w:pPr>
          </w:p>
        </w:tc>
      </w:tr>
      <w:tr w14:paraId="60B6FADC">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1000C">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6793F">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A59CA70">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F321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CA7A3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1DC7CE">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0D4F70">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29154">
            <w:pPr>
              <w:jc w:val="center"/>
              <w:rPr>
                <w:rFonts w:hint="default" w:cs="宋体"/>
                <w:b/>
                <w:color w:val="000000"/>
                <w:sz w:val="20"/>
                <w:szCs w:val="20"/>
              </w:rPr>
            </w:pPr>
          </w:p>
        </w:tc>
      </w:tr>
      <w:tr w14:paraId="2CE017E4">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50CD6">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5099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56EC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3BD4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D6A3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4579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E496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24E4C47">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D66B5">
            <w:pPr>
              <w:jc w:val="both"/>
              <w:textAlignment w:val="center"/>
              <w:rPr>
                <w:rFonts w:hint="default"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6344C">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B54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2B2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725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4D6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0D5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403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20BF741">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14:paraId="2B7E2B1E">
      <w:pPr>
        <w:rPr>
          <w:rFonts w:hint="default" w:cs="宋体"/>
          <w:sz w:val="21"/>
          <w:szCs w:val="21"/>
        </w:rPr>
      </w:pPr>
      <w:r>
        <w:rPr>
          <w:rFonts w:cs="宋体"/>
          <w:sz w:val="21"/>
          <w:szCs w:val="21"/>
        </w:rPr>
        <w:br w:type="page"/>
      </w:r>
    </w:p>
    <w:tbl>
      <w:tblPr>
        <w:tblStyle w:val="5"/>
        <w:tblW w:w="5000" w:type="pct"/>
        <w:tblInd w:w="0" w:type="dxa"/>
        <w:tblLayout w:type="fixed"/>
        <w:tblCellMar>
          <w:top w:w="0" w:type="dxa"/>
          <w:left w:w="0" w:type="dxa"/>
          <w:bottom w:w="0" w:type="dxa"/>
          <w:right w:w="0" w:type="dxa"/>
        </w:tblCellMar>
      </w:tblPr>
      <w:tblGrid>
        <w:gridCol w:w="1128"/>
        <w:gridCol w:w="3114"/>
        <w:gridCol w:w="2828"/>
        <w:gridCol w:w="164"/>
        <w:gridCol w:w="2992"/>
        <w:gridCol w:w="74"/>
        <w:gridCol w:w="2939"/>
      </w:tblGrid>
      <w:tr w14:paraId="6DA6D208">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77AA832">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263567EF">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B079DE5">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中国人民政治协商会议重庆市渝中区委员会办公室</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6C1A672">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214887B">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3EFDBA3F">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27BD57BA">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320EC63">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AF59CD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9DF88A9">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BB6FAE">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CC95EC">
            <w:pPr>
              <w:jc w:val="center"/>
              <w:textAlignment w:val="bottom"/>
              <w:rPr>
                <w:rFonts w:hint="default" w:cs="宋体"/>
                <w:b/>
                <w:color w:val="000000"/>
                <w:sz w:val="20"/>
                <w:szCs w:val="20"/>
              </w:rPr>
            </w:pPr>
            <w:r>
              <w:rPr>
                <w:rFonts w:cs="宋体"/>
                <w:b/>
                <w:color w:val="000000"/>
                <w:sz w:val="20"/>
                <w:szCs w:val="20"/>
              </w:rPr>
              <w:t>本年支出</w:t>
            </w:r>
          </w:p>
        </w:tc>
      </w:tr>
      <w:tr w14:paraId="1C976F46">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742DD">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707EFE">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8365F">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8B25CB">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456D2">
            <w:pPr>
              <w:jc w:val="center"/>
              <w:textAlignment w:val="center"/>
              <w:rPr>
                <w:rFonts w:hint="default" w:cs="宋体"/>
                <w:b/>
                <w:color w:val="000000"/>
                <w:sz w:val="20"/>
                <w:szCs w:val="20"/>
              </w:rPr>
            </w:pPr>
            <w:r>
              <w:rPr>
                <w:rFonts w:cs="宋体"/>
                <w:b/>
                <w:color w:val="000000"/>
                <w:sz w:val="20"/>
                <w:szCs w:val="20"/>
              </w:rPr>
              <w:t>项目支出</w:t>
            </w:r>
          </w:p>
        </w:tc>
      </w:tr>
      <w:tr w14:paraId="612BC704">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49259">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3746FA">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4E3B1">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4808B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EDD334">
            <w:pPr>
              <w:jc w:val="center"/>
              <w:rPr>
                <w:rFonts w:hint="default" w:cs="宋体"/>
                <w:b/>
                <w:color w:val="000000"/>
                <w:sz w:val="20"/>
                <w:szCs w:val="20"/>
              </w:rPr>
            </w:pPr>
          </w:p>
        </w:tc>
      </w:tr>
      <w:tr w14:paraId="7575D030">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1E4D7">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A8D50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3F4D0">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872037">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A1491C">
            <w:pPr>
              <w:jc w:val="center"/>
              <w:rPr>
                <w:rFonts w:hint="default" w:cs="宋体"/>
                <w:b/>
                <w:color w:val="000000"/>
                <w:sz w:val="20"/>
                <w:szCs w:val="20"/>
              </w:rPr>
            </w:pPr>
          </w:p>
        </w:tc>
      </w:tr>
      <w:tr w14:paraId="06A4F749">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1811C">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433B89">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11065">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F5FF7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9B7791">
            <w:pPr>
              <w:jc w:val="center"/>
              <w:rPr>
                <w:rFonts w:hint="default" w:cs="宋体"/>
                <w:b/>
                <w:color w:val="000000"/>
                <w:sz w:val="20"/>
                <w:szCs w:val="20"/>
              </w:rPr>
            </w:pPr>
          </w:p>
        </w:tc>
      </w:tr>
      <w:tr w14:paraId="1518F53E">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0CD9E">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DB44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9D6EC">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DCC9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7D979C2">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9129D">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228EB">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AF7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53B60">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66C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58934BD5">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18736DB6">
      <w:pPr>
        <w:rPr>
          <w:rFonts w:hint="default" w:cs="宋体"/>
          <w:sz w:val="21"/>
          <w:szCs w:val="21"/>
        </w:rPr>
      </w:pPr>
      <w:r>
        <w:rPr>
          <w:rFonts w:hint="default" w:cs="宋体"/>
          <w:sz w:val="21"/>
          <w:szCs w:val="21"/>
        </w:rPr>
        <w:br w:type="page"/>
      </w:r>
    </w:p>
    <w:tbl>
      <w:tblPr>
        <w:tblStyle w:val="5"/>
        <w:tblW w:w="4611" w:type="pct"/>
        <w:tblInd w:w="0" w:type="dxa"/>
        <w:tblLayout w:type="autofit"/>
        <w:tblCellMar>
          <w:top w:w="0" w:type="dxa"/>
          <w:left w:w="170" w:type="dxa"/>
          <w:bottom w:w="0" w:type="dxa"/>
          <w:right w:w="170" w:type="dxa"/>
        </w:tblCellMar>
      </w:tblPr>
      <w:tblGrid>
        <w:gridCol w:w="2921"/>
        <w:gridCol w:w="2173"/>
        <w:gridCol w:w="1643"/>
        <w:gridCol w:w="3726"/>
        <w:gridCol w:w="1747"/>
      </w:tblGrid>
      <w:tr w14:paraId="010828BF">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3A243D50">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46547C9F">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D62F93A">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3A043C9C">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42437572">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17ED4D45">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2C29DBFA">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7143BEB">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7766A92">
            <w:pPr>
              <w:spacing w:line="280" w:lineRule="exact"/>
              <w:rPr>
                <w:rFonts w:hint="default" w:cs="宋体"/>
                <w:color w:val="000000"/>
                <w:kern w:val="2"/>
                <w:sz w:val="20"/>
                <w:szCs w:val="20"/>
              </w:rPr>
            </w:pPr>
            <w:r>
              <w:rPr>
                <w:rFonts w:cs="宋体"/>
                <w:sz w:val="20"/>
                <w:szCs w:val="20"/>
              </w:rPr>
              <w:t>部门</w:t>
            </w:r>
            <w:r>
              <w:rPr>
                <w:rFonts w:cs="宋体"/>
                <w:color w:val="000000"/>
                <w:kern w:val="2"/>
                <w:sz w:val="20"/>
                <w:szCs w:val="20"/>
              </w:rPr>
              <w:t>：</w:t>
            </w:r>
            <w:r>
              <w:rPr>
                <w:color w:val="000000"/>
                <w:sz w:val="20"/>
                <w:u w:color="auto"/>
              </w:rPr>
              <w:t>中国人民政治协商会议重庆市渝中区委员会办公室</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26323DE5">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2B022F47">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6BFFA8D3">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785C7B8">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0BF93B">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2D6B29">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B5D860">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8A4558">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F8069D">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8E06C7A">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B1E515">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0CCEC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6C954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2A594C">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119F4D">
            <w:pPr>
              <w:spacing w:line="280" w:lineRule="exact"/>
              <w:ind w:right="105"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198.40</w:t>
            </w:r>
            <w:r>
              <w:rPr>
                <w:rFonts w:ascii="Times New Roman" w:hAnsi="Times New Roman"/>
                <w:color w:val="000000"/>
                <w:sz w:val="18"/>
                <w:u w:color="auto"/>
              </w:rPr>
              <w:t xml:space="preserve"> </w:t>
            </w:r>
          </w:p>
        </w:tc>
      </w:tr>
      <w:tr w14:paraId="1BB51BA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04D50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703F7D">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44.16</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85AC0B">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44.16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51842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46D933">
            <w:pPr>
              <w:spacing w:line="280" w:lineRule="exact"/>
              <w:ind w:right="105"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198.40</w:t>
            </w:r>
            <w:r>
              <w:rPr>
                <w:rFonts w:ascii="Times New Roman" w:hAnsi="Times New Roman"/>
                <w:color w:val="000000"/>
                <w:sz w:val="18"/>
                <w:u w:color="auto"/>
              </w:rPr>
              <w:t xml:space="preserve"> </w:t>
            </w:r>
          </w:p>
        </w:tc>
      </w:tr>
      <w:tr w14:paraId="4EAEFD0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C69DD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70D29C">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E0F22A">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F6F97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8751B2">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87A5C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1935C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29A4B2">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34.76</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486A59">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34.76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0EA4EC">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EC6479">
            <w:pPr>
              <w:spacing w:line="280" w:lineRule="exact"/>
              <w:ind w:right="105"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4006D0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CC573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78EA72">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15.79</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164D36">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15.79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5AB78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86A615">
            <w:pPr>
              <w:spacing w:line="280" w:lineRule="exact"/>
              <w:ind w:right="105"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w:t>
            </w:r>
            <w:r>
              <w:rPr>
                <w:rFonts w:ascii="Times New Roman" w:hAnsi="Times New Roman"/>
                <w:color w:val="000000"/>
                <w:sz w:val="18"/>
                <w:u w:color="auto"/>
              </w:rPr>
              <w:t xml:space="preserve"> </w:t>
            </w:r>
          </w:p>
        </w:tc>
      </w:tr>
      <w:tr w14:paraId="6C73116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29C39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1C0DB9">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18.97</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4621EB">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18.97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BFD62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FC07B4">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95303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E2A19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C4D3C6">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9.40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82E163">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9.40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C42C8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4C3810">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9FFCD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48714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AD9AD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CE76B3">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9.40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F324B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EB4896">
            <w:pPr>
              <w:spacing w:line="280" w:lineRule="exact"/>
              <w:ind w:right="105"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66F3684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35B21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827E8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01AD75">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FE6E5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EA9AB6">
            <w:pPr>
              <w:spacing w:line="280" w:lineRule="exact"/>
              <w:ind w:right="105"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w:t>
            </w:r>
            <w:r>
              <w:rPr>
                <w:rFonts w:ascii="Times New Roman" w:hAnsi="Times New Roman"/>
                <w:color w:val="000000"/>
                <w:sz w:val="18"/>
                <w:u w:color="auto"/>
              </w:rPr>
              <w:t xml:space="preserve"> </w:t>
            </w:r>
          </w:p>
        </w:tc>
      </w:tr>
      <w:tr w14:paraId="3AAB941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57174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98DF7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A1B780">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D582A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B094E2">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BA59B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A7260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21300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73B7C0">
            <w:pPr>
              <w:spacing w:line="280" w:lineRule="exact"/>
              <w:ind w:right="105"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DEC37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1120D0">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2A8CB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3D3EC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9B825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8A2166">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39C84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60967C">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2D53D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6F9BB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411E4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81BCEE">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451EA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4AC9C6">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DFCD7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9DE6C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58C25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7EA866">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83F84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C542CB">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7DFF5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07CAB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6B274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BB0803">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1A1739">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CB52FC">
            <w:pPr>
              <w:spacing w:line="280" w:lineRule="exact"/>
              <w:ind w:right="105"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D0440C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B3E59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B5AC0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D1752C">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B4597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21D019">
            <w:pPr>
              <w:spacing w:line="280" w:lineRule="exact"/>
              <w:ind w:right="105"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4.41</w:t>
            </w:r>
            <w:r>
              <w:rPr>
                <w:rFonts w:ascii="Times New Roman" w:hAnsi="Times New Roman"/>
                <w:color w:val="000000"/>
                <w:sz w:val="18"/>
                <w:u w:color="auto"/>
              </w:rPr>
              <w:t xml:space="preserve"> </w:t>
            </w:r>
          </w:p>
        </w:tc>
      </w:tr>
      <w:tr w14:paraId="09147A6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C635F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02897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E76B80">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C862D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A005D7">
            <w:pPr>
              <w:spacing w:line="280" w:lineRule="exact"/>
              <w:ind w:right="105"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4.41</w:t>
            </w:r>
            <w:r>
              <w:rPr>
                <w:rFonts w:ascii="Times New Roman" w:hAnsi="Times New Roman"/>
                <w:color w:val="000000"/>
                <w:sz w:val="18"/>
                <w:u w:color="auto"/>
              </w:rPr>
              <w:t xml:space="preserve"> </w:t>
            </w:r>
          </w:p>
        </w:tc>
      </w:tr>
      <w:tr w14:paraId="66DA7B6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E0276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18E1D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922F7B">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980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DCAB0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713199">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CBE4B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A8947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D4258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D07AAF">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9999B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F4FE26">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DB73E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A11DB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1659B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66D8C1">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472D9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F78B09">
            <w:pPr>
              <w:spacing w:line="280" w:lineRule="exact"/>
              <w:ind w:right="105"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4.41</w:t>
            </w:r>
            <w:r>
              <w:rPr>
                <w:rFonts w:ascii="Times New Roman" w:hAnsi="Times New Roman"/>
                <w:color w:val="000000"/>
                <w:sz w:val="18"/>
                <w:u w:color="auto"/>
              </w:rPr>
              <w:t xml:space="preserve"> </w:t>
            </w:r>
          </w:p>
        </w:tc>
      </w:tr>
      <w:tr w14:paraId="00FC2F5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341D3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17234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411243">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CF04B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D3D0B0">
            <w:pPr>
              <w:spacing w:line="280" w:lineRule="exact"/>
              <w:ind w:right="105"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4.41</w:t>
            </w:r>
            <w:r>
              <w:rPr>
                <w:rFonts w:ascii="Times New Roman" w:hAnsi="Times New Roman"/>
                <w:color w:val="000000"/>
                <w:sz w:val="18"/>
                <w:u w:color="auto"/>
              </w:rPr>
              <w:t xml:space="preserve"> </w:t>
            </w:r>
          </w:p>
        </w:tc>
      </w:tr>
      <w:tr w14:paraId="384AD267">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AB3452">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3BF37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94C486">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73.27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3A7378">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D5A170">
            <w:pPr>
              <w:spacing w:line="280" w:lineRule="exact"/>
              <w:jc w:val="right"/>
              <w:rPr>
                <w:rFonts w:hint="default" w:cs="宋体"/>
                <w:color w:val="000000"/>
                <w:kern w:val="2"/>
                <w:sz w:val="16"/>
                <w:szCs w:val="16"/>
              </w:rPr>
            </w:pPr>
          </w:p>
        </w:tc>
      </w:tr>
      <w:tr w14:paraId="6E6895ED">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C3E7D7">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2A229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184AD8">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33.89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AAC6FA">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E1FADA">
            <w:pPr>
              <w:spacing w:line="280" w:lineRule="exact"/>
              <w:jc w:val="right"/>
              <w:rPr>
                <w:rFonts w:hint="default" w:cs="宋体"/>
                <w:color w:val="000000"/>
                <w:kern w:val="2"/>
                <w:sz w:val="16"/>
                <w:szCs w:val="16"/>
              </w:rPr>
            </w:pPr>
          </w:p>
        </w:tc>
      </w:tr>
      <w:tr w14:paraId="0C6C58E0">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820EF1">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46DF99">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51B18A">
            <w:pPr>
              <w:spacing w:line="280" w:lineRule="exact"/>
              <w:ind w:right="105"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13.28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E53369">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FC0AB2">
            <w:pPr>
              <w:spacing w:line="280" w:lineRule="exact"/>
              <w:jc w:val="right"/>
              <w:rPr>
                <w:rFonts w:hint="default" w:cs="宋体"/>
                <w:color w:val="000000"/>
                <w:sz w:val="16"/>
                <w:szCs w:val="16"/>
              </w:rPr>
            </w:pPr>
          </w:p>
        </w:tc>
      </w:tr>
    </w:tbl>
    <w:p w14:paraId="3F63283E">
      <w:pPr>
        <w:keepNext w:val="0"/>
        <w:keepLines w:val="0"/>
        <w:pageBreakBefore w:val="0"/>
        <w:kinsoku/>
        <w:wordWrap/>
        <w:overflowPunct/>
        <w:topLinePunct w:val="0"/>
        <w:autoSpaceDN/>
        <w:bidi w:val="0"/>
        <w:adjustRightInd/>
        <w:spacing w:line="594" w:lineRule="exact"/>
        <w:textAlignment w:val="auto"/>
        <w:rPr>
          <w:rFonts w:ascii="Times New Roman" w:hAnsi="Times New Roman"/>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pgSz w:w="16838" w:h="11906" w:orient="landscape"/>
      <w:pgMar w:top="1446" w:right="1984" w:bottom="1446" w:left="164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A047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45C8DE">
                          <w:pPr>
                            <w:pStyle w:val="2"/>
                          </w:pPr>
                          <w:r>
                            <w:t>—</w:t>
                          </w: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45C8DE">
                    <w:pPr>
                      <w:pStyle w:val="2"/>
                    </w:pPr>
                    <w:r>
                      <w:t>—</w:t>
                    </w: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DC0871"/>
    <w:rsid w:val="02494C6C"/>
    <w:rsid w:val="0261487E"/>
    <w:rsid w:val="03526DC6"/>
    <w:rsid w:val="068E19BA"/>
    <w:rsid w:val="073431B8"/>
    <w:rsid w:val="07FC0BA5"/>
    <w:rsid w:val="0AD538D8"/>
    <w:rsid w:val="0BFC73C5"/>
    <w:rsid w:val="0C154D9D"/>
    <w:rsid w:val="0D5374B9"/>
    <w:rsid w:val="0D953218"/>
    <w:rsid w:val="0E7F3589"/>
    <w:rsid w:val="0ECC5CD4"/>
    <w:rsid w:val="0ED90984"/>
    <w:rsid w:val="11203BB6"/>
    <w:rsid w:val="12A04F4F"/>
    <w:rsid w:val="14FB74F2"/>
    <w:rsid w:val="150D783D"/>
    <w:rsid w:val="15E72E94"/>
    <w:rsid w:val="169B0125"/>
    <w:rsid w:val="16DF591A"/>
    <w:rsid w:val="17FA7654"/>
    <w:rsid w:val="1AB948D7"/>
    <w:rsid w:val="1B670D90"/>
    <w:rsid w:val="1BCF0653"/>
    <w:rsid w:val="1C5B72F8"/>
    <w:rsid w:val="1D61177E"/>
    <w:rsid w:val="1D9E227E"/>
    <w:rsid w:val="1FE5267B"/>
    <w:rsid w:val="20E66E59"/>
    <w:rsid w:val="225A6F68"/>
    <w:rsid w:val="25897AC4"/>
    <w:rsid w:val="26014112"/>
    <w:rsid w:val="26681488"/>
    <w:rsid w:val="267B2B60"/>
    <w:rsid w:val="26AA02F7"/>
    <w:rsid w:val="27FC457D"/>
    <w:rsid w:val="28DF17A9"/>
    <w:rsid w:val="29730EAB"/>
    <w:rsid w:val="29F15C38"/>
    <w:rsid w:val="2A111E36"/>
    <w:rsid w:val="2B333328"/>
    <w:rsid w:val="2C1E0CDD"/>
    <w:rsid w:val="2CDC0871"/>
    <w:rsid w:val="2D022756"/>
    <w:rsid w:val="2D205D6C"/>
    <w:rsid w:val="2DBA1B69"/>
    <w:rsid w:val="2F292AD6"/>
    <w:rsid w:val="2FD162F0"/>
    <w:rsid w:val="30766328"/>
    <w:rsid w:val="307B625B"/>
    <w:rsid w:val="30B60B6B"/>
    <w:rsid w:val="314A45AB"/>
    <w:rsid w:val="373837CE"/>
    <w:rsid w:val="37715EA1"/>
    <w:rsid w:val="37DD75E9"/>
    <w:rsid w:val="3C972E5F"/>
    <w:rsid w:val="3D615EC3"/>
    <w:rsid w:val="3D6A3662"/>
    <w:rsid w:val="3DBB4664"/>
    <w:rsid w:val="3E631DB9"/>
    <w:rsid w:val="3E7F0A29"/>
    <w:rsid w:val="400E533D"/>
    <w:rsid w:val="40CC5652"/>
    <w:rsid w:val="422229DB"/>
    <w:rsid w:val="431C567C"/>
    <w:rsid w:val="43747266"/>
    <w:rsid w:val="44161872"/>
    <w:rsid w:val="4498145F"/>
    <w:rsid w:val="449A0979"/>
    <w:rsid w:val="469D6AD4"/>
    <w:rsid w:val="46AB11C4"/>
    <w:rsid w:val="473C009B"/>
    <w:rsid w:val="476F0470"/>
    <w:rsid w:val="49920446"/>
    <w:rsid w:val="4AC22FAD"/>
    <w:rsid w:val="4B6E7FDD"/>
    <w:rsid w:val="4C1B5BC3"/>
    <w:rsid w:val="4C256AE2"/>
    <w:rsid w:val="4C9A4355"/>
    <w:rsid w:val="4CF3569F"/>
    <w:rsid w:val="4DFA5D5B"/>
    <w:rsid w:val="4E832A53"/>
    <w:rsid w:val="4E8F13F8"/>
    <w:rsid w:val="50067498"/>
    <w:rsid w:val="50EC2B32"/>
    <w:rsid w:val="50FC15FC"/>
    <w:rsid w:val="51FE19F0"/>
    <w:rsid w:val="54843081"/>
    <w:rsid w:val="549E661D"/>
    <w:rsid w:val="57466D32"/>
    <w:rsid w:val="59260BAB"/>
    <w:rsid w:val="59875AED"/>
    <w:rsid w:val="5A836C53"/>
    <w:rsid w:val="5AB24283"/>
    <w:rsid w:val="5B830DE5"/>
    <w:rsid w:val="5DC01CC1"/>
    <w:rsid w:val="5DE5472B"/>
    <w:rsid w:val="5DE80B25"/>
    <w:rsid w:val="600617F5"/>
    <w:rsid w:val="625D189B"/>
    <w:rsid w:val="62B047C0"/>
    <w:rsid w:val="651B7C8F"/>
    <w:rsid w:val="665A4DE2"/>
    <w:rsid w:val="66633336"/>
    <w:rsid w:val="67DE3425"/>
    <w:rsid w:val="68ED6FEF"/>
    <w:rsid w:val="6E472E53"/>
    <w:rsid w:val="6FFF218C"/>
    <w:rsid w:val="701E3F32"/>
    <w:rsid w:val="717958C4"/>
    <w:rsid w:val="739E0321"/>
    <w:rsid w:val="76E24688"/>
    <w:rsid w:val="77D56216"/>
    <w:rsid w:val="79437768"/>
    <w:rsid w:val="7B162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0"/>
    <w:pPr>
      <w:spacing w:before="100" w:beforeAutospacing="1" w:after="100" w:afterAutospacing="1"/>
    </w:pPr>
  </w:style>
  <w:style w:type="character" w:styleId="7">
    <w:name w:val="Strong"/>
    <w:qFormat/>
    <w:uiPriority w:val="22"/>
    <w:rPr>
      <w:b/>
    </w:rPr>
  </w:style>
  <w:style w:type="paragraph" w:customStyle="1" w:styleId="8">
    <w:name w:val="列出段落1"/>
    <w:basedOn w:val="1"/>
    <w:qFormat/>
    <w:uiPriority w:val="99"/>
    <w:pPr>
      <w:ind w:firstLine="420" w:firstLineChars="200"/>
    </w:pPr>
    <w:rPr>
      <w:rFonts w:hint="default"/>
    </w:rPr>
  </w:style>
  <w:style w:type="paragraph" w:customStyle="1" w:styleId="9">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styleId="10">
    <w:name w:val="List Paragraph"/>
    <w:basedOn w:val="1"/>
    <w:qFormat/>
    <w:uiPriority w:val="34"/>
    <w:pPr>
      <w:ind w:firstLine="420" w:firstLineChars="200"/>
    </w:pPr>
  </w:style>
  <w:style w:type="paragraph" w:customStyle="1" w:styleId="11">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2">
    <w:name w:val="p42"/>
    <w:basedOn w:val="1"/>
    <w:semiHidden/>
    <w:qFormat/>
    <w:uiPriority w:val="99"/>
    <w:pPr>
      <w:spacing w:before="100" w:after="100"/>
    </w:pPr>
    <w:rPr>
      <w:rFonts w:hint="default" w:cs="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6674</Words>
  <Characters>7387</Characters>
  <Lines>0</Lines>
  <Paragraphs>0</Paragraphs>
  <TotalTime>2</TotalTime>
  <ScaleCrop>false</ScaleCrop>
  <LinksUpToDate>false</LinksUpToDate>
  <CharactersWithSpaces>7442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2025-08-22T10:24:00Z</dcterms:created>
  <dc:creator>WPS_1487348017</dc:creator>
  <cp:lastModifiedBy>WPS_1487348017</cp:lastModifiedBy>
  <cp:lastPrinted>2025-08-26T02:44:00Z</cp:lastPrinted>
  <dcterms:modified xsi:type="dcterms:W3CDTF">2025-10-17T06:27:38Z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B774E526E26A4A098A279CD2B894F0AD_13</vt:lpwstr>
  </property>
  <property fmtid="{D5CDD505-2E9C-101B-9397-08002B2CF9AE}" pid="4" name="KSOTemplateDocerSaveRecord">
    <vt:lpwstr>eyJoZGlkIjoiOWJmNjg1NTczZmEwNDA5YzM2OTk0YjFhYWE2NDIzYTgiLCJ1c2VySWQiOiIyNjQ3NDA4MDAifQ==</vt:lpwstr>
  </property>
</Properties>
</file>