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wordWrap/>
        <w:adjustRightInd w:val="0"/>
        <w:snapToGrid w:val="0"/>
        <w:spacing w:beforeAutospacing="0" w:afterAutospacing="0" w:line="594" w:lineRule="exact"/>
        <w:ind w:left="0" w:leftChars="0" w:right="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中国共产党重庆市渝中区委员会组织部</w:t>
      </w:r>
    </w:p>
    <w:p>
      <w:pPr>
        <w:pStyle w:val="6"/>
        <w:widowControl/>
        <w:wordWrap/>
        <w:adjustRightInd w:val="0"/>
        <w:snapToGrid w:val="0"/>
        <w:spacing w:beforeAutospacing="0" w:afterAutospacing="0" w:line="594" w:lineRule="exact"/>
        <w:ind w:left="0" w:leftChars="0" w:right="0"/>
        <w:jc w:val="center"/>
        <w:textAlignment w:val="auto"/>
        <w:outlineLvl w:val="9"/>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widowControl/>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cs="Times New Roman"/>
          <w:sz w:val="27"/>
          <w:szCs w:val="27"/>
          <w:shd w:val="clear" w:color="auto" w:fill="FFFF00"/>
        </w:rPr>
      </w:pPr>
    </w:p>
    <w:p>
      <w:pPr>
        <w:pStyle w:val="6"/>
        <w:widowControl/>
        <w:shd w:val="clear" w:color="auto" w:fill="FFFFFF"/>
        <w:wordWrap/>
        <w:adjustRightInd w:val="0"/>
        <w:snapToGrid w:val="0"/>
        <w:spacing w:beforeAutospacing="0" w:afterAutospacing="0" w:line="594" w:lineRule="exact"/>
        <w:ind w:left="0" w:leftChars="0" w:right="0"/>
        <w:jc w:val="both"/>
        <w:textAlignment w:val="auto"/>
        <w:outlineLvl w:val="9"/>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sz w:val="32"/>
          <w:szCs w:val="32"/>
          <w:shd w:val="clear" w:color="auto" w:fill="FFFFFF"/>
          <w:lang w:val="en-US" w:eastAsia="zh-CN"/>
        </w:rPr>
        <w:t xml:space="preserve">    </w:t>
      </w:r>
      <w:r>
        <w:rPr>
          <w:rStyle w:val="8"/>
          <w:rFonts w:hint="default" w:ascii="Times New Roman" w:hAnsi="Times New Roman" w:eastAsia="黑体" w:cs="Times New Roman"/>
          <w:b w:val="0"/>
          <w:bCs/>
          <w:sz w:val="32"/>
          <w:szCs w:val="32"/>
          <w:shd w:val="clear" w:color="auto" w:fill="FFFFFF"/>
        </w:rPr>
        <w:t>一、部门基本情况</w:t>
      </w:r>
    </w:p>
    <w:p>
      <w:pPr>
        <w:pStyle w:val="6"/>
        <w:widowControl/>
        <w:shd w:val="clear" w:color="auto" w:fill="FFFFFF"/>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b w:val="0"/>
          <w:bCs/>
          <w:sz w:val="32"/>
          <w:szCs w:val="32"/>
        </w:rPr>
      </w:pPr>
      <w:r>
        <w:rPr>
          <w:rStyle w:val="8"/>
          <w:rFonts w:hint="default" w:ascii="Times New Roman" w:hAnsi="Times New Roman" w:eastAsia="楷体" w:cs="Times New Roman"/>
          <w:b w:val="0"/>
          <w:bCs/>
          <w:sz w:val="32"/>
          <w:szCs w:val="32"/>
          <w:shd w:val="clear" w:color="auto" w:fill="FFFFFF"/>
          <w:lang w:val="en-US" w:eastAsia="zh-CN"/>
        </w:rPr>
        <w:t xml:space="preserve">    </w:t>
      </w:r>
      <w:r>
        <w:rPr>
          <w:rStyle w:val="8"/>
          <w:rFonts w:hint="default" w:ascii="Times New Roman" w:hAnsi="Times New Roman" w:eastAsia="楷体" w:cs="Times New Roman"/>
          <w:b w:val="0"/>
          <w:bCs/>
          <w:sz w:val="32"/>
          <w:szCs w:val="32"/>
          <w:shd w:val="clear" w:color="auto" w:fill="FFFFFF"/>
        </w:rPr>
        <w:t>（一）职能职责</w:t>
      </w:r>
    </w:p>
    <w:p>
      <w:pPr>
        <w:pStyle w:val="6"/>
        <w:widowControl/>
        <w:shd w:val="clear" w:color="auto" w:fill="FFFFFF"/>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负责指导全区基层党建工作；</w:t>
      </w:r>
      <w:r>
        <w:rPr>
          <w:rFonts w:hint="default" w:ascii="Times New Roman" w:hAnsi="Times New Roman" w:eastAsia="方正仿宋_GBK" w:cs="Times New Roman"/>
          <w:b w:val="0"/>
          <w:bCs/>
          <w:color w:val="auto"/>
          <w:sz w:val="32"/>
          <w:szCs w:val="32"/>
          <w:lang w:eastAsia="zh-CN"/>
        </w:rPr>
        <w:t>负责指导全区机关党建工作；</w:t>
      </w:r>
      <w:r>
        <w:rPr>
          <w:rFonts w:hint="default" w:ascii="Times New Roman" w:hAnsi="Times New Roman" w:eastAsia="方正仿宋_GBK" w:cs="Times New Roman"/>
          <w:b w:val="0"/>
          <w:bCs/>
          <w:color w:val="auto"/>
          <w:sz w:val="32"/>
          <w:szCs w:val="32"/>
        </w:rPr>
        <w:t>负责指导全区非公领域党建工作；负责全区领导班子和干部队伍建设的宏观统筹；负责统筹全区干部的调整配备工作；负责全区公务员管理工作；负责全区党群事业单位管理工作；牵头负责区管领导班子和领导干部考核工作；负责干部监督工作；负责全区干部教育培训工作；负责全区人才工作的指导、协调和宏观管理工作；</w:t>
      </w:r>
      <w:r>
        <w:rPr>
          <w:rFonts w:hint="default" w:ascii="Times New Roman" w:hAnsi="Times New Roman" w:eastAsia="方正仿宋_GBK" w:cs="Times New Roman"/>
          <w:b w:val="0"/>
          <w:bCs/>
          <w:color w:val="auto"/>
          <w:sz w:val="32"/>
          <w:szCs w:val="32"/>
          <w:lang w:eastAsia="zh-CN"/>
        </w:rPr>
        <w:t>负责全区党员电化教育工作；</w:t>
      </w:r>
      <w:r>
        <w:rPr>
          <w:rFonts w:hint="default" w:ascii="Times New Roman" w:hAnsi="Times New Roman" w:eastAsia="方正仿宋_GBK" w:cs="Times New Roman"/>
          <w:b w:val="0"/>
          <w:bCs/>
          <w:color w:val="auto"/>
          <w:sz w:val="32"/>
          <w:szCs w:val="32"/>
        </w:rPr>
        <w:t>负责干部人事档案服务工作；承办区委交办的其他事项。</w:t>
      </w:r>
    </w:p>
    <w:p>
      <w:pPr>
        <w:pStyle w:val="6"/>
        <w:widowControl/>
        <w:shd w:val="clear" w:color="auto" w:fill="FFFFFF"/>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楷体" w:cs="Times New Roman"/>
          <w:b w:val="0"/>
          <w:bCs/>
          <w:sz w:val="32"/>
          <w:szCs w:val="32"/>
        </w:rPr>
      </w:pPr>
      <w:r>
        <w:rPr>
          <w:rStyle w:val="8"/>
          <w:rFonts w:hint="default" w:ascii="Times New Roman" w:hAnsi="Times New Roman" w:eastAsia="楷体" w:cs="Times New Roman"/>
          <w:b w:val="0"/>
          <w:bCs/>
          <w:sz w:val="32"/>
          <w:szCs w:val="32"/>
          <w:shd w:val="clear" w:color="auto" w:fill="FFFFFF"/>
          <w:lang w:val="en-US" w:eastAsia="zh-CN"/>
        </w:rPr>
        <w:t xml:space="preserve">    </w:t>
      </w:r>
      <w:r>
        <w:rPr>
          <w:rStyle w:val="8"/>
          <w:rFonts w:hint="default" w:ascii="Times New Roman" w:hAnsi="Times New Roman" w:eastAsia="楷体" w:cs="Times New Roman"/>
          <w:b w:val="0"/>
          <w:bCs/>
          <w:sz w:val="32"/>
          <w:szCs w:val="32"/>
          <w:shd w:val="clear" w:color="auto" w:fill="FFFFFF"/>
        </w:rPr>
        <w:t>（二）机构设置</w:t>
      </w:r>
    </w:p>
    <w:p>
      <w:pPr>
        <w:pStyle w:val="6"/>
        <w:widowControl/>
        <w:shd w:val="clear" w:color="auto" w:fill="FFFFFF"/>
        <w:wordWrap/>
        <w:adjustRightInd w:val="0"/>
        <w:snapToGrid w:val="0"/>
        <w:spacing w:beforeAutospacing="0" w:afterAutospacing="0" w:line="594" w:lineRule="exact"/>
        <w:ind w:left="0" w:leftChars="0" w:right="0" w:firstLine="643"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部机关内设科室11个，包括办公室、研究室、干部一科、干部二科、公务员科、人才工作科、干部教育科、干部监督科、考核科、组织一科、组织二科；下设参公事业单位1个（党员电化教育中心）、事业单位1个（干部人事档案服务中心），共13个机构。根据渝中区机构改革方案，区委组织部加挂中共重庆市渝中区委直属机关工作委员会牌子，不再保留合署办公的中共重庆市渝中区委非公有制经济组织和社会组织工作委员会；内设科室相应调整，组织科、非公党建科不再保留，设立组织一科、组织二科。</w:t>
      </w:r>
    </w:p>
    <w:p>
      <w:pPr>
        <w:pStyle w:val="6"/>
        <w:widowControl/>
        <w:shd w:val="clear" w:color="auto" w:fill="FFFFFF"/>
        <w:wordWrap/>
        <w:adjustRightInd w:val="0"/>
        <w:snapToGrid w:val="0"/>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二、部门决算收支情况说明</w:t>
      </w:r>
    </w:p>
    <w:p>
      <w:pPr>
        <w:pStyle w:val="12"/>
        <w:widowControl/>
        <w:wordWrap/>
        <w:autoSpaceDE w:val="0"/>
        <w:adjustRightInd w:val="0"/>
        <w:snapToGrid w:val="0"/>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pStyle w:val="6"/>
        <w:widowControl/>
        <w:shd w:val="clear" w:color="auto" w:fill="FFFFFF"/>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年度收入总计</w:t>
      </w:r>
      <w:r>
        <w:rPr>
          <w:rFonts w:hint="default" w:ascii="Times New Roman" w:hAnsi="Times New Roman" w:eastAsia="方正仿宋_GBK" w:cs="Times New Roman"/>
          <w:color w:val="auto"/>
          <w:sz w:val="32"/>
          <w:szCs w:val="32"/>
          <w:lang w:val="en-US" w:eastAsia="zh-CN"/>
        </w:rPr>
        <w:t>1914.3</w:t>
      </w:r>
      <w:r>
        <w:rPr>
          <w:rFonts w:hint="default" w:ascii="Times New Roman" w:hAnsi="Times New Roman" w:eastAsia="方正仿宋_GBK" w:cs="Times New Roman"/>
          <w:color w:val="auto"/>
          <w:sz w:val="32"/>
          <w:szCs w:val="32"/>
        </w:rPr>
        <w:t>万元，支出总计</w:t>
      </w:r>
      <w:r>
        <w:rPr>
          <w:rFonts w:hint="default" w:ascii="Times New Roman" w:hAnsi="Times New Roman" w:eastAsia="方正仿宋_GBK" w:cs="Times New Roman"/>
          <w:color w:val="auto"/>
          <w:sz w:val="32"/>
          <w:szCs w:val="32"/>
          <w:lang w:val="en-US" w:eastAsia="zh-CN"/>
        </w:rPr>
        <w:t>1914.3</w:t>
      </w:r>
      <w:r>
        <w:rPr>
          <w:rFonts w:hint="default" w:ascii="Times New Roman" w:hAnsi="Times New Roman" w:eastAsia="方正仿宋_GBK" w:cs="Times New Roman"/>
          <w:color w:val="auto"/>
          <w:sz w:val="32"/>
          <w:szCs w:val="32"/>
        </w:rPr>
        <w:t>万元。收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lang w:val="en-US" w:eastAsia="zh-CN"/>
        </w:rPr>
        <w:t>2023年度相比，</w:t>
      </w:r>
      <w:r>
        <w:rPr>
          <w:rFonts w:hint="default" w:ascii="Times New Roman" w:hAnsi="Times New Roman" w:eastAsia="方正仿宋_GBK" w:cs="Times New Roman"/>
          <w:color w:val="auto"/>
          <w:sz w:val="32"/>
          <w:szCs w:val="32"/>
        </w:rPr>
        <w:t>增加</w:t>
      </w:r>
      <w:r>
        <w:rPr>
          <w:rFonts w:hint="default" w:ascii="Times New Roman" w:hAnsi="Times New Roman" w:eastAsia="方正仿宋_GBK" w:cs="Times New Roman"/>
          <w:color w:val="auto"/>
          <w:sz w:val="32"/>
          <w:szCs w:val="32"/>
          <w:lang w:val="en-US" w:eastAsia="zh-CN"/>
        </w:rPr>
        <w:t>286.12</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17.6</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结转的</w:t>
      </w:r>
      <w:r>
        <w:rPr>
          <w:rFonts w:hint="default" w:ascii="Times New Roman" w:hAnsi="Times New Roman" w:eastAsia="方正仿宋_GBK" w:cs="Times New Roman"/>
          <w:color w:val="auto"/>
          <w:sz w:val="32"/>
          <w:lang w:val="en-US" w:eastAsia="zh-CN"/>
        </w:rPr>
        <w:t>2023年干部人事档案库房建设政府采购项目经费，根据合同进度本年全部支付；</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p>
    <w:p>
      <w:pPr>
        <w:pStyle w:val="6"/>
        <w:widowControl/>
        <w:shd w:val="clear" w:color="auto" w:fill="FFFFFF"/>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年度收入合计</w:t>
      </w:r>
      <w:r>
        <w:rPr>
          <w:rFonts w:hint="default" w:ascii="Times New Roman" w:hAnsi="Times New Roman" w:eastAsia="方正仿宋_GBK" w:cs="Times New Roman"/>
          <w:color w:val="auto"/>
          <w:sz w:val="32"/>
          <w:szCs w:val="32"/>
          <w:lang w:val="en-US" w:eastAsia="zh-CN"/>
        </w:rPr>
        <w:t>1906.15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shd w:val="clear" w:color="auto" w:fill="FFFFFF"/>
        </w:rPr>
        <w:t>与2023年度相比，增加</w:t>
      </w:r>
      <w:r>
        <w:rPr>
          <w:rFonts w:hint="default" w:ascii="Times New Roman" w:hAnsi="Times New Roman" w:eastAsia="方正仿宋_GBK" w:cs="Times New Roman"/>
          <w:sz w:val="32"/>
          <w:szCs w:val="32"/>
          <w:shd w:val="clear" w:color="auto" w:fill="FFFFFF"/>
          <w:lang w:val="en-US" w:eastAsia="zh-CN"/>
        </w:rPr>
        <w:t>280.67</w:t>
      </w:r>
      <w:r>
        <w:rPr>
          <w:rFonts w:hint="default" w:ascii="Times New Roman" w:hAnsi="Times New Roman" w:eastAsia="方正仿宋_GBK" w:cs="Times New Roman"/>
          <w:sz w:val="32"/>
          <w:szCs w:val="32"/>
          <w:shd w:val="clear" w:color="auto" w:fill="FFFFFF"/>
        </w:rPr>
        <w:t>万元，增长17.</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仿宋_GB2312" w:cs="Times New Roman"/>
          <w:color w:val="auto"/>
          <w:sz w:val="32"/>
          <w:szCs w:val="32"/>
        </w:rPr>
        <w:t>主要原因是</w:t>
      </w:r>
      <w:r>
        <w:rPr>
          <w:rFonts w:hint="default" w:ascii="Times New Roman" w:hAnsi="Times New Roman" w:eastAsia="方正仿宋_GBK" w:cs="Times New Roman"/>
          <w:color w:val="auto"/>
          <w:sz w:val="32"/>
          <w:lang w:eastAsia="zh-CN"/>
        </w:rPr>
        <w:t>党群服务中心运行、干部人事档案工作项目经费预算拨款增加以及</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eastAsia="zh-CN"/>
        </w:rPr>
        <w:t>。其中，党群服务中心运行项目经费增加的主要原因是</w:t>
      </w:r>
      <w:r>
        <w:rPr>
          <w:rFonts w:hint="default" w:ascii="Times New Roman" w:hAnsi="Times New Roman" w:eastAsia="方正仿宋_GBK" w:cs="Times New Roman"/>
          <w:color w:val="auto"/>
          <w:sz w:val="32"/>
          <w:lang w:val="en-US" w:eastAsia="zh-CN"/>
        </w:rPr>
        <w:t>2023年未完成项目支出评审工作，相关经费结转至2024年；干部人事档案工作项目经费增加的主要原因是2023年干部人事档案库房建设政府采购项目根据合同进度部分款项未支付，相关经费结转至2024年。</w:t>
      </w:r>
      <w:r>
        <w:rPr>
          <w:rFonts w:hint="default" w:ascii="Times New Roman" w:hAnsi="Times New Roman" w:eastAsia="方正仿宋_GBK" w:cs="Times New Roman"/>
          <w:color w:val="auto"/>
          <w:sz w:val="32"/>
          <w:szCs w:val="32"/>
        </w:rPr>
        <w:t>其中：财政拨款收入</w:t>
      </w:r>
      <w:r>
        <w:rPr>
          <w:rFonts w:hint="default" w:ascii="Times New Roman" w:hAnsi="Times New Roman" w:eastAsia="方正仿宋_GBK" w:cs="Times New Roman"/>
          <w:color w:val="auto"/>
          <w:sz w:val="32"/>
          <w:szCs w:val="32"/>
          <w:lang w:val="en-US" w:eastAsia="zh-CN"/>
        </w:rPr>
        <w:t>1906.15</w:t>
      </w:r>
      <w:r>
        <w:rPr>
          <w:rFonts w:hint="default" w:ascii="Times New Roman" w:hAnsi="Times New Roman" w:eastAsia="方正仿宋_GBK" w:cs="Times New Roman"/>
          <w:color w:val="auto"/>
          <w:sz w:val="32"/>
          <w:szCs w:val="32"/>
        </w:rPr>
        <w:t>万元，占100.0%；事业收入0万元，占0.0%；经营收入0万元，占0.0%；其他收入0万元，占0.0%。此外，使用非财政拨款结余和专用结余0万元，年初结转和结余</w:t>
      </w:r>
      <w:r>
        <w:rPr>
          <w:rFonts w:hint="default" w:ascii="Times New Roman" w:hAnsi="Times New Roman" w:eastAsia="方正仿宋_GBK" w:cs="Times New Roman"/>
          <w:color w:val="auto"/>
          <w:sz w:val="32"/>
          <w:szCs w:val="32"/>
          <w:lang w:val="en-US" w:eastAsia="zh-CN"/>
        </w:rPr>
        <w:t>8.16</w:t>
      </w:r>
      <w:r>
        <w:rPr>
          <w:rFonts w:hint="default" w:ascii="Times New Roman" w:hAnsi="Times New Roman" w:eastAsia="方正仿宋_GBK" w:cs="Times New Roman"/>
          <w:color w:val="auto"/>
          <w:sz w:val="32"/>
          <w:szCs w:val="32"/>
        </w:rPr>
        <w:t>万元。</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年度支出合计</w:t>
      </w:r>
      <w:r>
        <w:rPr>
          <w:rFonts w:hint="default" w:ascii="Times New Roman" w:hAnsi="Times New Roman" w:eastAsia="方正仿宋_GBK" w:cs="Times New Roman"/>
          <w:color w:val="auto"/>
          <w:sz w:val="32"/>
          <w:szCs w:val="32"/>
          <w:lang w:val="en-US" w:eastAsia="zh-CN"/>
        </w:rPr>
        <w:t>1914.3</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shd w:val="clear" w:color="auto" w:fill="FFFFFF"/>
        </w:rPr>
        <w:t>与2023年度相比，</w:t>
      </w:r>
      <w:r>
        <w:rPr>
          <w:rFonts w:hint="default" w:ascii="Times New Roman" w:hAnsi="Times New Roman" w:eastAsia="方正仿宋_GBK" w:cs="Times New Roman"/>
          <w:color w:val="auto"/>
          <w:sz w:val="32"/>
          <w:szCs w:val="32"/>
        </w:rPr>
        <w:t>增加</w:t>
      </w:r>
      <w:r>
        <w:rPr>
          <w:rFonts w:hint="default" w:ascii="Times New Roman" w:hAnsi="Times New Roman" w:eastAsia="方正仿宋_GBK" w:cs="Times New Roman"/>
          <w:color w:val="auto"/>
          <w:sz w:val="32"/>
          <w:szCs w:val="32"/>
          <w:lang w:val="en-US" w:eastAsia="zh-CN"/>
        </w:rPr>
        <w:t>286.12</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17.6</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结转的</w:t>
      </w:r>
      <w:r>
        <w:rPr>
          <w:rFonts w:hint="default" w:ascii="Times New Roman" w:hAnsi="Times New Roman" w:eastAsia="方正仿宋_GBK" w:cs="Times New Roman"/>
          <w:color w:val="auto"/>
          <w:sz w:val="32"/>
          <w:lang w:val="en-US" w:eastAsia="zh-CN"/>
        </w:rPr>
        <w:t>2023年干部人事档案库房建设政府采购项目经费，根据合同进度本年全部支付；</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szCs w:val="32"/>
        </w:rPr>
        <w:t>其中：基本支出</w:t>
      </w:r>
      <w:r>
        <w:rPr>
          <w:rFonts w:hint="default" w:ascii="Times New Roman" w:hAnsi="Times New Roman" w:eastAsia="方正仿宋_GBK" w:cs="Times New Roman"/>
          <w:color w:val="auto"/>
          <w:sz w:val="32"/>
          <w:szCs w:val="32"/>
          <w:lang w:val="en-US" w:eastAsia="zh-CN"/>
        </w:rPr>
        <w:t>953.92</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49.8</w:t>
      </w:r>
      <w:r>
        <w:rPr>
          <w:rFonts w:hint="default" w:ascii="Times New Roman" w:hAnsi="Times New Roman" w:eastAsia="方正仿宋_GBK" w:cs="Times New Roman"/>
          <w:color w:val="auto"/>
          <w:sz w:val="32"/>
          <w:szCs w:val="32"/>
        </w:rPr>
        <w:t>%；项目支出</w:t>
      </w:r>
      <w:r>
        <w:rPr>
          <w:rFonts w:hint="default" w:ascii="Times New Roman" w:hAnsi="Times New Roman" w:eastAsia="方正仿宋_GBK" w:cs="Times New Roman"/>
          <w:color w:val="auto"/>
          <w:sz w:val="32"/>
          <w:szCs w:val="32"/>
          <w:lang w:val="en-US" w:eastAsia="zh-CN"/>
        </w:rPr>
        <w:t>960.39</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.2%；经营支出0万元，占0.0%。此外，结余分配0万元。</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年度年末结转和结余0万元，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color w:val="auto"/>
          <w:sz w:val="32"/>
          <w:szCs w:val="32"/>
        </w:rPr>
        <w:t>。</w:t>
      </w:r>
    </w:p>
    <w:p>
      <w:pPr>
        <w:pStyle w:val="12"/>
        <w:widowControl/>
        <w:wordWrap/>
        <w:autoSpaceDE w:val="0"/>
        <w:adjustRightInd w:val="0"/>
        <w:snapToGrid w:val="0"/>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年度财政拨款收、支总计</w:t>
      </w:r>
      <w:r>
        <w:rPr>
          <w:rFonts w:hint="default" w:ascii="Times New Roman" w:hAnsi="Times New Roman" w:eastAsia="方正仿宋_GBK" w:cs="Times New Roman"/>
          <w:color w:val="auto"/>
          <w:sz w:val="32"/>
          <w:szCs w:val="32"/>
          <w:lang w:val="en-US" w:eastAsia="zh-CN"/>
        </w:rPr>
        <w:t>1914.3</w:t>
      </w:r>
      <w:r>
        <w:rPr>
          <w:rFonts w:hint="default" w:ascii="Times New Roman" w:hAnsi="Times New Roman" w:eastAsia="方正仿宋_GBK" w:cs="Times New Roman"/>
          <w:color w:val="auto"/>
          <w:sz w:val="32"/>
          <w:szCs w:val="32"/>
        </w:rPr>
        <w:t>万元。与202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年相比，财政拨款收、支总计各增加</w:t>
      </w:r>
      <w:r>
        <w:rPr>
          <w:rFonts w:hint="default" w:ascii="Times New Roman" w:hAnsi="Times New Roman" w:eastAsia="方正仿宋_GBK" w:cs="Times New Roman"/>
          <w:color w:val="auto"/>
          <w:sz w:val="32"/>
          <w:szCs w:val="32"/>
          <w:lang w:val="en-US" w:eastAsia="zh-CN"/>
        </w:rPr>
        <w:t>286.12</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17.6</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结转的</w:t>
      </w:r>
      <w:r>
        <w:rPr>
          <w:rFonts w:hint="default" w:ascii="Times New Roman" w:hAnsi="Times New Roman" w:eastAsia="方正仿宋_GBK" w:cs="Times New Roman"/>
          <w:color w:val="auto"/>
          <w:sz w:val="32"/>
          <w:lang w:val="en-US" w:eastAsia="zh-CN"/>
        </w:rPr>
        <w:t>2023年干部人事档案库房建设政府采购项目经费，根据合同进度本年全部支付；</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p>
    <w:p>
      <w:pPr>
        <w:pStyle w:val="12"/>
        <w:widowControl/>
        <w:wordWrap/>
        <w:autoSpaceDE w:val="0"/>
        <w:adjustRightInd w:val="0"/>
        <w:snapToGrid w:val="0"/>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年度一般公共预算财政拨款收入</w:t>
      </w:r>
      <w:r>
        <w:rPr>
          <w:rFonts w:hint="default" w:ascii="Times New Roman" w:hAnsi="Times New Roman" w:eastAsia="方正仿宋_GBK" w:cs="Times New Roman"/>
          <w:color w:val="auto"/>
          <w:sz w:val="32"/>
          <w:szCs w:val="32"/>
          <w:lang w:val="en-US" w:eastAsia="zh-CN"/>
        </w:rPr>
        <w:t>1906.15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shd w:val="clear" w:color="auto" w:fill="FFFFFF"/>
        </w:rPr>
        <w:t>与2023年度相比，</w:t>
      </w:r>
      <w:r>
        <w:rPr>
          <w:rFonts w:hint="default" w:ascii="Times New Roman" w:hAnsi="Times New Roman" w:eastAsia="方正仿宋_GBK" w:cs="Times New Roman"/>
          <w:color w:val="auto"/>
          <w:sz w:val="32"/>
          <w:szCs w:val="32"/>
        </w:rPr>
        <w:t>增加</w:t>
      </w:r>
      <w:r>
        <w:rPr>
          <w:rFonts w:hint="default" w:ascii="Times New Roman" w:hAnsi="Times New Roman" w:eastAsia="方正仿宋_GBK" w:cs="Times New Roman"/>
          <w:color w:val="auto"/>
          <w:sz w:val="32"/>
          <w:szCs w:val="32"/>
          <w:lang w:val="en-US" w:eastAsia="zh-CN"/>
        </w:rPr>
        <w:t>280.68</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17.3</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方正仿宋_GBK" w:cs="Times New Roman"/>
          <w:color w:val="auto"/>
          <w:sz w:val="32"/>
          <w:lang w:eastAsia="zh-CN"/>
        </w:rPr>
        <w:t>党群服务中心运行、干部人事档案工作项目经费预算拨款增加以及</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eastAsia="zh-CN"/>
        </w:rPr>
        <w:t>。其中，党群服务中心运行项目经费增加的主要原因是</w:t>
      </w:r>
      <w:r>
        <w:rPr>
          <w:rFonts w:hint="default" w:ascii="Times New Roman" w:hAnsi="Times New Roman" w:eastAsia="方正仿宋_GBK" w:cs="Times New Roman"/>
          <w:color w:val="auto"/>
          <w:sz w:val="32"/>
          <w:lang w:val="en-US" w:eastAsia="zh-CN"/>
        </w:rPr>
        <w:t>2023年未完成项目支出评审工作，相关经费结转至2024年；干部人事档案工作项目经费增加的主要原因是2023年干部人事档案库房建设政府采购项目根据合同进度部分款项未支付，相关经费结转至2024年。</w:t>
      </w:r>
      <w:r>
        <w:rPr>
          <w:rFonts w:hint="default" w:ascii="Times New Roman" w:hAnsi="Times New Roman" w:eastAsia="方正仿宋_GBK" w:cs="Times New Roman"/>
          <w:color w:val="auto"/>
          <w:sz w:val="32"/>
          <w:szCs w:val="32"/>
        </w:rPr>
        <w:t>较年初预算数减少</w:t>
      </w:r>
      <w:r>
        <w:rPr>
          <w:rFonts w:hint="default" w:ascii="Times New Roman" w:hAnsi="Times New Roman" w:eastAsia="方正仿宋_GBK" w:cs="Times New Roman"/>
          <w:color w:val="auto"/>
          <w:sz w:val="32"/>
          <w:szCs w:val="32"/>
          <w:lang w:val="en-US" w:eastAsia="zh-CN"/>
        </w:rPr>
        <w:t>1985.48</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51.0</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方正仿宋_GBK" w:cs="Times New Roman"/>
          <w:color w:val="auto"/>
          <w:sz w:val="32"/>
          <w:lang w:eastAsia="zh-CN"/>
        </w:rPr>
        <w:t>年初申报预算中的“基层党建工作”等项目支出经费大部分用于基层党建工作，在年中进行了追减，街道等党（工）委对应进行了追加，</w:t>
      </w:r>
      <w:r>
        <w:rPr>
          <w:rFonts w:hint="default" w:ascii="Times New Roman" w:hAnsi="Times New Roman" w:eastAsia="方正仿宋_GBK" w:cs="Times New Roman"/>
          <w:color w:val="auto"/>
          <w:sz w:val="32"/>
        </w:rPr>
        <w:t>主要用于</w:t>
      </w:r>
      <w:r>
        <w:rPr>
          <w:rFonts w:hint="default" w:ascii="Times New Roman" w:hAnsi="Times New Roman" w:eastAsia="方正仿宋_GBK" w:cs="Times New Roman"/>
          <w:color w:val="auto"/>
          <w:sz w:val="32"/>
          <w:lang w:eastAsia="zh-CN"/>
        </w:rPr>
        <w:t>基层党建工作、人才工作、干部培训</w:t>
      </w:r>
      <w:r>
        <w:rPr>
          <w:rFonts w:hint="default" w:ascii="Times New Roman" w:hAnsi="Times New Roman" w:eastAsia="方正仿宋_GBK" w:cs="Times New Roman"/>
          <w:color w:val="auto"/>
          <w:sz w:val="32"/>
        </w:rPr>
        <w:t>等工作</w:t>
      </w:r>
      <w:r>
        <w:rPr>
          <w:rFonts w:hint="default" w:ascii="Times New Roman" w:hAnsi="Times New Roman" w:eastAsia="仿宋_GB2312" w:cs="Times New Roman"/>
          <w:color w:val="auto"/>
          <w:sz w:val="32"/>
          <w:szCs w:val="32"/>
        </w:rPr>
        <w:t>。</w:t>
      </w:r>
      <w:r>
        <w:rPr>
          <w:rFonts w:hint="default" w:ascii="Times New Roman" w:hAnsi="Times New Roman" w:eastAsia="方正仿宋_GBK" w:cs="Times New Roman"/>
          <w:color w:val="auto"/>
          <w:sz w:val="32"/>
          <w:szCs w:val="32"/>
        </w:rPr>
        <w:t>此外，年初财政拨款结转和结余</w:t>
      </w:r>
      <w:r>
        <w:rPr>
          <w:rFonts w:hint="default" w:ascii="Times New Roman" w:hAnsi="Times New Roman" w:eastAsia="方正仿宋_GBK" w:cs="Times New Roman"/>
          <w:color w:val="auto"/>
          <w:sz w:val="32"/>
          <w:szCs w:val="32"/>
          <w:lang w:val="en-US" w:eastAsia="zh-CN"/>
        </w:rPr>
        <w:t>8.16</w:t>
      </w:r>
      <w:r>
        <w:rPr>
          <w:rFonts w:hint="default" w:ascii="Times New Roman" w:hAnsi="Times New Roman" w:eastAsia="方正仿宋_GBK" w:cs="Times New Roman"/>
          <w:color w:val="auto"/>
          <w:sz w:val="32"/>
          <w:szCs w:val="32"/>
        </w:rPr>
        <w:t>万元。</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年度一般公共预算财政拨款支出</w:t>
      </w:r>
      <w:r>
        <w:rPr>
          <w:rFonts w:hint="default" w:ascii="Times New Roman" w:hAnsi="Times New Roman" w:eastAsia="方正仿宋_GBK" w:cs="Times New Roman"/>
          <w:color w:val="auto"/>
          <w:sz w:val="32"/>
          <w:szCs w:val="32"/>
          <w:lang w:val="en-US" w:eastAsia="zh-CN"/>
        </w:rPr>
        <w:t>1914.3</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shd w:val="clear" w:color="auto" w:fill="FFFFFF"/>
        </w:rPr>
        <w:t>与2023年度相比，</w:t>
      </w:r>
      <w:r>
        <w:rPr>
          <w:rFonts w:hint="default" w:ascii="Times New Roman" w:hAnsi="Times New Roman" w:eastAsia="方正仿宋_GBK" w:cs="Times New Roman"/>
          <w:color w:val="auto"/>
          <w:sz w:val="32"/>
          <w:szCs w:val="32"/>
        </w:rPr>
        <w:t>增加</w:t>
      </w:r>
      <w:r>
        <w:rPr>
          <w:rFonts w:hint="default" w:ascii="Times New Roman" w:hAnsi="Times New Roman" w:eastAsia="方正仿宋_GBK" w:cs="Times New Roman"/>
          <w:color w:val="auto"/>
          <w:sz w:val="32"/>
          <w:szCs w:val="32"/>
          <w:lang w:val="en-US" w:eastAsia="zh-CN"/>
        </w:rPr>
        <w:t>286.12</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17.6</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结转的</w:t>
      </w:r>
      <w:r>
        <w:rPr>
          <w:rFonts w:hint="default" w:ascii="Times New Roman" w:hAnsi="Times New Roman" w:eastAsia="方正仿宋_GBK" w:cs="Times New Roman"/>
          <w:color w:val="auto"/>
          <w:sz w:val="32"/>
          <w:lang w:val="en-US" w:eastAsia="zh-CN"/>
        </w:rPr>
        <w:t>2023年干部人事档案库房建设政府采购项目经费，根据合同进度本年全部支付；</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szCs w:val="32"/>
        </w:rPr>
        <w:t>较年初预算数减少</w:t>
      </w:r>
      <w:r>
        <w:rPr>
          <w:rFonts w:hint="default" w:ascii="Times New Roman" w:hAnsi="Times New Roman" w:eastAsia="方正仿宋_GBK" w:cs="Times New Roman"/>
          <w:color w:val="auto"/>
          <w:sz w:val="32"/>
          <w:szCs w:val="32"/>
          <w:lang w:val="en-US" w:eastAsia="zh-CN"/>
        </w:rPr>
        <w:t>1977.33</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50.8</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方正仿宋_GBK" w:cs="Times New Roman"/>
          <w:color w:val="auto"/>
          <w:sz w:val="32"/>
          <w:lang w:eastAsia="zh-CN"/>
        </w:rPr>
        <w:t>年初申报预算中的“基层党建工作”等项目支出经费大部分用于基层党建工作，在年中进行了追减，街道等党（工）委对应进行了追加，</w:t>
      </w:r>
      <w:r>
        <w:rPr>
          <w:rFonts w:hint="default" w:ascii="Times New Roman" w:hAnsi="Times New Roman" w:eastAsia="方正仿宋_GBK" w:cs="Times New Roman"/>
          <w:color w:val="auto"/>
          <w:sz w:val="32"/>
        </w:rPr>
        <w:t>主要用于</w:t>
      </w:r>
      <w:r>
        <w:rPr>
          <w:rFonts w:hint="default" w:ascii="Times New Roman" w:hAnsi="Times New Roman" w:eastAsia="方正仿宋_GBK" w:cs="Times New Roman"/>
          <w:color w:val="auto"/>
          <w:sz w:val="32"/>
          <w:lang w:eastAsia="zh-CN"/>
        </w:rPr>
        <w:t>基层党建工作、人才工作、干部培训</w:t>
      </w:r>
      <w:r>
        <w:rPr>
          <w:rFonts w:hint="default" w:ascii="Times New Roman" w:hAnsi="Times New Roman" w:eastAsia="方正仿宋_GBK" w:cs="Times New Roman"/>
          <w:color w:val="auto"/>
          <w:sz w:val="32"/>
        </w:rPr>
        <w:t>等工作</w:t>
      </w:r>
      <w:r>
        <w:rPr>
          <w:rFonts w:hint="default" w:ascii="Times New Roman" w:hAnsi="Times New Roman" w:eastAsia="仿宋_GB2312" w:cs="Times New Roman"/>
          <w:color w:val="auto"/>
          <w:sz w:val="32"/>
          <w:szCs w:val="32"/>
        </w:rPr>
        <w:t>。</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rPr>
        <w:t>（1）一般公共服务支出</w:t>
      </w:r>
      <w:r>
        <w:rPr>
          <w:rFonts w:hint="default" w:ascii="Times New Roman" w:hAnsi="Times New Roman" w:eastAsia="方正仿宋_GBK" w:cs="Times New Roman"/>
          <w:color w:val="auto"/>
          <w:sz w:val="32"/>
          <w:szCs w:val="32"/>
          <w:lang w:val="en-US" w:eastAsia="zh-CN"/>
        </w:rPr>
        <w:t>1637.71</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85.5</w:t>
      </w:r>
      <w:r>
        <w:rPr>
          <w:rFonts w:hint="default" w:ascii="Times New Roman" w:hAnsi="Times New Roman" w:eastAsia="方正仿宋_GBK" w:cs="Times New Roman"/>
          <w:color w:val="auto"/>
          <w:sz w:val="32"/>
          <w:szCs w:val="32"/>
        </w:rPr>
        <w:t>%，较年初预算数减少</w:t>
      </w:r>
      <w:r>
        <w:rPr>
          <w:rFonts w:hint="default" w:ascii="Times New Roman" w:hAnsi="Times New Roman" w:eastAsia="方正仿宋_GBK" w:cs="Times New Roman"/>
          <w:color w:val="auto"/>
          <w:sz w:val="32"/>
          <w:szCs w:val="32"/>
          <w:lang w:val="en-US" w:eastAsia="zh-CN"/>
        </w:rPr>
        <w:t>2049</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55.6</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方正仿宋_GBK" w:cs="Times New Roman"/>
          <w:color w:val="auto"/>
          <w:sz w:val="32"/>
          <w:lang w:eastAsia="zh-CN"/>
        </w:rPr>
        <w:t>年初申报预算中的“基层党建工作”等项目支出经费大部分用于基层党建工作，在年中进行了追减，街道等党（工）委对应进行了追加，</w:t>
      </w:r>
      <w:r>
        <w:rPr>
          <w:rFonts w:hint="default" w:ascii="Times New Roman" w:hAnsi="Times New Roman" w:eastAsia="方正仿宋_GBK" w:cs="Times New Roman"/>
          <w:color w:val="auto"/>
          <w:sz w:val="32"/>
        </w:rPr>
        <w:t>主要用于</w:t>
      </w:r>
      <w:r>
        <w:rPr>
          <w:rFonts w:hint="default" w:ascii="Times New Roman" w:hAnsi="Times New Roman" w:eastAsia="方正仿宋_GBK" w:cs="Times New Roman"/>
          <w:color w:val="auto"/>
          <w:sz w:val="32"/>
          <w:lang w:eastAsia="zh-CN"/>
        </w:rPr>
        <w:t>基层党建工作、人才工作、干部培训</w:t>
      </w:r>
      <w:r>
        <w:rPr>
          <w:rFonts w:hint="default" w:ascii="Times New Roman" w:hAnsi="Times New Roman" w:eastAsia="方正仿宋_GBK" w:cs="Times New Roman"/>
          <w:color w:val="auto"/>
          <w:sz w:val="32"/>
        </w:rPr>
        <w:t>等工作</w:t>
      </w:r>
      <w:r>
        <w:rPr>
          <w:rFonts w:hint="default" w:ascii="Times New Roman" w:hAnsi="Times New Roman" w:eastAsia="仿宋_GB2312" w:cs="Times New Roman"/>
          <w:color w:val="auto"/>
          <w:sz w:val="32"/>
          <w:szCs w:val="32"/>
        </w:rPr>
        <w:t>。</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rPr>
        <w:t>（2）社会保障与就业支出</w:t>
      </w:r>
      <w:r>
        <w:rPr>
          <w:rFonts w:hint="default" w:ascii="Times New Roman" w:hAnsi="Times New Roman" w:eastAsia="方正仿宋_GBK" w:cs="Times New Roman"/>
          <w:color w:val="auto"/>
          <w:sz w:val="32"/>
          <w:szCs w:val="32"/>
          <w:lang w:val="en-US" w:eastAsia="zh-CN"/>
        </w:rPr>
        <w:t>160.1</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8.4</w:t>
      </w:r>
      <w:r>
        <w:rPr>
          <w:rFonts w:hint="default" w:ascii="Times New Roman" w:hAnsi="Times New Roman" w:eastAsia="方正仿宋_GBK" w:cs="Times New Roman"/>
          <w:color w:val="auto"/>
          <w:sz w:val="32"/>
          <w:szCs w:val="32"/>
        </w:rPr>
        <w:t>%，较年初预算数增加</w:t>
      </w:r>
      <w:r>
        <w:rPr>
          <w:rFonts w:hint="default" w:ascii="Times New Roman" w:hAnsi="Times New Roman" w:eastAsia="方正仿宋_GBK" w:cs="Times New Roman"/>
          <w:color w:val="auto"/>
          <w:sz w:val="32"/>
          <w:szCs w:val="32"/>
          <w:lang w:val="en-US" w:eastAsia="zh-CN"/>
        </w:rPr>
        <w:t>59.98</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59.9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主要原因是</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；并且接收区委直属机关工委9名离退休干部，增加离退休支出。</w:t>
      </w:r>
    </w:p>
    <w:p>
      <w:pPr>
        <w:pStyle w:val="6"/>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rPr>
        <w:t>（3）卫生健康支出</w:t>
      </w:r>
      <w:r>
        <w:rPr>
          <w:rFonts w:hint="default" w:ascii="Times New Roman" w:hAnsi="Times New Roman" w:eastAsia="方正仿宋_GBK" w:cs="Times New Roman"/>
          <w:color w:val="auto"/>
          <w:sz w:val="32"/>
          <w:szCs w:val="32"/>
          <w:lang w:val="en-US" w:eastAsia="zh-CN"/>
        </w:rPr>
        <w:t>45.77</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%，较年初预算数</w:t>
      </w:r>
      <w:r>
        <w:rPr>
          <w:rFonts w:hint="default" w:ascii="Times New Roman" w:hAnsi="Times New Roman" w:eastAsia="方正仿宋_GBK" w:cs="Times New Roman"/>
          <w:color w:val="auto"/>
          <w:sz w:val="32"/>
          <w:szCs w:val="32"/>
          <w:lang w:eastAsia="zh-CN"/>
        </w:rPr>
        <w:t>增加</w:t>
      </w:r>
      <w:r>
        <w:rPr>
          <w:rFonts w:hint="default" w:ascii="Times New Roman" w:hAnsi="Times New Roman" w:eastAsia="方正仿宋_GBK" w:cs="Times New Roman"/>
          <w:color w:val="auto"/>
          <w:sz w:val="32"/>
          <w:szCs w:val="32"/>
          <w:lang w:val="en-US" w:eastAsia="zh-CN"/>
        </w:rPr>
        <w:t>3.14</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增长</w:t>
      </w:r>
      <w:r>
        <w:rPr>
          <w:rFonts w:hint="default" w:ascii="Times New Roman" w:hAnsi="Times New Roman" w:eastAsia="方正仿宋_GBK" w:cs="Times New Roman"/>
          <w:color w:val="auto"/>
          <w:sz w:val="32"/>
          <w:szCs w:val="32"/>
          <w:lang w:val="en-US" w:eastAsia="zh-CN"/>
        </w:rPr>
        <w:t>7.4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主要原因是</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p>
    <w:p>
      <w:pPr>
        <w:widowControl/>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（4）住房保障支出</w:t>
      </w:r>
      <w:r>
        <w:rPr>
          <w:rFonts w:hint="default" w:ascii="Times New Roman" w:hAnsi="Times New Roman" w:eastAsia="方正仿宋_GBK" w:cs="Times New Roman"/>
          <w:color w:val="auto"/>
          <w:sz w:val="32"/>
          <w:szCs w:val="32"/>
          <w:lang w:val="en-US" w:eastAsia="zh-CN"/>
        </w:rPr>
        <w:t>70.72</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3.7</w:t>
      </w:r>
      <w:r>
        <w:rPr>
          <w:rFonts w:hint="default" w:ascii="Times New Roman" w:hAnsi="Times New Roman" w:eastAsia="方正仿宋_GBK" w:cs="Times New Roman"/>
          <w:color w:val="auto"/>
          <w:sz w:val="32"/>
          <w:szCs w:val="32"/>
        </w:rPr>
        <w:t>%，较年初预算数增加</w:t>
      </w:r>
      <w:r>
        <w:rPr>
          <w:rFonts w:hint="default" w:ascii="Times New Roman" w:hAnsi="Times New Roman" w:eastAsia="方正仿宋_GBK" w:cs="Times New Roman"/>
          <w:color w:val="auto"/>
          <w:sz w:val="32"/>
          <w:szCs w:val="32"/>
          <w:lang w:val="en-US" w:eastAsia="zh-CN"/>
        </w:rPr>
        <w:t>8.55</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13.8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主要原因是</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rPr>
        <w:t> 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年度一般公共财政拨款基本支出</w:t>
      </w:r>
      <w:r>
        <w:rPr>
          <w:rFonts w:hint="default" w:ascii="Times New Roman" w:hAnsi="Times New Roman" w:eastAsia="方正仿宋_GBK" w:cs="Times New Roman"/>
          <w:color w:val="auto"/>
          <w:sz w:val="32"/>
          <w:szCs w:val="32"/>
          <w:lang w:val="en-US" w:eastAsia="zh-CN"/>
        </w:rPr>
        <w:t>953.92</w:t>
      </w:r>
      <w:r>
        <w:rPr>
          <w:rFonts w:hint="default" w:ascii="Times New Roman" w:hAnsi="Times New Roman" w:eastAsia="方正仿宋_GBK" w:cs="Times New Roman"/>
          <w:color w:val="auto"/>
          <w:sz w:val="32"/>
          <w:szCs w:val="32"/>
        </w:rPr>
        <w:t>万元。其中：人员经费</w:t>
      </w:r>
      <w:r>
        <w:rPr>
          <w:rFonts w:hint="default" w:ascii="Times New Roman" w:hAnsi="Times New Roman" w:eastAsia="方正仿宋_GBK" w:cs="Times New Roman"/>
          <w:color w:val="auto"/>
          <w:sz w:val="32"/>
          <w:szCs w:val="32"/>
          <w:lang w:val="en-US" w:eastAsia="zh-CN"/>
        </w:rPr>
        <w:t>789.48</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shd w:val="clear" w:color="auto" w:fill="FFFFFF"/>
        </w:rPr>
        <w:t>与2023年度相比，</w:t>
      </w:r>
      <w:r>
        <w:rPr>
          <w:rFonts w:hint="default" w:ascii="Times New Roman" w:hAnsi="Times New Roman" w:eastAsia="方正仿宋_GBK" w:cs="Times New Roman"/>
          <w:color w:val="auto"/>
          <w:sz w:val="32"/>
          <w:szCs w:val="32"/>
        </w:rPr>
        <w:t>增加</w:t>
      </w:r>
      <w:r>
        <w:rPr>
          <w:rFonts w:hint="default" w:ascii="Times New Roman" w:hAnsi="Times New Roman" w:eastAsia="方正仿宋_GBK" w:cs="Times New Roman"/>
          <w:color w:val="auto"/>
          <w:sz w:val="32"/>
          <w:szCs w:val="32"/>
          <w:lang w:val="en-US" w:eastAsia="zh-CN"/>
        </w:rPr>
        <w:t>93.18</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13.4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主要原因是</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szCs w:val="32"/>
        </w:rPr>
        <w:t>人员经费用途主要包括</w:t>
      </w:r>
      <w:r>
        <w:rPr>
          <w:rFonts w:hint="default" w:ascii="Times New Roman" w:hAnsi="Times New Roman" w:eastAsia="仿宋" w:cs="Times New Roman"/>
          <w:color w:val="auto"/>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医疗费补助、其他对个人和家庭的补助</w:t>
      </w:r>
      <w:r>
        <w:rPr>
          <w:rFonts w:hint="default" w:ascii="Times New Roman" w:hAnsi="Times New Roman" w:eastAsia="方正仿宋_GBK" w:cs="Times New Roman"/>
          <w:color w:val="auto"/>
          <w:sz w:val="32"/>
          <w:szCs w:val="32"/>
        </w:rPr>
        <w:t>。公用经费</w:t>
      </w:r>
      <w:r>
        <w:rPr>
          <w:rFonts w:hint="default" w:ascii="Times New Roman" w:hAnsi="Times New Roman" w:eastAsia="方正仿宋_GBK" w:cs="Times New Roman"/>
          <w:color w:val="auto"/>
          <w:sz w:val="32"/>
          <w:szCs w:val="32"/>
          <w:lang w:val="en-US" w:eastAsia="zh-CN"/>
        </w:rPr>
        <w:t>164.44</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shd w:val="clear" w:color="auto" w:fill="FFFFFF"/>
        </w:rPr>
        <w:t>与2023年度相比，</w:t>
      </w:r>
      <w:r>
        <w:rPr>
          <w:rFonts w:hint="default" w:ascii="Times New Roman" w:hAnsi="Times New Roman" w:eastAsia="方正仿宋_GBK" w:cs="Times New Roman"/>
          <w:color w:val="auto"/>
          <w:sz w:val="32"/>
          <w:szCs w:val="32"/>
        </w:rPr>
        <w:t>增加</w:t>
      </w:r>
      <w:r>
        <w:rPr>
          <w:rFonts w:hint="default" w:ascii="Times New Roman" w:hAnsi="Times New Roman" w:eastAsia="方正仿宋_GBK" w:cs="Times New Roman"/>
          <w:color w:val="auto"/>
          <w:sz w:val="32"/>
          <w:szCs w:val="32"/>
          <w:lang w:val="en-US" w:eastAsia="zh-CN"/>
        </w:rPr>
        <w:t>32.85</w:t>
      </w:r>
      <w:r>
        <w:rPr>
          <w:rFonts w:hint="default" w:ascii="Times New Roman" w:hAnsi="Times New Roman" w:eastAsia="方正仿宋_GBK" w:cs="Times New Roman"/>
          <w:color w:val="auto"/>
          <w:sz w:val="32"/>
          <w:szCs w:val="32"/>
        </w:rPr>
        <w:t>万元，增长</w:t>
      </w:r>
      <w:r>
        <w:rPr>
          <w:rFonts w:hint="default" w:ascii="Times New Roman" w:hAnsi="Times New Roman" w:eastAsia="方正仿宋_GBK" w:cs="Times New Roman"/>
          <w:color w:val="auto"/>
          <w:sz w:val="32"/>
          <w:szCs w:val="32"/>
          <w:lang w:val="en-US" w:eastAsia="zh-CN"/>
        </w:rPr>
        <w:t>25.0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主要原因是</w:t>
      </w:r>
      <w:r>
        <w:rPr>
          <w:rFonts w:hint="default" w:ascii="Times New Roman" w:hAnsi="Times New Roman" w:eastAsia="方正仿宋_GBK" w:cs="Times New Roman"/>
          <w:color w:val="auto"/>
          <w:sz w:val="32"/>
          <w:u w:val="none" w:color="auto"/>
          <w:lang w:val="en-US" w:eastAsia="zh-CN"/>
        </w:rPr>
        <w:t>2024年机构改革区委直属机关工委</w:t>
      </w:r>
      <w:r>
        <w:rPr>
          <w:rFonts w:hint="eastAsia" w:ascii="Times New Roman" w:hAnsi="Times New Roman" w:eastAsia="方正仿宋_GBK" w:cs="Times New Roman"/>
          <w:color w:val="auto"/>
          <w:sz w:val="32"/>
          <w:u w:val="none" w:color="auto"/>
          <w:lang w:val="en-US" w:eastAsia="zh-CN"/>
        </w:rPr>
        <w:t>撤销</w:t>
      </w:r>
      <w:r>
        <w:rPr>
          <w:rFonts w:hint="default" w:ascii="Times New Roman" w:hAnsi="Times New Roman" w:eastAsia="方正仿宋_GBK" w:cs="Times New Roman"/>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szCs w:val="32"/>
        </w:rPr>
        <w:t>公用经费用途主要包括办公费、邮电费、物业管理费、差旅费、培训费、公务接待费、劳务费、工会经费、福利费、公务用车运行维护费、其他交通费用、其他商品和服务支出、办公设备购置。</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color w:val="auto"/>
          <w:sz w:val="32"/>
          <w:szCs w:val="32"/>
        </w:rPr>
        <w:t>本部门202</w:t>
      </w:r>
      <w:r>
        <w:rPr>
          <w:rStyle w:val="8"/>
          <w:rFonts w:hint="default" w:ascii="Times New Roman" w:hAnsi="Times New Roman" w:eastAsia="方正仿宋_GBK" w:cs="Times New Roman"/>
          <w:b w:val="0"/>
          <w:color w:val="auto"/>
          <w:sz w:val="32"/>
          <w:szCs w:val="32"/>
          <w:lang w:val="en-US" w:eastAsia="zh-CN"/>
        </w:rPr>
        <w:t>4</w:t>
      </w:r>
      <w:r>
        <w:rPr>
          <w:rStyle w:val="8"/>
          <w:rFonts w:hint="default" w:ascii="Times New Roman" w:hAnsi="Times New Roman" w:eastAsia="方正仿宋_GBK" w:cs="Times New Roman"/>
          <w:b w:val="0"/>
          <w:color w:val="auto"/>
          <w:sz w:val="32"/>
          <w:szCs w:val="32"/>
        </w:rPr>
        <w:t>年度无政府性基金预算财政拨款收支。</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方正仿宋_GBK" w:cs="Times New Roman"/>
          <w:b w:val="0"/>
          <w:color w:val="auto"/>
          <w:sz w:val="32"/>
          <w:szCs w:val="32"/>
        </w:rPr>
        <w:t>本部门202</w:t>
      </w:r>
      <w:r>
        <w:rPr>
          <w:rStyle w:val="8"/>
          <w:rFonts w:hint="default" w:ascii="Times New Roman" w:hAnsi="Times New Roman" w:eastAsia="方正仿宋_GBK" w:cs="Times New Roman"/>
          <w:b w:val="0"/>
          <w:color w:val="auto"/>
          <w:sz w:val="32"/>
          <w:szCs w:val="32"/>
          <w:lang w:val="en-US" w:eastAsia="zh-CN"/>
        </w:rPr>
        <w:t>4</w:t>
      </w:r>
      <w:r>
        <w:rPr>
          <w:rStyle w:val="8"/>
          <w:rFonts w:hint="default" w:ascii="Times New Roman" w:hAnsi="Times New Roman" w:eastAsia="方正仿宋_GBK" w:cs="Times New Roman"/>
          <w:b w:val="0"/>
          <w:color w:val="auto"/>
          <w:sz w:val="32"/>
          <w:szCs w:val="32"/>
        </w:rPr>
        <w:t>年度无国有资本经营预算财政拨款支出。</w:t>
      </w:r>
    </w:p>
    <w:p>
      <w:pPr>
        <w:pStyle w:val="6"/>
        <w:shd w:val="clear" w:color="auto" w:fill="FFFFFF"/>
        <w:wordWrap/>
        <w:adjustRightInd w:val="0"/>
        <w:snapToGrid w:val="0"/>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三、财政拨款“三公”经费情况说明</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sz w:val="32"/>
          <w:szCs w:val="32"/>
          <w:shd w:val="clear" w:color="auto" w:fill="FFFFFF"/>
        </w:rPr>
        <w:t>（一）“三公”经费支出总体情况说明</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年度“三公”经费支出共计</w:t>
      </w:r>
      <w:r>
        <w:rPr>
          <w:rFonts w:hint="default" w:ascii="Times New Roman" w:hAnsi="Times New Roman" w:eastAsia="方正仿宋_GBK" w:cs="Times New Roman"/>
          <w:color w:val="auto"/>
          <w:sz w:val="32"/>
          <w:szCs w:val="32"/>
          <w:lang w:val="en-US" w:eastAsia="zh-CN"/>
        </w:rPr>
        <w:t>1.86</w:t>
      </w:r>
      <w:r>
        <w:rPr>
          <w:rFonts w:hint="default" w:ascii="Times New Roman" w:hAnsi="Times New Roman" w:eastAsia="方正仿宋_GBK" w:cs="Times New Roman"/>
          <w:color w:val="auto"/>
          <w:sz w:val="32"/>
          <w:szCs w:val="32"/>
        </w:rPr>
        <w:t>万元，较年初预算数减少</w:t>
      </w:r>
      <w:r>
        <w:rPr>
          <w:rFonts w:hint="default" w:ascii="Times New Roman" w:hAnsi="Times New Roman" w:eastAsia="方正仿宋_GBK" w:cs="Times New Roman"/>
          <w:color w:val="auto"/>
          <w:sz w:val="32"/>
          <w:szCs w:val="32"/>
          <w:lang w:val="en-US" w:eastAsia="zh-CN"/>
        </w:rPr>
        <w:t>10.64</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85.1</w:t>
      </w:r>
      <w:r>
        <w:rPr>
          <w:rFonts w:hint="default" w:ascii="Times New Roman" w:hAnsi="Times New Roman" w:eastAsia="方正仿宋_GBK" w:cs="Times New Roman"/>
          <w:color w:val="auto"/>
          <w:sz w:val="32"/>
          <w:szCs w:val="32"/>
        </w:rPr>
        <w:t>%，主要原因是厉行节约，压缩三公经费支出。较上年支出数减少</w:t>
      </w:r>
      <w:r>
        <w:rPr>
          <w:rFonts w:hint="default" w:ascii="Times New Roman" w:hAnsi="Times New Roman" w:eastAsia="方正仿宋_GBK" w:cs="Times New Roman"/>
          <w:color w:val="auto"/>
          <w:sz w:val="32"/>
          <w:szCs w:val="32"/>
          <w:lang w:val="en-US" w:eastAsia="zh-CN"/>
        </w:rPr>
        <w:t>1.82</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49.5</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lang w:eastAsia="zh-CN"/>
        </w:rPr>
        <w:t>严格控制接待数量和金额；倡导公共交通出行，减少公务车运行维护费用。</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年度本部门因公出国（境）费用0万元，费用支出较年初预算数</w:t>
      </w:r>
      <w:r>
        <w:rPr>
          <w:rFonts w:hint="default" w:ascii="Times New Roman" w:hAnsi="Times New Roman" w:eastAsia="方正仿宋_GBK" w:cs="Times New Roman"/>
          <w:color w:val="auto"/>
          <w:sz w:val="32"/>
          <w:szCs w:val="32"/>
          <w:lang w:eastAsia="zh-CN"/>
        </w:rPr>
        <w:t>无增减</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rPr>
        <w:t>公务车购置费0万元，</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color w:val="auto"/>
          <w:sz w:val="32"/>
          <w:szCs w:val="32"/>
        </w:rPr>
        <w:t>。</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rPr>
        <w:t>公务车运行维护费</w:t>
      </w:r>
      <w:r>
        <w:rPr>
          <w:rFonts w:hint="default" w:ascii="Times New Roman" w:hAnsi="Times New Roman" w:eastAsia="方正仿宋_GBK" w:cs="Times New Roman"/>
          <w:color w:val="auto"/>
          <w:sz w:val="32"/>
          <w:szCs w:val="32"/>
          <w:lang w:val="en-US" w:eastAsia="zh-CN"/>
        </w:rPr>
        <w:t>0.86</w:t>
      </w:r>
      <w:r>
        <w:rPr>
          <w:rFonts w:hint="default" w:ascii="Times New Roman" w:hAnsi="Times New Roman" w:eastAsia="方正仿宋_GBK" w:cs="Times New Roman"/>
          <w:color w:val="auto"/>
          <w:sz w:val="32"/>
          <w:szCs w:val="32"/>
        </w:rPr>
        <w:t>万元，主要用于公务用车加油、充电、维修、保养和保险等。费用支出较年初预算数减少</w:t>
      </w:r>
      <w:r>
        <w:rPr>
          <w:rFonts w:hint="default" w:ascii="Times New Roman" w:hAnsi="Times New Roman" w:eastAsia="方正仿宋_GBK" w:cs="Times New Roman"/>
          <w:color w:val="auto"/>
          <w:sz w:val="32"/>
          <w:szCs w:val="32"/>
          <w:lang w:val="en-US" w:eastAsia="zh-CN"/>
        </w:rPr>
        <w:t>8.94</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91.2</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lang w:val="en-US" w:eastAsia="zh-CN"/>
        </w:rPr>
        <w:t>2022年购置新能源公务车1辆，致使总体油费和维修费用降低，以及往年充值油卡尚有余额。</w:t>
      </w:r>
      <w:r>
        <w:rPr>
          <w:rFonts w:hint="default" w:ascii="Times New Roman" w:hAnsi="Times New Roman" w:eastAsia="方正仿宋_GBK" w:cs="Times New Roman"/>
          <w:color w:val="auto"/>
          <w:sz w:val="32"/>
          <w:szCs w:val="32"/>
        </w:rPr>
        <w:t>较上年支出数减少</w:t>
      </w:r>
      <w:r>
        <w:rPr>
          <w:rFonts w:hint="default" w:ascii="Times New Roman" w:hAnsi="Times New Roman" w:eastAsia="方正仿宋_GBK" w:cs="Times New Roman"/>
          <w:color w:val="auto"/>
          <w:sz w:val="32"/>
          <w:szCs w:val="32"/>
          <w:lang w:val="en-US" w:eastAsia="zh-CN"/>
        </w:rPr>
        <w:t>0.82</w:t>
      </w:r>
      <w:r>
        <w:rPr>
          <w:rFonts w:hint="default" w:ascii="Times New Roman" w:hAnsi="Times New Roman" w:eastAsia="方正仿宋_GBK" w:cs="Times New Roman"/>
          <w:color w:val="auto"/>
          <w:sz w:val="32"/>
          <w:szCs w:val="32"/>
        </w:rPr>
        <w:t>万元，下降</w:t>
      </w:r>
      <w:r>
        <w:rPr>
          <w:rFonts w:hint="default" w:ascii="Times New Roman" w:hAnsi="Times New Roman" w:eastAsia="方正仿宋_GBK" w:cs="Times New Roman"/>
          <w:color w:val="auto"/>
          <w:sz w:val="32"/>
          <w:szCs w:val="32"/>
          <w:lang w:val="en-US" w:eastAsia="zh-CN"/>
        </w:rPr>
        <w:t>48.8</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lang w:eastAsia="zh-CN"/>
        </w:rPr>
        <w:t>厉行节约，倡导公共交通出行。</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rPr>
        <w:t>公务接待费</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万元，主要用于接待其他地区来我区考察工作用餐。费用支出较年初预算数减少</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.7万元，下降</w:t>
      </w:r>
      <w:r>
        <w:rPr>
          <w:rFonts w:hint="default" w:ascii="Times New Roman" w:hAnsi="Times New Roman" w:eastAsia="方正仿宋_GBK" w:cs="Times New Roman"/>
          <w:color w:val="auto"/>
          <w:sz w:val="32"/>
          <w:szCs w:val="32"/>
          <w:lang w:val="en-US" w:eastAsia="zh-CN"/>
        </w:rPr>
        <w:t>63.0</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lang w:eastAsia="zh-CN"/>
        </w:rPr>
        <w:t>严格控制接待数量和金额</w:t>
      </w:r>
      <w:r>
        <w:rPr>
          <w:rFonts w:hint="default" w:ascii="Times New Roman" w:hAnsi="Times New Roman" w:eastAsia="方正仿宋_GBK" w:cs="Times New Roman"/>
          <w:color w:val="auto"/>
          <w:sz w:val="32"/>
          <w:szCs w:val="32"/>
        </w:rPr>
        <w:t>。较上年支出数</w:t>
      </w:r>
      <w:r>
        <w:rPr>
          <w:rFonts w:hint="default"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rPr>
        <w:t>1万元</w:t>
      </w:r>
      <w:r>
        <w:rPr>
          <w:rFonts w:hint="default" w:ascii="Times New Roman" w:hAnsi="Times New Roman" w:eastAsia="方正仿宋_GBK" w:cs="Times New Roman"/>
          <w:color w:val="auto"/>
          <w:sz w:val="32"/>
          <w:szCs w:val="32"/>
          <w:lang w:eastAsia="zh-CN"/>
        </w:rPr>
        <w:t>，下降</w:t>
      </w:r>
      <w:r>
        <w:rPr>
          <w:rFonts w:hint="default" w:ascii="Times New Roman" w:hAnsi="Times New Roman" w:eastAsia="方正仿宋_GBK" w:cs="Times New Roman"/>
          <w:color w:val="auto"/>
          <w:sz w:val="32"/>
          <w:szCs w:val="32"/>
          <w:lang w:val="en-US" w:eastAsia="zh-CN"/>
        </w:rPr>
        <w:t>50.0</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lang w:eastAsia="zh-CN"/>
        </w:rPr>
        <w:t>严格控制接待数量</w:t>
      </w:r>
      <w:r>
        <w:rPr>
          <w:rFonts w:hint="default" w:ascii="Times New Roman" w:hAnsi="Times New Roman" w:eastAsia="方正仿宋_GBK" w:cs="Times New Roman"/>
          <w:color w:val="auto"/>
          <w:sz w:val="32"/>
          <w:szCs w:val="32"/>
        </w:rPr>
        <w:t>。</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年度本部门因公出国（境）共计0个团组，0人；公务用车购置0辆，公务车保有量为2辆；国内公务接待</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批次</w:t>
      </w:r>
      <w:r>
        <w:rPr>
          <w:rFonts w:hint="default" w:ascii="Times New Roman" w:hAnsi="Times New Roman" w:eastAsia="方正仿宋_GBK" w:cs="Times New Roman"/>
          <w:color w:val="auto"/>
          <w:sz w:val="32"/>
          <w:szCs w:val="32"/>
          <w:lang w:val="en-US" w:eastAsia="zh-CN"/>
        </w:rPr>
        <w:t>102</w:t>
      </w:r>
      <w:r>
        <w:rPr>
          <w:rFonts w:hint="default" w:ascii="Times New Roman" w:hAnsi="Times New Roman" w:eastAsia="方正仿宋_GBK" w:cs="Times New Roman"/>
          <w:color w:val="auto"/>
          <w:sz w:val="32"/>
          <w:szCs w:val="32"/>
        </w:rPr>
        <w:t>人，其中：国内外事接待0批次，0人；国（境）外公务接待0批次，0人。202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年本部门人均接待费</w:t>
      </w:r>
      <w:r>
        <w:rPr>
          <w:rFonts w:hint="default" w:ascii="Times New Roman" w:hAnsi="Times New Roman" w:eastAsia="方正仿宋_GBK" w:cs="Times New Roman"/>
          <w:color w:val="auto"/>
          <w:sz w:val="32"/>
          <w:szCs w:val="32"/>
          <w:lang w:val="en-US" w:eastAsia="zh-CN"/>
        </w:rPr>
        <w:t>97.92</w:t>
      </w:r>
      <w:r>
        <w:rPr>
          <w:rFonts w:hint="default" w:ascii="Times New Roman" w:hAnsi="Times New Roman" w:eastAsia="方正仿宋_GBK" w:cs="Times New Roman"/>
          <w:color w:val="auto"/>
          <w:sz w:val="32"/>
          <w:szCs w:val="32"/>
        </w:rPr>
        <w:t>元，车均购置费0万元，车均维护费0.</w:t>
      </w:r>
      <w:r>
        <w:rPr>
          <w:rFonts w:hint="default" w:ascii="Times New Roman" w:hAnsi="Times New Roman" w:eastAsia="方正仿宋_GBK" w:cs="Times New Roman"/>
          <w:color w:val="auto"/>
          <w:sz w:val="32"/>
          <w:szCs w:val="32"/>
          <w:lang w:val="en-US" w:eastAsia="zh-CN"/>
        </w:rPr>
        <w:t>43</w:t>
      </w:r>
      <w:r>
        <w:rPr>
          <w:rFonts w:hint="default" w:ascii="Times New Roman" w:hAnsi="Times New Roman" w:eastAsia="方正仿宋_GBK" w:cs="Times New Roman"/>
          <w:color w:val="auto"/>
          <w:sz w:val="32"/>
          <w:szCs w:val="32"/>
        </w:rPr>
        <w:t>万元。</w:t>
      </w:r>
    </w:p>
    <w:p>
      <w:pPr>
        <w:pStyle w:val="6"/>
        <w:shd w:val="clear" w:color="auto" w:fill="FFFFFF"/>
        <w:wordWrap/>
        <w:adjustRightInd w:val="0"/>
        <w:snapToGrid w:val="0"/>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（一）财政拨款会议费和培训费情况说明</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本年度会议费支出</w:t>
      </w:r>
      <w:r>
        <w:rPr>
          <w:rFonts w:hint="default" w:ascii="Times New Roman" w:hAnsi="Times New Roman" w:eastAsia="方正仿宋_GBK" w:cs="Times New Roman"/>
          <w:b w:val="0"/>
          <w:bCs/>
          <w:color w:val="auto"/>
          <w:sz w:val="32"/>
          <w:szCs w:val="32"/>
          <w:lang w:val="en-US" w:eastAsia="zh-CN"/>
        </w:rPr>
        <w:t>7.49</w:t>
      </w:r>
      <w:r>
        <w:rPr>
          <w:rFonts w:hint="default" w:ascii="Times New Roman" w:hAnsi="Times New Roman" w:eastAsia="方正仿宋_GBK" w:cs="Times New Roman"/>
          <w:b w:val="0"/>
          <w:bCs/>
          <w:color w:val="auto"/>
          <w:sz w:val="32"/>
          <w:szCs w:val="32"/>
        </w:rPr>
        <w:t>万元，</w:t>
      </w:r>
      <w:r>
        <w:rPr>
          <w:rFonts w:hint="default" w:ascii="Times New Roman" w:hAnsi="Times New Roman" w:eastAsia="方正仿宋_GBK" w:cs="Times New Roman"/>
          <w:b w:val="0"/>
          <w:bCs/>
          <w:sz w:val="32"/>
          <w:szCs w:val="32"/>
          <w:shd w:val="clear" w:color="auto" w:fill="FFFFFF"/>
        </w:rPr>
        <w:t>与2023年度相比，</w:t>
      </w:r>
      <w:r>
        <w:rPr>
          <w:rFonts w:hint="default" w:ascii="Times New Roman" w:hAnsi="Times New Roman" w:eastAsia="方正仿宋_GBK" w:cs="Times New Roman"/>
          <w:b w:val="0"/>
          <w:bCs/>
          <w:color w:val="auto"/>
          <w:sz w:val="32"/>
          <w:szCs w:val="32"/>
        </w:rPr>
        <w:t>增加</w:t>
      </w:r>
      <w:r>
        <w:rPr>
          <w:rFonts w:hint="default" w:ascii="Times New Roman" w:hAnsi="Times New Roman" w:eastAsia="方正仿宋_GBK" w:cs="Times New Roman"/>
          <w:b w:val="0"/>
          <w:bCs/>
          <w:color w:val="auto"/>
          <w:sz w:val="32"/>
          <w:szCs w:val="32"/>
          <w:lang w:val="en-US" w:eastAsia="zh-CN"/>
        </w:rPr>
        <w:t>1.21</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19.3</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eastAsia="zh-CN"/>
        </w:rPr>
        <w:t>职责划入导致</w:t>
      </w:r>
      <w:r>
        <w:rPr>
          <w:rFonts w:hint="default" w:ascii="Times New Roman" w:hAnsi="Times New Roman" w:eastAsia="方正仿宋_GBK" w:cs="Times New Roman"/>
          <w:b w:val="0"/>
          <w:bCs/>
          <w:color w:val="auto"/>
          <w:sz w:val="32"/>
          <w:szCs w:val="32"/>
          <w:lang w:eastAsia="zh-CN"/>
        </w:rPr>
        <w:t>会议增加，</w:t>
      </w:r>
      <w:r>
        <w:rPr>
          <w:rFonts w:hint="eastAsia" w:ascii="Times New Roman" w:hAnsi="Times New Roman" w:eastAsia="方正仿宋_GBK" w:cs="Times New Roman"/>
          <w:b w:val="0"/>
          <w:bCs/>
          <w:color w:val="auto"/>
          <w:sz w:val="32"/>
          <w:szCs w:val="32"/>
          <w:lang w:eastAsia="zh-CN"/>
        </w:rPr>
        <w:t>从而</w:t>
      </w:r>
      <w:r>
        <w:rPr>
          <w:rFonts w:hint="default" w:ascii="Times New Roman" w:hAnsi="Times New Roman" w:eastAsia="方正仿宋_GBK" w:cs="Times New Roman"/>
          <w:b w:val="0"/>
          <w:bCs/>
          <w:color w:val="auto"/>
          <w:sz w:val="32"/>
          <w:szCs w:val="32"/>
          <w:lang w:eastAsia="zh-CN"/>
        </w:rPr>
        <w:t>会议场租费增加</w:t>
      </w:r>
      <w:r>
        <w:rPr>
          <w:rFonts w:hint="default" w:ascii="Times New Roman" w:hAnsi="Times New Roman" w:eastAsia="方正仿宋_GBK" w:cs="Times New Roman"/>
          <w:b w:val="0"/>
          <w:bCs/>
          <w:color w:val="auto"/>
          <w:sz w:val="32"/>
          <w:szCs w:val="32"/>
        </w:rPr>
        <w:t>。本年度培训费支出</w:t>
      </w:r>
      <w:r>
        <w:rPr>
          <w:rFonts w:hint="default" w:ascii="Times New Roman" w:hAnsi="Times New Roman" w:eastAsia="方正仿宋_GBK" w:cs="Times New Roman"/>
          <w:b w:val="0"/>
          <w:bCs/>
          <w:color w:val="auto"/>
          <w:sz w:val="32"/>
          <w:szCs w:val="32"/>
          <w:lang w:val="en-US" w:eastAsia="zh-CN"/>
        </w:rPr>
        <w:t>70.02</w:t>
      </w:r>
      <w:r>
        <w:rPr>
          <w:rFonts w:hint="default" w:ascii="Times New Roman" w:hAnsi="Times New Roman" w:eastAsia="方正仿宋_GBK" w:cs="Times New Roman"/>
          <w:b w:val="0"/>
          <w:bCs/>
          <w:color w:val="auto"/>
          <w:sz w:val="32"/>
          <w:szCs w:val="32"/>
        </w:rPr>
        <w:t>万元，</w:t>
      </w:r>
      <w:r>
        <w:rPr>
          <w:rFonts w:hint="default" w:ascii="Times New Roman" w:hAnsi="Times New Roman" w:eastAsia="方正仿宋_GBK" w:cs="Times New Roman"/>
          <w:b w:val="0"/>
          <w:bCs/>
          <w:sz w:val="32"/>
          <w:szCs w:val="32"/>
          <w:shd w:val="clear" w:color="auto" w:fill="FFFFFF"/>
        </w:rPr>
        <w:t>与2023年度相比，</w:t>
      </w:r>
      <w:r>
        <w:rPr>
          <w:rFonts w:hint="default" w:ascii="Times New Roman" w:hAnsi="Times New Roman" w:eastAsia="方正仿宋_GBK" w:cs="Times New Roman"/>
          <w:b w:val="0"/>
          <w:bCs/>
          <w:color w:val="auto"/>
          <w:sz w:val="32"/>
          <w:szCs w:val="32"/>
        </w:rPr>
        <w:t>增加</w:t>
      </w:r>
      <w:r>
        <w:rPr>
          <w:rFonts w:hint="default" w:ascii="Times New Roman" w:hAnsi="Times New Roman" w:eastAsia="方正仿宋_GBK" w:cs="Times New Roman"/>
          <w:b w:val="0"/>
          <w:bCs/>
          <w:color w:val="auto"/>
          <w:sz w:val="32"/>
          <w:szCs w:val="32"/>
          <w:lang w:val="en-US" w:eastAsia="zh-CN"/>
        </w:rPr>
        <w:t>21.27</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43.6</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eastAsia="zh-CN"/>
        </w:rPr>
        <w:t>落实全覆盖培训要求，增加培训班次、人次</w:t>
      </w:r>
      <w:r>
        <w:rPr>
          <w:rFonts w:hint="default" w:ascii="Times New Roman" w:hAnsi="Times New Roman" w:eastAsia="方正仿宋_GBK" w:cs="Times New Roman"/>
          <w:b w:val="0"/>
          <w:bCs/>
          <w:color w:val="auto"/>
          <w:sz w:val="32"/>
          <w:szCs w:val="32"/>
          <w:lang w:eastAsia="zh-CN"/>
        </w:rPr>
        <w:t>。</w:t>
      </w:r>
    </w:p>
    <w:p>
      <w:pPr>
        <w:pStyle w:val="12"/>
        <w:wordWrap/>
        <w:autoSpaceDE w:val="0"/>
        <w:adjustRightInd w:val="0"/>
        <w:snapToGrid w:val="0"/>
        <w:spacing w:line="594" w:lineRule="exact"/>
        <w:ind w:left="0" w:leftChars="0" w:right="0" w:firstLine="0" w:firstLineChars="0"/>
        <w:jc w:val="both"/>
        <w:textAlignment w:val="auto"/>
        <w:outlineLvl w:val="9"/>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lang w:val="en-US" w:eastAsia="zh-CN"/>
        </w:rPr>
        <w:t xml:space="preserve">    </w:t>
      </w:r>
      <w:r>
        <w:rPr>
          <w:rFonts w:hint="default" w:ascii="Times New Roman" w:hAnsi="Times New Roman" w:eastAsia="楷体" w:cs="Times New Roman"/>
          <w:b w:val="0"/>
          <w:bCs/>
          <w:sz w:val="32"/>
          <w:szCs w:val="32"/>
          <w:shd w:val="clear" w:color="auto" w:fill="FFFFFF"/>
        </w:rPr>
        <w:t>（二）机关运行经费情况说明</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b w:val="0"/>
          <w:bCs/>
          <w:color w:val="FF0000"/>
          <w:sz w:val="32"/>
          <w:szCs w:val="32"/>
        </w:rPr>
      </w:pP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202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年度本部门机关运行经费支出</w:t>
      </w:r>
      <w:r>
        <w:rPr>
          <w:rFonts w:hint="default" w:ascii="Times New Roman" w:hAnsi="Times New Roman" w:eastAsia="方正仿宋_GBK" w:cs="Times New Roman"/>
          <w:b w:val="0"/>
          <w:bCs/>
          <w:color w:val="auto"/>
          <w:sz w:val="32"/>
          <w:szCs w:val="32"/>
          <w:lang w:val="en-US" w:eastAsia="zh-CN"/>
        </w:rPr>
        <w:t>148.19</w:t>
      </w:r>
      <w:r>
        <w:rPr>
          <w:rFonts w:hint="default" w:ascii="Times New Roman" w:hAnsi="Times New Roman" w:eastAsia="方正仿宋_GBK" w:cs="Times New Roman"/>
          <w:b w:val="0"/>
          <w:bCs/>
          <w:color w:val="auto"/>
          <w:sz w:val="32"/>
          <w:szCs w:val="32"/>
        </w:rPr>
        <w:t>万元，机关运行经费主要用于开支货物和服务等的各项公用经费，包括办公费、邮电费、物业管理费、差旅费、培训费、公务接待费、劳务费、工会经费、福利费、公务用车运行维护费、其他交通费用、其他商品和服务支出、办公设备购置。机关运行经费较上年支出数增加</w:t>
      </w:r>
      <w:r>
        <w:rPr>
          <w:rFonts w:hint="default" w:ascii="Times New Roman" w:hAnsi="Times New Roman" w:eastAsia="方正仿宋_GBK" w:cs="Times New Roman"/>
          <w:b w:val="0"/>
          <w:bCs/>
          <w:color w:val="auto"/>
          <w:sz w:val="32"/>
          <w:szCs w:val="32"/>
          <w:lang w:val="en-US" w:eastAsia="zh-CN"/>
        </w:rPr>
        <w:t>16.6</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12.6</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主要原因是</w:t>
      </w:r>
      <w:r>
        <w:rPr>
          <w:rFonts w:hint="default" w:ascii="Times New Roman" w:hAnsi="Times New Roman" w:eastAsia="方正仿宋_GBK" w:cs="Times New Roman"/>
          <w:b w:val="0"/>
          <w:bCs/>
          <w:color w:val="auto"/>
          <w:sz w:val="32"/>
          <w:u w:val="none" w:color="auto"/>
          <w:lang w:val="en-US" w:eastAsia="zh-CN"/>
        </w:rPr>
        <w:t>2024年机构改革区委直属机关工委</w:t>
      </w:r>
      <w:r>
        <w:rPr>
          <w:rFonts w:hint="eastAsia" w:ascii="Times New Roman" w:hAnsi="Times New Roman" w:eastAsia="方正仿宋_GBK" w:cs="Times New Roman"/>
          <w:b w:val="0"/>
          <w:bCs/>
          <w:color w:val="auto"/>
          <w:sz w:val="32"/>
          <w:u w:val="none" w:color="auto"/>
          <w:lang w:val="en-US" w:eastAsia="zh-CN"/>
        </w:rPr>
        <w:t>撤销</w:t>
      </w:r>
      <w:r>
        <w:rPr>
          <w:rFonts w:hint="default" w:ascii="Times New Roman" w:hAnsi="Times New Roman" w:eastAsia="方正仿宋_GBK" w:cs="Times New Roman"/>
          <w:b w:val="0"/>
          <w:bCs/>
          <w:color w:val="auto"/>
          <w:sz w:val="32"/>
          <w:u w:val="none" w:color="auto"/>
          <w:lang w:val="en-US" w:eastAsia="zh-CN"/>
        </w:rPr>
        <w:t>，职责划入组织部，按相关要求2024年决算数据纳入区委直属机关工委部分</w:t>
      </w:r>
      <w:r>
        <w:rPr>
          <w:rFonts w:hint="default" w:ascii="Times New Roman" w:hAnsi="Times New Roman" w:eastAsia="方正仿宋_GBK" w:cs="Times New Roman"/>
          <w:b w:val="0"/>
          <w:bCs/>
          <w:color w:val="auto"/>
          <w:sz w:val="32"/>
          <w:lang w:val="en-US" w:eastAsia="zh-CN"/>
        </w:rPr>
        <w:t>。</w:t>
      </w:r>
    </w:p>
    <w:p>
      <w:pPr>
        <w:pStyle w:val="12"/>
        <w:wordWrap/>
        <w:autoSpaceDE w:val="0"/>
        <w:adjustRightInd w:val="0"/>
        <w:snapToGrid w:val="0"/>
        <w:spacing w:line="594" w:lineRule="exact"/>
        <w:ind w:left="0" w:leftChars="0" w:right="0" w:firstLine="0" w:firstLineChars="0"/>
        <w:jc w:val="both"/>
        <w:textAlignment w:val="auto"/>
        <w:outlineLvl w:val="9"/>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lang w:val="en-US" w:eastAsia="zh-CN"/>
        </w:rPr>
        <w:t xml:space="preserve">    </w:t>
      </w:r>
      <w:r>
        <w:rPr>
          <w:rFonts w:hint="default" w:ascii="Times New Roman" w:hAnsi="Times New Roman" w:eastAsia="楷体" w:cs="Times New Roman"/>
          <w:b w:val="0"/>
          <w:bCs/>
          <w:sz w:val="32"/>
          <w:szCs w:val="32"/>
          <w:shd w:val="clear" w:color="auto" w:fill="FFFFFF"/>
        </w:rPr>
        <w:t>（三）国有资产占用情况说明</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b w:val="0"/>
          <w:bCs/>
          <w:color w:val="FF0000"/>
          <w:sz w:val="32"/>
          <w:szCs w:val="32"/>
        </w:rPr>
      </w:pP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截至202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pStyle w:val="12"/>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pPr>
        <w:pStyle w:val="6"/>
        <w:wordWrap/>
        <w:adjustRightInd w:val="0"/>
        <w:snapToGrid w:val="0"/>
        <w:spacing w:beforeAutospacing="0" w:afterAutospacing="0" w:line="594" w:lineRule="exact"/>
        <w:ind w:right="0"/>
        <w:jc w:val="both"/>
        <w:textAlignment w:val="auto"/>
        <w:outlineLvl w:val="9"/>
        <w:rPr>
          <w:rFonts w:hint="default" w:ascii="Times New Roman" w:hAnsi="Times New Roman" w:eastAsia="方正仿宋_GBK" w:cs="Times New Roman"/>
          <w:b w:val="0"/>
          <w:bCs/>
          <w:color w:val="FF0000"/>
          <w:sz w:val="32"/>
          <w:szCs w:val="32"/>
          <w:shd w:val="clear" w:color="auto" w:fill="FFFFFF"/>
        </w:rPr>
      </w:pP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202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年度本部门政府采购支出总额</w:t>
      </w:r>
      <w:r>
        <w:rPr>
          <w:rFonts w:hint="default" w:ascii="Times New Roman" w:hAnsi="Times New Roman" w:eastAsia="方正仿宋_GBK" w:cs="Times New Roman"/>
          <w:b w:val="0"/>
          <w:bCs/>
          <w:color w:val="auto"/>
          <w:sz w:val="32"/>
          <w:szCs w:val="32"/>
          <w:lang w:val="en-US" w:eastAsia="zh-CN"/>
        </w:rPr>
        <w:t>118.48</w:t>
      </w:r>
      <w:r>
        <w:rPr>
          <w:rFonts w:hint="default" w:ascii="Times New Roman" w:hAnsi="Times New Roman" w:eastAsia="方正仿宋_GBK" w:cs="Times New Roman"/>
          <w:b w:val="0"/>
          <w:bCs/>
          <w:color w:val="auto"/>
          <w:sz w:val="32"/>
          <w:szCs w:val="32"/>
        </w:rPr>
        <w:t>万元，其中：政府采购货物支出</w:t>
      </w:r>
      <w:r>
        <w:rPr>
          <w:rFonts w:hint="default" w:ascii="Times New Roman" w:hAnsi="Times New Roman" w:eastAsia="方正仿宋_GBK" w:cs="Times New Roman"/>
          <w:b w:val="0"/>
          <w:bCs/>
          <w:color w:val="auto"/>
          <w:sz w:val="32"/>
          <w:szCs w:val="32"/>
          <w:lang w:val="en-US" w:eastAsia="zh-CN"/>
        </w:rPr>
        <w:t>4.48</w:t>
      </w:r>
      <w:r>
        <w:rPr>
          <w:rFonts w:hint="default" w:ascii="Times New Roman" w:hAnsi="Times New Roman" w:eastAsia="方正仿宋_GBK" w:cs="Times New Roman"/>
          <w:b w:val="0"/>
          <w:bCs/>
          <w:color w:val="auto"/>
          <w:sz w:val="32"/>
          <w:szCs w:val="32"/>
        </w:rPr>
        <w:t>万元、政府采购工程支出0万元、政府采购服务支出</w:t>
      </w:r>
      <w:r>
        <w:rPr>
          <w:rFonts w:hint="default" w:ascii="Times New Roman" w:hAnsi="Times New Roman" w:eastAsia="方正仿宋_GBK" w:cs="Times New Roman"/>
          <w:b w:val="0"/>
          <w:bCs/>
          <w:color w:val="auto"/>
          <w:sz w:val="32"/>
          <w:szCs w:val="32"/>
          <w:lang w:val="en-US" w:eastAsia="zh-CN"/>
        </w:rPr>
        <w:t>114</w:t>
      </w:r>
      <w:r>
        <w:rPr>
          <w:rFonts w:hint="default" w:ascii="Times New Roman" w:hAnsi="Times New Roman" w:eastAsia="方正仿宋_GBK" w:cs="Times New Roman"/>
          <w:b w:val="0"/>
          <w:bCs/>
          <w:color w:val="auto"/>
          <w:sz w:val="32"/>
          <w:szCs w:val="32"/>
        </w:rPr>
        <w:t>万元。授予中小企业合同金额</w:t>
      </w:r>
      <w:r>
        <w:rPr>
          <w:rFonts w:hint="default" w:ascii="Times New Roman" w:hAnsi="Times New Roman" w:eastAsia="方正仿宋_GBK" w:cs="Times New Roman"/>
          <w:b w:val="0"/>
          <w:bCs/>
          <w:color w:val="auto"/>
          <w:sz w:val="32"/>
          <w:szCs w:val="32"/>
          <w:lang w:val="en-US" w:eastAsia="zh-CN"/>
        </w:rPr>
        <w:t>118.48</w:t>
      </w:r>
      <w:r>
        <w:rPr>
          <w:rFonts w:hint="default" w:ascii="Times New Roman" w:hAnsi="Times New Roman" w:eastAsia="方正仿宋_GBK" w:cs="Times New Roman"/>
          <w:b w:val="0"/>
          <w:bCs/>
          <w:color w:val="auto"/>
          <w:sz w:val="32"/>
          <w:szCs w:val="32"/>
        </w:rPr>
        <w:t>万元，占政府采购支出总额的</w:t>
      </w:r>
      <w:r>
        <w:rPr>
          <w:rFonts w:hint="default" w:ascii="Times New Roman" w:hAnsi="Times New Roman" w:eastAsia="方正仿宋_GBK" w:cs="Times New Roman"/>
          <w:b w:val="0"/>
          <w:bCs/>
          <w:color w:val="auto"/>
          <w:sz w:val="32"/>
          <w:szCs w:val="32"/>
          <w:lang w:val="en-US" w:eastAsia="zh-CN"/>
        </w:rPr>
        <w:t>100.0</w:t>
      </w:r>
      <w:r>
        <w:rPr>
          <w:rFonts w:hint="default" w:ascii="Times New Roman" w:hAnsi="Times New Roman" w:eastAsia="方正仿宋_GBK" w:cs="Times New Roman"/>
          <w:b w:val="0"/>
          <w:bCs/>
          <w:color w:val="auto"/>
          <w:sz w:val="32"/>
          <w:szCs w:val="32"/>
        </w:rPr>
        <w:t>%，其中：授予小微企业合同金额</w:t>
      </w:r>
      <w:r>
        <w:rPr>
          <w:rFonts w:hint="default" w:ascii="Times New Roman" w:hAnsi="Times New Roman" w:eastAsia="方正仿宋_GBK" w:cs="Times New Roman"/>
          <w:b w:val="0"/>
          <w:bCs/>
          <w:color w:val="auto"/>
          <w:sz w:val="32"/>
          <w:szCs w:val="32"/>
          <w:lang w:val="en-US" w:eastAsia="zh-CN"/>
        </w:rPr>
        <w:t>4.48</w:t>
      </w:r>
      <w:r>
        <w:rPr>
          <w:rFonts w:hint="default" w:ascii="Times New Roman" w:hAnsi="Times New Roman" w:eastAsia="方正仿宋_GBK" w:cs="Times New Roman"/>
          <w:b w:val="0"/>
          <w:bCs/>
          <w:color w:val="auto"/>
          <w:sz w:val="32"/>
          <w:szCs w:val="32"/>
        </w:rPr>
        <w:t>万元，占政府采购支出总额的</w:t>
      </w:r>
      <w:r>
        <w:rPr>
          <w:rFonts w:hint="default" w:ascii="Times New Roman" w:hAnsi="Times New Roman" w:eastAsia="方正仿宋_GBK" w:cs="Times New Roman"/>
          <w:b w:val="0"/>
          <w:bCs/>
          <w:color w:val="auto"/>
          <w:sz w:val="32"/>
          <w:szCs w:val="32"/>
          <w:lang w:val="en-US" w:eastAsia="zh-CN"/>
        </w:rPr>
        <w:t>3.8</w:t>
      </w:r>
      <w:r>
        <w:rPr>
          <w:rFonts w:hint="default" w:ascii="Times New Roman" w:hAnsi="Times New Roman" w:eastAsia="方正仿宋_GBK" w:cs="Times New Roman"/>
          <w:b w:val="0"/>
          <w:bCs/>
          <w:color w:val="auto"/>
          <w:sz w:val="32"/>
          <w:szCs w:val="32"/>
        </w:rPr>
        <w:t xml:space="preserve"> %。主要用于</w:t>
      </w:r>
      <w:r>
        <w:rPr>
          <w:rFonts w:hint="default" w:ascii="Times New Roman" w:hAnsi="Times New Roman" w:eastAsia="方正仿宋_GBK" w:cs="Times New Roman"/>
          <w:b w:val="0"/>
          <w:bCs/>
          <w:color w:val="auto"/>
          <w:sz w:val="32"/>
          <w:szCs w:val="32"/>
          <w:lang w:eastAsia="zh-CN"/>
        </w:rPr>
        <w:t>采购干部人事档案数字化服务。</w:t>
      </w:r>
    </w:p>
    <w:p>
      <w:pPr>
        <w:pStyle w:val="13"/>
        <w:wordWrap/>
        <w:adjustRightInd w:val="0"/>
        <w:snapToGrid w:val="0"/>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五、2024年度预算绩效管理情况说明</w:t>
      </w:r>
    </w:p>
    <w:p>
      <w:pPr>
        <w:pStyle w:val="12"/>
        <w:wordWrap/>
        <w:autoSpaceDE w:val="0"/>
        <w:adjustRightInd w:val="0"/>
        <w:snapToGrid w:val="0"/>
        <w:spacing w:line="594" w:lineRule="exact"/>
        <w:ind w:left="0" w:leftChars="0" w:right="0" w:firstLine="640"/>
        <w:jc w:val="both"/>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（一）</w:t>
      </w:r>
      <w:r>
        <w:rPr>
          <w:rFonts w:hint="eastAsia" w:ascii="Times New Roman" w:hAnsi="Times New Roman" w:eastAsia="方正楷体_GBK" w:cs="Times New Roman"/>
          <w:b w:val="0"/>
          <w:bCs/>
          <w:color w:val="auto"/>
          <w:sz w:val="32"/>
          <w:szCs w:val="32"/>
          <w:lang w:eastAsia="zh-CN"/>
        </w:rPr>
        <w:t>单位自评情况</w:t>
      </w:r>
    </w:p>
    <w:p>
      <w:pPr>
        <w:pStyle w:val="13"/>
        <w:wordWrap/>
        <w:autoSpaceDE w:val="0"/>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rPr>
        <w:t>根据预算绩效管理要求，我部对部门整体和</w:t>
      </w:r>
      <w:r>
        <w:rPr>
          <w:rFonts w:hint="default" w:ascii="Times New Roman" w:hAnsi="Times New Roman" w:eastAsia="方正仿宋_GBK" w:cs="Times New Roman"/>
          <w:b w:val="0"/>
          <w:bCs/>
          <w:color w:val="auto"/>
          <w:sz w:val="32"/>
          <w:szCs w:val="32"/>
          <w:lang w:val="en-US" w:eastAsia="zh-CN"/>
        </w:rPr>
        <w:t>16</w:t>
      </w:r>
      <w:r>
        <w:rPr>
          <w:rFonts w:hint="default" w:ascii="Times New Roman" w:hAnsi="Times New Roman" w:eastAsia="方正仿宋_GBK" w:cs="Times New Roman"/>
          <w:b w:val="0"/>
          <w:bCs/>
          <w:color w:val="auto"/>
          <w:sz w:val="32"/>
          <w:szCs w:val="32"/>
        </w:rPr>
        <w:t>个项目开展了绩效自评，</w:t>
      </w:r>
      <w:r>
        <w:rPr>
          <w:rFonts w:hint="default" w:ascii="Times New Roman" w:hAnsi="Times New Roman" w:eastAsia="方正仿宋_GBK" w:cs="Times New Roman"/>
          <w:b w:val="0"/>
          <w:bCs/>
          <w:color w:val="auto"/>
          <w:sz w:val="32"/>
          <w:szCs w:val="32"/>
          <w:lang w:eastAsia="zh-CN"/>
        </w:rPr>
        <w:t>其中，以填报目标自评表形式开展自评</w:t>
      </w:r>
      <w:r>
        <w:rPr>
          <w:rFonts w:hint="default" w:ascii="Times New Roman" w:hAnsi="Times New Roman" w:eastAsia="方正仿宋_GBK" w:cs="Times New Roman"/>
          <w:b w:val="0"/>
          <w:bCs/>
          <w:color w:val="auto"/>
          <w:sz w:val="32"/>
          <w:szCs w:val="32"/>
          <w:lang w:val="en-US" w:eastAsia="zh-CN"/>
        </w:rPr>
        <w:t>96项，涉及资金960.39万元。</w:t>
      </w:r>
    </w:p>
    <w:p>
      <w:pPr>
        <w:pStyle w:val="12"/>
        <w:wordWrap/>
        <w:autoSpaceDE w:val="0"/>
        <w:adjustRightInd w:val="0"/>
        <w:snapToGrid w:val="0"/>
        <w:spacing w:line="594" w:lineRule="exact"/>
        <w:ind w:left="0" w:leftChars="0" w:right="0" w:firstLine="640"/>
        <w:jc w:val="both"/>
        <w:textAlignment w:val="auto"/>
        <w:outlineLvl w:val="9"/>
        <w:rPr>
          <w:rFonts w:hint="default" w:ascii="Times New Roman" w:hAnsi="Times New Roman" w:eastAsia="方正楷体_GBK" w:cs="Times New Roman"/>
          <w:b w:val="0"/>
          <w:bCs/>
          <w:color w:val="auto"/>
          <w:sz w:val="32"/>
          <w:szCs w:val="32"/>
          <w:lang w:eastAsia="zh-CN"/>
        </w:rPr>
      </w:pPr>
      <w:r>
        <w:rPr>
          <w:rFonts w:hint="default" w:ascii="Times New Roman" w:hAnsi="Times New Roman" w:eastAsia="方正楷体_GBK" w:cs="Times New Roman"/>
          <w:b w:val="0"/>
          <w:bCs/>
          <w:color w:val="auto"/>
          <w:sz w:val="32"/>
          <w:szCs w:val="32"/>
        </w:rPr>
        <w:t>（二）</w:t>
      </w:r>
      <w:r>
        <w:rPr>
          <w:rFonts w:hint="eastAsia" w:ascii="楷体" w:hAnsi="楷体" w:eastAsia="楷体" w:cs="楷体"/>
          <w:b w:val="0"/>
          <w:bCs w:val="0"/>
          <w:sz w:val="32"/>
          <w:szCs w:val="32"/>
          <w:shd w:val="clear" w:color="auto" w:fill="FFFFFF"/>
        </w:rPr>
        <w:t>部门绩效评价情况</w:t>
      </w:r>
    </w:p>
    <w:p>
      <w:pPr>
        <w:pStyle w:val="12"/>
        <w:wordWrap/>
        <w:autoSpaceDE w:val="0"/>
        <w:adjustRightInd w:val="0"/>
        <w:snapToGrid w:val="0"/>
        <w:spacing w:line="594" w:lineRule="exact"/>
        <w:ind w:left="0" w:leftChars="0" w:right="0" w:firstLine="64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本部门未委托第三方开展绩效</w:t>
      </w:r>
      <w:r>
        <w:rPr>
          <w:rFonts w:hint="eastAsia" w:ascii="Times New Roman" w:hAnsi="Times New Roman" w:eastAsia="方正仿宋_GBK" w:cs="Times New Roman"/>
          <w:b w:val="0"/>
          <w:bCs/>
          <w:color w:val="auto"/>
          <w:sz w:val="32"/>
          <w:szCs w:val="32"/>
          <w:lang w:val="en-US" w:eastAsia="zh-CN"/>
        </w:rPr>
        <w:t>评价</w:t>
      </w:r>
      <w:r>
        <w:rPr>
          <w:rFonts w:hint="default" w:ascii="Times New Roman" w:hAnsi="Times New Roman" w:eastAsia="方正仿宋_GBK" w:cs="Times New Roman"/>
          <w:b w:val="0"/>
          <w:bCs/>
          <w:color w:val="auto"/>
          <w:sz w:val="32"/>
          <w:szCs w:val="32"/>
          <w:lang w:val="en-US" w:eastAsia="zh-CN"/>
        </w:rPr>
        <w:t>。</w:t>
      </w:r>
    </w:p>
    <w:p>
      <w:pPr>
        <w:pStyle w:val="6"/>
        <w:shd w:val="clear" w:color="auto" w:fill="FFFFFF"/>
        <w:wordWrap/>
        <w:adjustRightInd w:val="0"/>
        <w:snapToGrid w:val="0"/>
        <w:spacing w:beforeAutospacing="0" w:afterAutospacing="0" w:line="594" w:lineRule="exact"/>
        <w:ind w:left="0" w:leftChars="0" w:right="0"/>
        <w:jc w:val="both"/>
        <w:textAlignment w:val="auto"/>
        <w:outlineLvl w:val="9"/>
        <w:rPr>
          <w:rStyle w:val="8"/>
          <w:rFonts w:hint="default" w:ascii="Times New Roman" w:hAnsi="Times New Roman" w:eastAsia="方正仿宋_GBK" w:cs="Times New Roman"/>
          <w:b w:val="0"/>
          <w:bCs/>
          <w:color w:val="auto"/>
          <w:sz w:val="32"/>
          <w:szCs w:val="32"/>
        </w:rPr>
      </w:pPr>
      <w:r>
        <w:rPr>
          <w:rStyle w:val="16"/>
          <w:rFonts w:hint="default" w:ascii="Times New Roman" w:hAnsi="Times New Roman" w:eastAsia="方正仿宋_GBK" w:cs="Times New Roman"/>
          <w:b w:val="0"/>
          <w:bCs/>
          <w:sz w:val="32"/>
          <w:szCs w:val="32"/>
          <w:shd w:val="clear" w:color="auto" w:fill="FFFFFF"/>
        </w:rPr>
        <w:t xml:space="preserve">   </w:t>
      </w:r>
      <w:r>
        <w:rPr>
          <w:rStyle w:val="8"/>
          <w:rFonts w:hint="default" w:ascii="Times New Roman" w:hAnsi="Times New Roman" w:eastAsia="黑体" w:cs="Times New Roman"/>
          <w:b w:val="0"/>
          <w:bCs/>
          <w:sz w:val="32"/>
          <w:szCs w:val="32"/>
          <w:shd w:val="clear" w:color="auto" w:fill="FFFFFF"/>
        </w:rPr>
        <w:t xml:space="preserve"> </w:t>
      </w:r>
      <w:r>
        <w:rPr>
          <w:rStyle w:val="8"/>
          <w:rFonts w:hint="default" w:ascii="Times New Roman" w:hAnsi="Times New Roman" w:eastAsia="方正黑体_GBK" w:cs="Times New Roman"/>
          <w:b w:val="0"/>
          <w:bCs/>
          <w:color w:val="auto"/>
          <w:sz w:val="32"/>
          <w:szCs w:val="32"/>
        </w:rPr>
        <w:t>六、专业名词解释</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楷体_GBK" w:cs="Times New Roman"/>
          <w:color w:val="auto"/>
          <w:sz w:val="32"/>
          <w:szCs w:val="32"/>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指本年度从本级财政部门取得的财政拨款，包括一般公共预算财政拨款和政府性基金预算财政拨款。</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（二）事业收入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指事业单位开展专业业务活动及其辅助活动取得的现金流入；事业单位收到的财政专户实际核拨的教育收费等资金在此反映。</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（三）经营收入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指事业单位在专业业务活动及其辅助活动之外开展非独立核算经营活动取得的现金流入。</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（四）其他收入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（五）使用非财政拨款结余</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指单位在当年的“财政拨款收入”、“事业收入”、“经营收入”、“其他收入”等不足以安排当年支出的情况下，使用以前年度积累的非财政拨款结余弥补本年度收支缺口的资金。</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（六）年初结转和结余</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指单位上年结转本年使用的基本支出结转、项目支出结转和结余、经营结余。</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（七）结余分配</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指单位按照国家有关规定，缴纳所得税、提取专用基金、转入非财政拨款结余等当年结余的分配情况。</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（八）年末结转和结余</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指单位结转下年的基本支出结转、项目支出结转和结余、经营结余。</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（九）基本支出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（十）项目支出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指在基本支出之外为完成特定行政任务和事业发展目标所发生的支出。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（十一）经营支出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指事业单位在专业业务活动及其辅助活动之外开展非独立核算经营活动发生的支出。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（十二）“三公”经费</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（十三）机关运行经费</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（十四）工资福利支出（支出经济分类科目类级）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反映单位开支的在职职工和编制外长期聘用人员的各类劳动报酬，以及为上述人员缴纳的各项社会保险费等。</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（十五）商品和服务支出（支出经济分类科目类级）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反映单位购买商品和服务的支出（不包括用于购置固定资产的支出、战略性和应急储备支出）。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（十六）对个人和家庭的补助（支出经济分类科目类级）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反映用于对个人和家庭的补助支出。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（十七）其他资本性支出（支出经济分类科目类级）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反映非各级发展与改革部门集中安排的用于购置固定资产、战略性和应急性储备、土地和无形资产，以及构建基础设施、大型修缮和财政支持企业更新改造所发生的支出。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rPr>
        <w:t>（十八）一般行政管理事务（支出功能分类科目项级）：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反映行政单位（包括实行公务员管理的事业单位）未单独设置项级科目的其他项目支出。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rPr>
        <w:t>（十九）行政运行（支出功能分类科目项级）：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反映行政单位（包括实行公务员管理的事业单位）的基本支出。</w:t>
      </w:r>
    </w:p>
    <w:p>
      <w:pPr>
        <w:pStyle w:val="13"/>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8"/>
          <w:rFonts w:hint="default" w:ascii="Times New Roman" w:hAnsi="Times New Roman" w:eastAsia="方正楷体_GBK" w:cs="Times New Roman"/>
          <w:b w:val="0"/>
          <w:color w:val="auto"/>
          <w:sz w:val="32"/>
          <w:szCs w:val="32"/>
          <w:shd w:val="clear" w:color="auto" w:fill="FFFFFF"/>
        </w:rPr>
        <w:t>（二十）行政单位离退休（支出功能分类科目项级）：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反映行政单位（包括实行公务员管理的事业单位）开支的离退休经费</w:t>
      </w:r>
      <w:r>
        <w:rPr>
          <w:rFonts w:hint="default" w:ascii="Times New Roman" w:hAnsi="Times New Roman" w:eastAsia="仿宋" w:cs="Times New Roman"/>
          <w:color w:val="auto"/>
          <w:sz w:val="32"/>
          <w:szCs w:val="32"/>
          <w:shd w:val="clear" w:color="auto" w:fill="FFFFFF"/>
        </w:rPr>
        <w:t>。</w:t>
      </w:r>
    </w:p>
    <w:p>
      <w:pPr>
        <w:pStyle w:val="13"/>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18"/>
          <w:rFonts w:hint="default" w:ascii="Times New Roman" w:hAnsi="Times New Roman" w:eastAsia="方正楷体_GBK" w:cs="Times New Roman"/>
          <w:b w:val="0"/>
          <w:color w:val="auto"/>
          <w:sz w:val="32"/>
          <w:szCs w:val="32"/>
          <w:shd w:val="clear" w:color="auto" w:fill="FFFFFF"/>
        </w:rPr>
        <w:t>（二十一）机关事业单位基本养老保险缴费支出（支出功能分类科目项级）：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反映机关事业单位实施养老保险制度由本单位缴纳的基本养老保险支出。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18"/>
          <w:rFonts w:hint="default" w:ascii="Times New Roman" w:hAnsi="Times New Roman" w:eastAsia="方正楷体_GBK" w:cs="Times New Roman"/>
          <w:b w:val="0"/>
          <w:color w:val="auto"/>
          <w:sz w:val="32"/>
          <w:szCs w:val="32"/>
          <w:shd w:val="clear" w:color="auto" w:fill="FFFFFF"/>
        </w:rPr>
        <w:t>（二十二）机关事业单位职业年金缴费支出（支出功能分类科目项级）：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反映机关事业单位实施养老保险制度由本单位缴纳的职业年金支出</w:t>
      </w:r>
      <w:r>
        <w:rPr>
          <w:rFonts w:hint="default" w:ascii="Times New Roman" w:hAnsi="Times New Roman" w:eastAsia="仿宋" w:cs="Times New Roman"/>
          <w:color w:val="auto"/>
          <w:sz w:val="32"/>
          <w:szCs w:val="32"/>
          <w:shd w:val="clear" w:color="auto" w:fill="FFFFFF"/>
        </w:rPr>
        <w:t>。</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shd w:val="clear" w:color="auto" w:fill="FFFFFF"/>
        </w:rPr>
        <w:t>（</w:t>
      </w:r>
      <w:r>
        <w:rPr>
          <w:rStyle w:val="18"/>
          <w:rFonts w:hint="default" w:ascii="Times New Roman" w:hAnsi="Times New Roman" w:eastAsia="方正楷体_GBK" w:cs="Times New Roman"/>
          <w:b w:val="0"/>
          <w:color w:val="auto"/>
          <w:sz w:val="32"/>
          <w:szCs w:val="32"/>
          <w:shd w:val="clear" w:color="auto" w:fill="FFFFFF"/>
        </w:rPr>
        <w:t>二十三</w:t>
      </w:r>
      <w:r>
        <w:rPr>
          <w:rStyle w:val="8"/>
          <w:rFonts w:hint="default" w:ascii="Times New Roman" w:hAnsi="Times New Roman" w:eastAsia="方正楷体_GBK" w:cs="Times New Roman"/>
          <w:b w:val="0"/>
          <w:color w:val="auto"/>
          <w:sz w:val="32"/>
          <w:szCs w:val="32"/>
          <w:shd w:val="clear" w:color="auto" w:fill="FFFFFF"/>
        </w:rPr>
        <w:t>）其他城市生活救助</w:t>
      </w:r>
      <w:r>
        <w:rPr>
          <w:rStyle w:val="18"/>
          <w:rFonts w:hint="default" w:ascii="Times New Roman" w:hAnsi="Times New Roman" w:eastAsia="方正楷体_GBK" w:cs="Times New Roman"/>
          <w:b w:val="0"/>
          <w:color w:val="auto"/>
          <w:sz w:val="32"/>
          <w:szCs w:val="32"/>
          <w:shd w:val="clear" w:color="auto" w:fill="FFFFFF"/>
        </w:rPr>
        <w:t>（支出功能分类科目项级）</w:t>
      </w:r>
      <w:r>
        <w:rPr>
          <w:rFonts w:hint="default" w:ascii="Times New Roman" w:hAnsi="Times New Roman" w:eastAsia="方正楷体_GBK" w:cs="Times New Roman"/>
          <w:b/>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反映除最低生活保障、临时救助、特困人员救助供养外，用于城市生活困难居民生活救助的其他支出，包括用于除优抚对象、失业人员之外城市生活困难居民的价格临时补贴支出。</w:t>
      </w:r>
    </w:p>
    <w:p>
      <w:pPr>
        <w:pStyle w:val="13"/>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18"/>
          <w:rFonts w:hint="default" w:ascii="Times New Roman" w:hAnsi="Times New Roman" w:eastAsia="方正楷体_GBK" w:cs="Times New Roman"/>
          <w:b w:val="0"/>
          <w:color w:val="auto"/>
          <w:sz w:val="32"/>
          <w:szCs w:val="32"/>
          <w:shd w:val="clear" w:color="auto" w:fill="FFFFFF"/>
        </w:rPr>
        <w:t>（二十四）行政单位医疗（支出功能分类科目项级）：</w:t>
      </w:r>
      <w:r>
        <w:rPr>
          <w:rFonts w:hint="default" w:ascii="Times New Roman" w:hAnsi="Times New Roman" w:eastAsia="方正仿宋_GBK" w:cs="Times New Roman"/>
          <w:color w:val="auto"/>
          <w:sz w:val="32"/>
          <w:szCs w:val="32"/>
          <w:shd w:val="clear" w:color="auto" w:fill="FFFFFF"/>
        </w:rPr>
        <w:t>反映财政部门安排的行政单位（包括实行公务员管理的事业单位）基本医疗保险缴费经费，未参加医疗保险的行政单位的公费医疗经费，按国家规定享受离休人员、红军老战士待遇人员的医疗经费。</w:t>
      </w:r>
    </w:p>
    <w:p>
      <w:pPr>
        <w:pStyle w:val="13"/>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8"/>
          <w:rFonts w:hint="default" w:ascii="Times New Roman" w:hAnsi="Times New Roman" w:eastAsia="方正楷体_GBK" w:cs="Times New Roman"/>
          <w:b w:val="0"/>
          <w:color w:val="auto"/>
          <w:sz w:val="32"/>
          <w:szCs w:val="32"/>
          <w:shd w:val="clear" w:color="auto" w:fill="FFFFFF"/>
        </w:rPr>
        <w:t>（二十五）住房公积金（支出功能分类科目项级）</w:t>
      </w:r>
      <w:r>
        <w:rPr>
          <w:rStyle w:val="18"/>
          <w:rFonts w:hint="default" w:ascii="Times New Roman" w:hAnsi="Times New Roman" w:eastAsia="楷体" w:cs="Times New Roman"/>
          <w:b w:val="0"/>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反映行政事业单位按人力资源和社会保障部、财政部规定的基本工资和津补贴以及规定比例为职工缴纳的住房公积金。</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8"/>
          <w:rFonts w:hint="default" w:ascii="Times New Roman" w:hAnsi="Times New Roman" w:eastAsia="方正楷体_GBK" w:cs="Times New Roman"/>
          <w:b w:val="0"/>
          <w:color w:val="auto"/>
          <w:sz w:val="32"/>
          <w:szCs w:val="32"/>
          <w:shd w:val="clear" w:color="auto" w:fill="FFFFFF"/>
        </w:rPr>
        <w:t>（二十六）购房补贴（支出功能分类科目项级）：</w:t>
      </w:r>
      <w:r>
        <w:rPr>
          <w:rFonts w:hint="default" w:ascii="Times New Roman" w:hAnsi="Times New Roman" w:eastAsia="方正仿宋_GBK" w:cs="Times New Roman"/>
          <w:color w:val="auto"/>
          <w:sz w:val="32"/>
          <w:szCs w:val="32"/>
          <w:shd w:val="clear" w:color="auto" w:fill="FFFFFF"/>
        </w:rPr>
        <w:t>反映按房改政策规定，行政事业单位向符合条件职工（含离退休人员）、军队（含武警）向转役复员离退休人员发放的用于购买住房的补贴。</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rPr>
        <w:t>（二十七）事业运行（支出功能分类科目项级）：</w:t>
      </w:r>
      <w:r>
        <w:rPr>
          <w:rFonts w:hint="default" w:ascii="Times New Roman" w:hAnsi="Times New Roman" w:eastAsia="方正仿宋_GBK" w:cs="Times New Roman"/>
          <w:color w:val="auto"/>
          <w:sz w:val="32"/>
          <w:szCs w:val="32"/>
          <w:shd w:val="clear" w:color="auto" w:fill="FFFFFF"/>
        </w:rPr>
        <w:t>反映事业单位的基本支出，不包括行政单位（包括实行公务员管理的事业单位）后勤服务中心、医务室等附属事业单位。</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18"/>
          <w:rFonts w:hint="default" w:ascii="Times New Roman" w:hAnsi="Times New Roman" w:eastAsia="方正楷体_GBK" w:cs="Times New Roman"/>
          <w:b w:val="0"/>
          <w:color w:val="auto"/>
          <w:sz w:val="32"/>
          <w:szCs w:val="32"/>
          <w:shd w:val="clear" w:color="auto" w:fill="FFFFFF"/>
        </w:rPr>
        <w:t>（二十八）事业单位医疗（支出功能分类科目项级）：</w:t>
      </w:r>
      <w:r>
        <w:rPr>
          <w:rFonts w:hint="default" w:ascii="Times New Roman" w:hAnsi="Times New Roman" w:eastAsia="方正仿宋_GBK" w:cs="Times New Roman"/>
          <w:color w:val="auto"/>
          <w:sz w:val="32"/>
          <w:szCs w:val="32"/>
          <w:shd w:val="clear" w:color="auto" w:fill="FFFFFF"/>
        </w:rPr>
        <w:t>反映财政部门安排的事业单位基本医疗保险缴费经费，未参加医疗保险的事业单位的公费医疗经费，按国家规定享受离休人员待遇的医疗经费。</w:t>
      </w:r>
    </w:p>
    <w:p>
      <w:pPr>
        <w:pStyle w:val="6"/>
        <w:shd w:val="clear" w:color="auto" w:fill="FFFFFF"/>
        <w:wordWrap/>
        <w:adjustRightInd w:val="0"/>
        <w:snapToGrid w:val="0"/>
        <w:spacing w:beforeAutospacing="0" w:afterAutospacing="0" w:line="594" w:lineRule="exact"/>
        <w:ind w:left="0" w:leftChars="0" w:right="0"/>
        <w:jc w:val="both"/>
        <w:textAlignment w:val="auto"/>
        <w:outlineLvl w:val="9"/>
        <w:rPr>
          <w:rStyle w:val="8"/>
          <w:rFonts w:hint="default" w:ascii="Times New Roman" w:hAnsi="Times New Roman" w:eastAsia="方正仿宋_GBK" w:cs="Times New Roman"/>
          <w:b w:val="0"/>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黑体_GBK" w:cs="Times New Roman"/>
          <w:b w:val="0"/>
          <w:color w:val="auto"/>
          <w:sz w:val="32"/>
          <w:szCs w:val="32"/>
        </w:rPr>
        <w:t>七、决算公开联系方式及信息反馈渠道</w:t>
      </w:r>
    </w:p>
    <w:p>
      <w:pPr>
        <w:widowControl w:val="0"/>
        <w:wordWrap/>
        <w:adjustRightInd w:val="0"/>
        <w:snapToGrid w:val="0"/>
        <w:spacing w:line="594" w:lineRule="exact"/>
        <w:ind w:left="0" w:leftChars="0" w:right="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sz w:val="32"/>
          <w:szCs w:val="32"/>
        </w:rPr>
        <w:t xml:space="preserve">    </w:t>
      </w:r>
      <w:bookmarkStart w:id="0" w:name="_GoBack"/>
      <w:bookmarkEnd w:id="0"/>
      <w:r>
        <w:rPr>
          <w:rFonts w:hint="default" w:ascii="Times New Roman" w:hAnsi="Times New Roman" w:eastAsia="方正仿宋_GBK" w:cs="Times New Roman"/>
          <w:color w:val="auto"/>
          <w:sz w:val="32"/>
          <w:szCs w:val="32"/>
        </w:rPr>
        <w:t>本单位决算公开信息反馈和联系方式：</w:t>
      </w:r>
    </w:p>
    <w:p>
      <w:pPr>
        <w:rPr>
          <w:rFonts w:hint="default" w:cs="宋体"/>
          <w:sz w:val="18"/>
          <w:szCs w:val="18"/>
        </w:rPr>
      </w:pPr>
      <w:r>
        <w:rPr>
          <w:rFonts w:hint="eastAsia"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rPr>
        <w:t>联系人：雷雨    联系电话：</w:t>
      </w:r>
      <w:r>
        <w:rPr>
          <w:rFonts w:hint="default" w:ascii="Times New Roman" w:hAnsi="Times New Roman" w:eastAsia="方正仿宋_GBK" w:cs="Times New Roman"/>
          <w:color w:val="auto"/>
          <w:sz w:val="32"/>
          <w:szCs w:val="32"/>
        </w:rPr>
        <w:t>023-63765203</w:t>
      </w:r>
    </w:p>
    <w:sectPr>
      <w:footerReference r:id="rId4" w:type="default"/>
      <w:pgSz w:w="11915" w:h="16840"/>
      <w:pgMar w:top="1814" w:right="1446" w:bottom="1644" w:left="1446" w:header="851" w:footer="992" w:gutter="0"/>
      <w:paperSrc w:first="0" w:other="0"/>
      <w:pgNumType w:fmt="numberInDash"/>
      <w:cols w:space="72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default"/>
      </w:rPr>
    </w:pPr>
    <w:r>
      <w:rPr>
        <w:rFonts w:hint="default" w:ascii="宋体" w:hAnsi="宋体" w:eastAsia="宋体" w:cs="Times New Roman"/>
        <w:sz w:val="18"/>
        <w:szCs w:val="18"/>
        <w:lang w:val="en-US" w:eastAsia="zh-CN" w:bidi="ar-SA"/>
      </w:rPr>
      <w:pict>
        <v:shape id="Quad Arrow 2"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rPr>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HorizontalSpacing w:val="1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FB76F3"/>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44520A"/>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4B10F5"/>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C9366D"/>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5D4188"/>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E835E8"/>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33188"/>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78330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B62999"/>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character" w:styleId="9">
    <w:name w:val="Hyperlink"/>
    <w:basedOn w:val="7"/>
    <w:uiPriority w:val="0"/>
    <w:rPr>
      <w:color w:val="0000FF"/>
      <w:u w:val="single"/>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5">
    <w:name w:val="列出段落3"/>
    <w:basedOn w:val="1"/>
    <w:qFormat/>
    <w:uiPriority w:val="99"/>
    <w:pPr>
      <w:ind w:firstLine="420" w:firstLineChars="200"/>
    </w:pPr>
  </w:style>
  <w:style w:type="character" w:customStyle="1" w:styleId="16">
    <w:name w:val="21"/>
    <w:qFormat/>
    <w:uiPriority w:val="0"/>
    <w:rPr>
      <w:rFonts w:hint="default" w:ascii="Wingdings" w:hAnsi="Wingdings" w:cs="Wingdings"/>
      <w:b/>
      <w:bCs/>
    </w:rPr>
  </w:style>
  <w:style w:type="character" w:customStyle="1" w:styleId="17">
    <w:name w:val="批注框文本 Char"/>
    <w:basedOn w:val="7"/>
    <w:link w:val="2"/>
    <w:qFormat/>
    <w:uiPriority w:val="0"/>
    <w:rPr>
      <w:rFonts w:ascii="宋体" w:hAnsi="宋体"/>
      <w:sz w:val="18"/>
      <w:szCs w:val="18"/>
    </w:rPr>
  </w:style>
  <w:style w:type="character" w:customStyle="1" w:styleId="18">
    <w:name w:val="1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HP</cp:lastModifiedBy>
  <cp:lastPrinted>2025-09-17T08:02:00Z</cp:lastPrinted>
  <dcterms:modified xsi:type="dcterms:W3CDTF">2025-10-17T09:07:03Z</dcterms:modified>
  <dc:title>本部门及下属单位公开内容真实、准确、完整，不存在意识形态问题。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