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wordWrap/>
        <w:adjustRightInd/>
        <w:snapToGrid/>
        <w:spacing w:beforeAutospacing="0" w:afterAutospacing="0" w:line="594" w:lineRule="exact"/>
        <w:ind w:left="0" w:leftChars="0" w:right="0"/>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重庆市渝中区党员电化教育中心</w:t>
      </w:r>
    </w:p>
    <w:p>
      <w:pPr>
        <w:pStyle w:val="6"/>
        <w:widowControl/>
        <w:wordWrap/>
        <w:adjustRightInd/>
        <w:snapToGrid/>
        <w:spacing w:beforeAutospacing="0" w:afterAutospacing="0" w:line="594" w:lineRule="exact"/>
        <w:ind w:left="0" w:leftChars="0" w:right="0"/>
        <w:jc w:val="center"/>
        <w:textAlignment w:val="auto"/>
        <w:outlineLvl w:val="9"/>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widowControl/>
        <w:wordWrap/>
        <w:adjustRightInd/>
        <w:snapToGrid/>
        <w:spacing w:beforeAutospacing="0" w:afterAutospacing="0" w:line="594" w:lineRule="exact"/>
        <w:ind w:left="0" w:leftChars="0" w:right="0"/>
        <w:jc w:val="both"/>
        <w:textAlignment w:val="auto"/>
        <w:outlineLvl w:val="9"/>
        <w:rPr>
          <w:rFonts w:hint="default" w:ascii="Times New Roman" w:hAnsi="Times New Roman" w:cs="Times New Roman"/>
          <w:b w:val="0"/>
          <w:bCs w:val="0"/>
          <w:sz w:val="27"/>
          <w:szCs w:val="27"/>
          <w:shd w:val="clear" w:color="auto" w:fill="FFFF00"/>
        </w:rPr>
      </w:pPr>
    </w:p>
    <w:p>
      <w:pPr>
        <w:pStyle w:val="6"/>
        <w:widowControl/>
        <w:shd w:val="clear" w:color="auto" w:fill="FFFFFF"/>
        <w:wordWrap/>
        <w:adjustRightInd/>
        <w:snapToGrid/>
        <w:spacing w:beforeAutospacing="0" w:afterAutospacing="0" w:line="594" w:lineRule="exact"/>
        <w:ind w:right="0"/>
        <w:jc w:val="both"/>
        <w:textAlignment w:val="auto"/>
        <w:outlineLvl w:val="9"/>
        <w:rPr>
          <w:rStyle w:val="8"/>
          <w:rFonts w:hint="default" w:ascii="Times New Roman" w:hAnsi="Times New Roman" w:eastAsia="黑体" w:cs="Times New Roman"/>
          <w:b w:val="0"/>
          <w:bCs w:val="0"/>
          <w:sz w:val="32"/>
          <w:szCs w:val="32"/>
          <w:shd w:val="clear" w:color="auto" w:fill="FFFFFF"/>
        </w:rPr>
      </w:pPr>
      <w:r>
        <w:rPr>
          <w:rStyle w:val="8"/>
          <w:rFonts w:hint="eastAsia" w:ascii="Times New Roman" w:hAnsi="Times New Roman" w:eastAsia="黑体" w:cs="Times New Roman"/>
          <w:b w:val="0"/>
          <w:bCs w:val="0"/>
          <w:sz w:val="32"/>
          <w:szCs w:val="32"/>
          <w:shd w:val="clear" w:color="auto" w:fill="FFFFFF"/>
          <w:lang w:val="en-US" w:eastAsia="zh-CN"/>
        </w:rPr>
        <w:t xml:space="preserve">    </w:t>
      </w:r>
      <w:r>
        <w:rPr>
          <w:rStyle w:val="8"/>
          <w:rFonts w:hint="default" w:ascii="Times New Roman" w:hAnsi="Times New Roman" w:eastAsia="黑体" w:cs="Times New Roman"/>
          <w:b w:val="0"/>
          <w:bCs w:val="0"/>
          <w:sz w:val="32"/>
          <w:szCs w:val="32"/>
          <w:shd w:val="clear" w:color="auto" w:fill="FFFFFF"/>
        </w:rPr>
        <w:t>一、部门基本情况</w:t>
      </w:r>
    </w:p>
    <w:p>
      <w:pPr>
        <w:pStyle w:val="6"/>
        <w:widowControl/>
        <w:shd w:val="clear" w:color="auto" w:fill="FFFFFF"/>
        <w:wordWrap/>
        <w:adjustRightInd/>
        <w:snapToGrid/>
        <w:spacing w:beforeAutospacing="0" w:afterAutospacing="0" w:line="594" w:lineRule="exact"/>
        <w:ind w:right="0"/>
        <w:jc w:val="both"/>
        <w:textAlignment w:val="auto"/>
        <w:outlineLvl w:val="9"/>
        <w:rPr>
          <w:rFonts w:hint="default" w:ascii="Times New Roman" w:hAnsi="Times New Roman" w:eastAsia="方正仿宋_GBK" w:cs="Times New Roman"/>
          <w:b w:val="0"/>
          <w:bCs w:val="0"/>
          <w:sz w:val="32"/>
          <w:szCs w:val="32"/>
        </w:rPr>
      </w:pPr>
      <w:r>
        <w:rPr>
          <w:rStyle w:val="8"/>
          <w:rFonts w:hint="eastAsia" w:ascii="Times New Roman" w:hAnsi="Times New Roman" w:eastAsia="楷体" w:cs="Times New Roman"/>
          <w:b w:val="0"/>
          <w:bCs w:val="0"/>
          <w:sz w:val="32"/>
          <w:szCs w:val="32"/>
          <w:shd w:val="clear" w:color="auto" w:fill="FFFFFF"/>
          <w:lang w:val="en-US" w:eastAsia="zh-CN"/>
        </w:rPr>
        <w:t xml:space="preserve">    </w:t>
      </w:r>
      <w:r>
        <w:rPr>
          <w:rStyle w:val="8"/>
          <w:rFonts w:hint="default" w:ascii="Times New Roman" w:hAnsi="Times New Roman" w:eastAsia="楷体" w:cs="Times New Roman"/>
          <w:b w:val="0"/>
          <w:bCs w:val="0"/>
          <w:sz w:val="32"/>
          <w:szCs w:val="32"/>
          <w:shd w:val="clear" w:color="auto" w:fill="FFFFFF"/>
        </w:rPr>
        <w:t>（一）职能职责</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color w:val="auto"/>
          <w:sz w:val="32"/>
          <w:lang w:eastAsia="zh-CN"/>
        </w:rPr>
        <w:t>负责研究提出全区党员队伍教育及培训工作的规划、政策、措施；负责党员教育教学资源的开发；负责组织开展党员经常性学习教育活动；负责党员远程教育站点的建设管理使用和服务保障工作；负责涉组涉干网络信息宣传、舆论引导、舆情监测及应对；负责“</w:t>
      </w:r>
      <w:r>
        <w:rPr>
          <w:rFonts w:hint="eastAsia" w:ascii="Times New Roman" w:hAnsi="Times New Roman" w:eastAsia="方正仿宋_GBK" w:cs="Times New Roman"/>
          <w:color w:val="auto"/>
          <w:sz w:val="32"/>
          <w:lang w:val="en-US" w:eastAsia="zh-CN"/>
        </w:rPr>
        <w:t>12371</w:t>
      </w:r>
      <w:r>
        <w:rPr>
          <w:rFonts w:hint="eastAsia" w:ascii="Times New Roman" w:hAnsi="Times New Roman" w:eastAsia="方正仿宋_GBK" w:cs="Times New Roman"/>
          <w:color w:val="auto"/>
          <w:sz w:val="32"/>
          <w:lang w:eastAsia="zh-CN"/>
        </w:rPr>
        <w:t>”党建信息平台的管理；负责机关“大组工网”的建设、管理和维护工作；负责协调督促指导“群工系统”的推广使用。</w:t>
      </w:r>
    </w:p>
    <w:p>
      <w:pPr>
        <w:pStyle w:val="6"/>
        <w:widowControl/>
        <w:shd w:val="clear" w:color="auto" w:fill="FFFFFF"/>
        <w:wordWrap/>
        <w:adjustRightInd/>
        <w:snapToGrid/>
        <w:spacing w:beforeAutospacing="0" w:afterAutospacing="0" w:line="594" w:lineRule="exact"/>
        <w:ind w:right="0"/>
        <w:jc w:val="both"/>
        <w:textAlignment w:val="auto"/>
        <w:outlineLvl w:val="9"/>
        <w:rPr>
          <w:rFonts w:hint="default" w:ascii="Times New Roman" w:hAnsi="Times New Roman" w:eastAsia="楷体" w:cs="Times New Roman"/>
          <w:b w:val="0"/>
          <w:bCs w:val="0"/>
          <w:sz w:val="32"/>
          <w:szCs w:val="32"/>
        </w:rPr>
      </w:pPr>
      <w:r>
        <w:rPr>
          <w:rStyle w:val="8"/>
          <w:rFonts w:hint="eastAsia" w:ascii="Times New Roman" w:hAnsi="Times New Roman" w:eastAsia="楷体" w:cs="Times New Roman"/>
          <w:b w:val="0"/>
          <w:bCs w:val="0"/>
          <w:sz w:val="32"/>
          <w:szCs w:val="32"/>
          <w:shd w:val="clear" w:color="auto" w:fill="FFFFFF"/>
          <w:lang w:val="en-US" w:eastAsia="zh-CN"/>
        </w:rPr>
        <w:t xml:space="preserve">    </w:t>
      </w:r>
      <w:r>
        <w:rPr>
          <w:rStyle w:val="8"/>
          <w:rFonts w:hint="default" w:ascii="Times New Roman" w:hAnsi="Times New Roman" w:eastAsia="楷体" w:cs="Times New Roman"/>
          <w:b w:val="0"/>
          <w:bCs w:val="0"/>
          <w:sz w:val="32"/>
          <w:szCs w:val="32"/>
          <w:shd w:val="clear" w:color="auto" w:fill="FFFFFF"/>
        </w:rPr>
        <w:t>（二）机构设置</w:t>
      </w:r>
    </w:p>
    <w:p>
      <w:pPr>
        <w:pStyle w:val="6"/>
        <w:widowControl/>
        <w:shd w:val="clear" w:color="auto" w:fill="FFFFFF"/>
        <w:wordWrap/>
        <w:adjustRightInd/>
        <w:snapToGrid/>
        <w:spacing w:beforeAutospacing="0" w:afterAutospacing="0" w:line="594" w:lineRule="exact"/>
        <w:ind w:left="0" w:leftChars="0" w:right="0" w:firstLine="643"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重庆市渝中区党员电化教育中心为中国共产党重庆市渝中区委员会组织部所属正科级参公事业单位，参公编制7名，设科级领导职数2名。</w:t>
      </w:r>
    </w:p>
    <w:p>
      <w:pPr>
        <w:pStyle w:val="6"/>
        <w:widowControl/>
        <w:shd w:val="clear" w:color="auto" w:fill="FFFFFF"/>
        <w:wordWrap/>
        <w:adjustRightInd/>
        <w:snapToGrid/>
        <w:spacing w:beforeAutospacing="0" w:afterAutospacing="0" w:line="594" w:lineRule="exact"/>
        <w:ind w:right="0"/>
        <w:jc w:val="both"/>
        <w:textAlignment w:val="auto"/>
        <w:outlineLvl w:val="9"/>
        <w:rPr>
          <w:rStyle w:val="8"/>
          <w:rFonts w:hint="default" w:ascii="Times New Roman" w:hAnsi="Times New Roman" w:eastAsia="黑体" w:cs="Times New Roman"/>
          <w:b w:val="0"/>
          <w:bCs w:val="0"/>
          <w:sz w:val="32"/>
          <w:szCs w:val="32"/>
          <w:shd w:val="clear" w:color="auto" w:fill="FFFFFF"/>
        </w:rPr>
      </w:pPr>
      <w:r>
        <w:rPr>
          <w:rStyle w:val="8"/>
          <w:rFonts w:hint="eastAsia" w:ascii="Times New Roman" w:hAnsi="Times New Roman" w:eastAsia="黑体" w:cs="Times New Roman"/>
          <w:b w:val="0"/>
          <w:bCs w:val="0"/>
          <w:sz w:val="32"/>
          <w:szCs w:val="32"/>
          <w:shd w:val="clear" w:color="auto" w:fill="FFFFFF"/>
          <w:lang w:val="en-US" w:eastAsia="zh-CN"/>
        </w:rPr>
        <w:t xml:space="preserve">    </w:t>
      </w:r>
      <w:r>
        <w:rPr>
          <w:rStyle w:val="8"/>
          <w:rFonts w:hint="default" w:ascii="Times New Roman" w:hAnsi="Times New Roman" w:eastAsia="黑体" w:cs="Times New Roman"/>
          <w:b w:val="0"/>
          <w:bCs w:val="0"/>
          <w:sz w:val="32"/>
          <w:szCs w:val="32"/>
          <w:shd w:val="clear" w:color="auto" w:fill="FFFFFF"/>
        </w:rPr>
        <w:t>二、部门决算收支情况说明</w:t>
      </w:r>
    </w:p>
    <w:p>
      <w:pPr>
        <w:pStyle w:val="11"/>
        <w:widowControl/>
        <w:wordWrap/>
        <w:autoSpaceDE w:val="0"/>
        <w:adjustRightInd/>
        <w:snapToGrid/>
        <w:spacing w:beforeAutospacing="0" w:afterAutospacing="0" w:line="594" w:lineRule="exact"/>
        <w:ind w:left="0" w:leftChars="0" w:right="0" w:firstLine="643"/>
        <w:jc w:val="both"/>
        <w:textAlignment w:val="auto"/>
        <w:outlineLvl w:val="9"/>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6"/>
        <w:widowControl/>
        <w:shd w:val="clear" w:color="auto" w:fill="FFFFFF"/>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bCs/>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rPr>
        <w:t>2024年度收入总计83.47万元，支出总计</w:t>
      </w:r>
      <w:r>
        <w:rPr>
          <w:rFonts w:hint="default" w:ascii="Times New Roman" w:hAnsi="Times New Roman" w:eastAsia="方正仿宋_GBK" w:cs="Times New Roman"/>
          <w:b w:val="0"/>
          <w:bCs w:val="0"/>
          <w:sz w:val="32"/>
          <w:szCs w:val="32"/>
        </w:rPr>
        <w:t>83.47</w:t>
      </w:r>
      <w:r>
        <w:rPr>
          <w:rFonts w:hint="default" w:ascii="Times New Roman" w:hAnsi="Times New Roman" w:eastAsia="方正仿宋_GBK" w:cs="Times New Roman"/>
          <w:b w:val="0"/>
          <w:bCs w:val="0"/>
          <w:sz w:val="32"/>
          <w:szCs w:val="32"/>
          <w:shd w:val="clear" w:color="auto" w:fill="FFFFFF"/>
        </w:rPr>
        <w:t>万元。收、支与2023年度相比，增加83.47万元，增长100.0%，主要原因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bCs/>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rPr>
        <w:t>2024年度收入合计82.61万元，</w:t>
      </w:r>
      <w:r>
        <w:rPr>
          <w:rFonts w:hint="eastAsia" w:ascii="Times New Roman" w:hAnsi="Times New Roman" w:eastAsia="方正仿宋_GBK" w:cs="Times New Roman"/>
          <w:b w:val="0"/>
          <w:bCs w:val="0"/>
          <w:sz w:val="32"/>
          <w:szCs w:val="32"/>
          <w:shd w:val="clear" w:color="auto" w:fill="FFFFFF"/>
          <w:lang w:eastAsia="zh-CN"/>
        </w:rPr>
        <w:t>与</w:t>
      </w:r>
      <w:r>
        <w:rPr>
          <w:rFonts w:hint="eastAsia" w:ascii="Times New Roman" w:hAnsi="Times New Roman" w:eastAsia="方正仿宋_GBK" w:cs="Times New Roman"/>
          <w:b w:val="0"/>
          <w:bCs w:val="0"/>
          <w:sz w:val="32"/>
          <w:szCs w:val="32"/>
          <w:shd w:val="clear" w:color="auto" w:fill="FFFFFF"/>
          <w:lang w:val="en-US" w:eastAsia="zh-CN"/>
        </w:rPr>
        <w:t>2023年度相比，增加82.61万元，增长100.0%</w:t>
      </w:r>
      <w:r>
        <w:rPr>
          <w:rFonts w:hint="default" w:ascii="Times New Roman" w:hAnsi="Times New Roman" w:eastAsia="方正仿宋_GBK" w:cs="Times New Roman"/>
          <w:b w:val="0"/>
          <w:bCs w:val="0"/>
          <w:sz w:val="32"/>
          <w:szCs w:val="32"/>
          <w:shd w:val="clear" w:color="auto" w:fill="FFFFFF"/>
        </w:rPr>
        <w:t>，主要原因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82.61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万元，占0.0%；经营收入</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万元，占0.0%；其他收入</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0.86</w:t>
      </w:r>
      <w:r>
        <w:rPr>
          <w:rFonts w:hint="default" w:ascii="Times New Roman" w:hAnsi="Times New Roman" w:eastAsia="方正仿宋_GBK" w:cs="Times New Roman"/>
          <w:b w:val="0"/>
          <w:bCs w:val="0"/>
          <w:sz w:val="32"/>
          <w:szCs w:val="32"/>
          <w:shd w:val="clear" w:color="auto" w:fill="FFFFFF"/>
        </w:rPr>
        <w:t>万元。</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bCs/>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rPr>
        <w:t>2024年度支出合计</w:t>
      </w:r>
      <w:r>
        <w:rPr>
          <w:rFonts w:hint="default" w:ascii="Times New Roman" w:hAnsi="Times New Roman" w:eastAsia="方正仿宋_GBK" w:cs="Times New Roman"/>
          <w:b w:val="0"/>
          <w:bCs w:val="0"/>
          <w:sz w:val="32"/>
          <w:szCs w:val="32"/>
        </w:rPr>
        <w:t>83.47</w:t>
      </w:r>
      <w:r>
        <w:rPr>
          <w:rFonts w:hint="default" w:ascii="Times New Roman" w:hAnsi="Times New Roman" w:eastAsia="方正仿宋_GBK" w:cs="Times New Roman"/>
          <w:b w:val="0"/>
          <w:bCs w:val="0"/>
          <w:sz w:val="32"/>
          <w:szCs w:val="32"/>
          <w:shd w:val="clear" w:color="auto" w:fill="FFFFFF"/>
        </w:rPr>
        <w:t>万元，与2023年度相比，增加83.47万元，增长100.0%，主要原因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83.47</w:t>
      </w:r>
      <w:r>
        <w:rPr>
          <w:rFonts w:hint="default" w:ascii="Times New Roman" w:hAnsi="Times New Roman" w:eastAsia="方正仿宋_GBK" w:cs="Times New Roman"/>
          <w:b w:val="0"/>
          <w:bCs w:val="0"/>
          <w:sz w:val="32"/>
          <w:szCs w:val="32"/>
          <w:shd w:val="clear" w:color="auto" w:fill="FFFFFF"/>
        </w:rPr>
        <w:t>万元，占100.0%；项目支出</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万元，占0.0%；经营支出</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万元，占0.0%。此外，结余分配</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bCs/>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rPr>
        <w:t>2024年度年末结转和结余</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11"/>
        <w:widowControl/>
        <w:wordWrap/>
        <w:autoSpaceDE w:val="0"/>
        <w:adjustRightInd/>
        <w:snapToGrid/>
        <w:spacing w:beforeAutospacing="0" w:afterAutospacing="0" w:line="594" w:lineRule="exact"/>
        <w:ind w:left="0" w:leftChars="0" w:right="0" w:firstLine="643"/>
        <w:jc w:val="both"/>
        <w:textAlignment w:val="auto"/>
        <w:outlineLvl w:val="9"/>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2024年度财政拨款收、支总计83.47万元。与2023年相比，</w:t>
      </w:r>
      <w:r>
        <w:rPr>
          <w:rFonts w:hint="eastAsia" w:ascii="Times New Roman" w:hAnsi="Times New Roman" w:eastAsia="方正仿宋_GBK" w:cs="Times New Roman"/>
          <w:b w:val="0"/>
          <w:bCs w:val="0"/>
          <w:sz w:val="32"/>
          <w:szCs w:val="32"/>
          <w:shd w:val="clear" w:color="auto" w:fill="FFFFFF"/>
          <w:lang w:eastAsia="zh-CN"/>
        </w:rPr>
        <w:t>财政拨款收、支总计各增加</w:t>
      </w:r>
      <w:r>
        <w:rPr>
          <w:rFonts w:hint="eastAsia" w:ascii="Times New Roman" w:hAnsi="Times New Roman" w:eastAsia="方正仿宋_GBK" w:cs="Times New Roman"/>
          <w:b w:val="0"/>
          <w:bCs w:val="0"/>
          <w:sz w:val="32"/>
          <w:szCs w:val="32"/>
          <w:shd w:val="clear" w:color="auto" w:fill="FFFFFF"/>
          <w:lang w:val="en-US" w:eastAsia="zh-CN"/>
        </w:rPr>
        <w:t>83.47万元，增长100.0%</w:t>
      </w:r>
      <w:r>
        <w:rPr>
          <w:rFonts w:hint="default" w:ascii="Times New Roman" w:hAnsi="Times New Roman" w:eastAsia="方正仿宋_GBK" w:cs="Times New Roman"/>
          <w:b w:val="0"/>
          <w:bCs w:val="0"/>
          <w:sz w:val="32"/>
          <w:szCs w:val="32"/>
          <w:shd w:val="clear" w:color="auto" w:fill="FFFFFF"/>
        </w:rPr>
        <w:t>。主要原因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p>
    <w:p>
      <w:pPr>
        <w:pStyle w:val="11"/>
        <w:widowControl/>
        <w:wordWrap/>
        <w:autoSpaceDE w:val="0"/>
        <w:adjustRightInd/>
        <w:snapToGrid/>
        <w:spacing w:beforeAutospacing="0" w:afterAutospacing="0" w:line="594" w:lineRule="exact"/>
        <w:ind w:left="0" w:leftChars="0" w:right="0" w:firstLine="643"/>
        <w:jc w:val="both"/>
        <w:textAlignment w:val="auto"/>
        <w:outlineLvl w:val="9"/>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bCs/>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w:t>
      </w:r>
      <w:r>
        <w:rPr>
          <w:rFonts w:hint="default" w:ascii="Times New Roman" w:hAnsi="Times New Roman" w:eastAsia="方正仿宋_GBK" w:cs="Times New Roman"/>
          <w:b w:val="0"/>
          <w:bCs w:val="0"/>
          <w:sz w:val="32"/>
          <w:szCs w:val="32"/>
        </w:rPr>
        <w:t>82.61</w:t>
      </w:r>
      <w:r>
        <w:rPr>
          <w:rFonts w:hint="default" w:ascii="Times New Roman" w:hAnsi="Times New Roman" w:eastAsia="方正仿宋_GBK" w:cs="Times New Roman"/>
          <w:b w:val="0"/>
          <w:bCs w:val="0"/>
          <w:sz w:val="32"/>
          <w:szCs w:val="32"/>
          <w:shd w:val="clear" w:color="auto" w:fill="FFFFFF"/>
        </w:rPr>
        <w:t>万元，与2023年度相比，增加82.61万元，增长100.0%。主要原因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r>
        <w:rPr>
          <w:rFonts w:hint="default" w:ascii="Times New Roman" w:hAnsi="Times New Roman" w:eastAsia="方正仿宋_GBK" w:cs="Times New Roman"/>
          <w:b w:val="0"/>
          <w:bCs w:val="0"/>
          <w:sz w:val="32"/>
          <w:szCs w:val="32"/>
          <w:shd w:val="clear" w:color="auto" w:fill="FFFFFF"/>
        </w:rPr>
        <w:t>较年初预算数增加82.61万元，增长100.0%。主要原因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cs="Times New Roman"/>
          <w:sz w:val="32"/>
          <w:szCs w:val="32"/>
          <w:lang w:val="en-US" w:eastAsia="zh-CN"/>
        </w:rPr>
        <w:t>2024年未</w:t>
      </w:r>
      <w:r>
        <w:rPr>
          <w:rFonts w:hint="eastAsia" w:ascii="Times New Roman" w:hAnsi="Times New Roman" w:eastAsia="方正仿宋_GBK"/>
          <w:sz w:val="32"/>
          <w:lang w:val="en-US" w:eastAsia="zh-CN"/>
        </w:rPr>
        <w:t>单独编制预算，年初预算无数据。</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0.86</w:t>
      </w:r>
      <w:r>
        <w:rPr>
          <w:rFonts w:hint="default" w:ascii="Times New Roman" w:hAnsi="Times New Roman" w:eastAsia="方正仿宋_GBK" w:cs="Times New Roman"/>
          <w:b w:val="0"/>
          <w:bCs w:val="0"/>
          <w:sz w:val="32"/>
          <w:szCs w:val="32"/>
          <w:shd w:val="clear" w:color="auto" w:fill="FFFFFF"/>
        </w:rPr>
        <w:t>万元。</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bCs/>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w:t>
      </w:r>
      <w:r>
        <w:rPr>
          <w:rFonts w:hint="default" w:ascii="Times New Roman" w:hAnsi="Times New Roman" w:eastAsia="方正仿宋_GBK" w:cs="Times New Roman"/>
          <w:b w:val="0"/>
          <w:bCs w:val="0"/>
          <w:sz w:val="32"/>
          <w:szCs w:val="32"/>
        </w:rPr>
        <w:t>83.47</w:t>
      </w:r>
      <w:r>
        <w:rPr>
          <w:rFonts w:hint="default" w:ascii="Times New Roman" w:hAnsi="Times New Roman" w:eastAsia="方正仿宋_GBK" w:cs="Times New Roman"/>
          <w:b w:val="0"/>
          <w:bCs w:val="0"/>
          <w:sz w:val="32"/>
          <w:szCs w:val="32"/>
          <w:shd w:val="clear" w:color="auto" w:fill="FFFFFF"/>
        </w:rPr>
        <w:t>万元，与2023年度相比，增加83.47万元，增长100.0%。主要原因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r>
        <w:rPr>
          <w:rFonts w:hint="default" w:ascii="Times New Roman" w:hAnsi="Times New Roman" w:eastAsia="方正仿宋_GBK" w:cs="Times New Roman"/>
          <w:b w:val="0"/>
          <w:bCs w:val="0"/>
          <w:sz w:val="32"/>
          <w:szCs w:val="32"/>
          <w:shd w:val="clear" w:color="auto" w:fill="FFFFFF"/>
        </w:rPr>
        <w:t>较年初预算数增加83.47万元，增长100.0%。主要原因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cs="Times New Roman"/>
          <w:sz w:val="32"/>
          <w:szCs w:val="32"/>
          <w:lang w:val="en-US" w:eastAsia="zh-CN"/>
        </w:rPr>
        <w:t>2024年未</w:t>
      </w:r>
      <w:r>
        <w:rPr>
          <w:rFonts w:hint="eastAsia" w:ascii="Times New Roman" w:hAnsi="Times New Roman" w:eastAsia="方正仿宋_GBK"/>
          <w:sz w:val="32"/>
          <w:lang w:val="en-US" w:eastAsia="zh-CN"/>
        </w:rPr>
        <w:t>单独编制预算，年初预算无数据。</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bCs/>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bCs/>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本部门2024年度一般公共预算财政拨款支出主要用于以下几个方面：</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（1）一般公共服务支出</w:t>
      </w:r>
      <w:r>
        <w:rPr>
          <w:rFonts w:hint="default" w:ascii="Times New Roman" w:hAnsi="Times New Roman" w:eastAsia="方正仿宋_GBK" w:cs="Times New Roman"/>
          <w:b w:val="0"/>
          <w:bCs w:val="0"/>
          <w:sz w:val="32"/>
          <w:szCs w:val="32"/>
        </w:rPr>
        <w:t>60.71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72.7</w:t>
      </w:r>
      <w:r>
        <w:rPr>
          <w:rFonts w:hint="default" w:ascii="Times New Roman" w:hAnsi="Times New Roman" w:eastAsia="方正仿宋_GBK" w:cs="Times New Roman"/>
          <w:b w:val="0"/>
          <w:bCs w:val="0"/>
          <w:sz w:val="32"/>
          <w:szCs w:val="32"/>
          <w:shd w:val="clear" w:color="auto" w:fill="FFFFFF"/>
        </w:rPr>
        <w:t>%，较年初预算数增加60.71万元，增长100.0%，主要原因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cs="Times New Roman"/>
          <w:sz w:val="32"/>
          <w:szCs w:val="32"/>
          <w:lang w:val="en-US" w:eastAsia="zh-CN"/>
        </w:rPr>
        <w:t>2024年未</w:t>
      </w:r>
      <w:r>
        <w:rPr>
          <w:rFonts w:hint="eastAsia" w:ascii="Times New Roman" w:hAnsi="Times New Roman" w:eastAsia="方正仿宋_GBK"/>
          <w:sz w:val="32"/>
          <w:lang w:val="en-US" w:eastAsia="zh-CN"/>
        </w:rPr>
        <w:t>单独编制预算，年初预算无数据。</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10.43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12.5</w:t>
      </w:r>
      <w:r>
        <w:rPr>
          <w:rFonts w:hint="default" w:ascii="Times New Roman" w:hAnsi="Times New Roman" w:eastAsia="方正仿宋_GBK" w:cs="Times New Roman"/>
          <w:b w:val="0"/>
          <w:bCs w:val="0"/>
          <w:sz w:val="32"/>
          <w:szCs w:val="32"/>
          <w:shd w:val="clear" w:color="auto" w:fill="FFFFFF"/>
        </w:rPr>
        <w:t>%，较年初预算数增加10.43万元，增长100.0%，主要原因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cs="Times New Roman"/>
          <w:sz w:val="32"/>
          <w:szCs w:val="32"/>
          <w:lang w:val="en-US" w:eastAsia="zh-CN"/>
        </w:rPr>
        <w:t>2024年未</w:t>
      </w:r>
      <w:r>
        <w:rPr>
          <w:rFonts w:hint="eastAsia" w:ascii="Times New Roman" w:hAnsi="Times New Roman" w:eastAsia="方正仿宋_GBK"/>
          <w:sz w:val="32"/>
          <w:lang w:val="en-US" w:eastAsia="zh-CN"/>
        </w:rPr>
        <w:t>单独编制预算，年初预算无数据。</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4.64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shd w:val="clear" w:color="auto" w:fill="FFFFFF"/>
        </w:rPr>
        <w:t>%，较年初预算数增加4.64万元，增长100.0%，主要原因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cs="Times New Roman"/>
          <w:sz w:val="32"/>
          <w:szCs w:val="32"/>
          <w:lang w:val="en-US" w:eastAsia="zh-CN"/>
        </w:rPr>
        <w:t>2024年未</w:t>
      </w:r>
      <w:r>
        <w:rPr>
          <w:rFonts w:hint="eastAsia" w:ascii="Times New Roman" w:hAnsi="Times New Roman" w:eastAsia="方正仿宋_GBK"/>
          <w:sz w:val="32"/>
          <w:lang w:val="en-US" w:eastAsia="zh-CN"/>
        </w:rPr>
        <w:t>单独编制预算，年初预算无数据。</w:t>
      </w:r>
    </w:p>
    <w:p>
      <w:pPr>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住房保障支出7.68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9.2</w:t>
      </w:r>
      <w:r>
        <w:rPr>
          <w:rFonts w:hint="default" w:ascii="Times New Roman" w:hAnsi="Times New Roman" w:eastAsia="方正仿宋_GBK" w:cs="Times New Roman"/>
          <w:b w:val="0"/>
          <w:bCs w:val="0"/>
          <w:sz w:val="32"/>
          <w:szCs w:val="32"/>
          <w:shd w:val="clear" w:color="auto" w:fill="FFFFFF"/>
        </w:rPr>
        <w:t>%，较年初预算数增加7.68万元，增长100.0%，主要原因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cs="Times New Roman"/>
          <w:sz w:val="32"/>
          <w:szCs w:val="32"/>
          <w:lang w:val="en-US" w:eastAsia="zh-CN"/>
        </w:rPr>
        <w:t>2024年未</w:t>
      </w:r>
      <w:r>
        <w:rPr>
          <w:rFonts w:hint="eastAsia" w:ascii="Times New Roman" w:hAnsi="Times New Roman" w:eastAsia="方正仿宋_GBK"/>
          <w:sz w:val="32"/>
          <w:lang w:val="en-US" w:eastAsia="zh-CN"/>
        </w:rPr>
        <w:t>单独编制预算，年初预算无数据。</w:t>
      </w:r>
    </w:p>
    <w:p>
      <w:pPr>
        <w:pStyle w:val="11"/>
        <w:widowControl/>
        <w:wordWrap/>
        <w:autoSpaceDE w:val="0"/>
        <w:adjustRightInd/>
        <w:snapToGrid/>
        <w:spacing w:beforeAutospacing="0" w:afterAutospacing="0" w:line="594" w:lineRule="exact"/>
        <w:ind w:left="0" w:leftChars="0" w:right="0" w:firstLine="643"/>
        <w:jc w:val="both"/>
        <w:textAlignment w:val="auto"/>
        <w:outlineLvl w:val="9"/>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2024年度一般公共财政拨款基本支出</w:t>
      </w:r>
      <w:r>
        <w:rPr>
          <w:rFonts w:hint="default" w:ascii="Times New Roman" w:hAnsi="Times New Roman" w:eastAsia="方正仿宋_GBK" w:cs="Times New Roman"/>
          <w:b w:val="0"/>
          <w:bCs w:val="0"/>
          <w:sz w:val="32"/>
          <w:szCs w:val="32"/>
        </w:rPr>
        <w:t>83.47</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71.16</w:t>
      </w:r>
      <w:r>
        <w:rPr>
          <w:rFonts w:hint="default" w:ascii="Times New Roman" w:hAnsi="Times New Roman" w:eastAsia="方正仿宋_GBK" w:cs="Times New Roman"/>
          <w:b w:val="0"/>
          <w:bCs w:val="0"/>
          <w:sz w:val="32"/>
          <w:szCs w:val="32"/>
          <w:shd w:val="clear" w:color="auto" w:fill="FFFFFF"/>
        </w:rPr>
        <w:t>万元，与2023年度相比，增加71.16万元，增长100.0%，主要原因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r>
        <w:rPr>
          <w:rFonts w:hint="default" w:ascii="Times New Roman" w:hAnsi="Times New Roman" w:eastAsia="方正仿宋_GBK" w:cs="Times New Roman"/>
          <w:color w:val="auto"/>
          <w:sz w:val="32"/>
          <w:szCs w:val="32"/>
        </w:rPr>
        <w:t>人员经费用途主要包括</w:t>
      </w:r>
      <w:r>
        <w:rPr>
          <w:rFonts w:hint="default" w:ascii="Times New Roman" w:hAnsi="Times New Roman" w:eastAsia="仿宋" w:cs="Times New Roman"/>
          <w:color w:val="auto"/>
          <w:sz w:val="32"/>
          <w:szCs w:val="32"/>
          <w:shd w:val="clear" w:color="auto" w:fill="FFFFFF"/>
        </w:rPr>
        <w:t>基本工资、津贴补贴、奖金、绩效工资、机关事业单位基本养老保险费、职业年金缴费、职工基本医疗保险缴费、其他社会保障缴费、住房公积金、医疗费、其他工资福利支出、生活补助、医疗费补助、其他对个人和家庭的补助</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12.31</w:t>
      </w:r>
      <w:r>
        <w:rPr>
          <w:rFonts w:hint="default" w:ascii="Times New Roman" w:hAnsi="Times New Roman" w:eastAsia="方正仿宋_GBK" w:cs="Times New Roman"/>
          <w:b w:val="0"/>
          <w:bCs w:val="0"/>
          <w:sz w:val="32"/>
          <w:szCs w:val="32"/>
          <w:shd w:val="clear" w:color="auto" w:fill="FFFFFF"/>
        </w:rPr>
        <w:t>万元，与2023年度相比，增加12.31万元，增长100.0%，主要原因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r>
        <w:rPr>
          <w:rFonts w:hint="default" w:ascii="Times New Roman" w:hAnsi="Times New Roman" w:eastAsia="方正仿宋_GBK" w:cs="Times New Roman"/>
          <w:color w:val="auto"/>
          <w:sz w:val="32"/>
          <w:szCs w:val="32"/>
        </w:rPr>
        <w:t>公用经费用途主要包括办公费、邮电费、物业管理费、差旅费、培训费、公务接待费、劳务费、工会经费、福利费、公务用车运行维护费、其他交通费用、其他商品和服务支出、办公设备购置。</w:t>
      </w:r>
    </w:p>
    <w:p>
      <w:pPr>
        <w:pStyle w:val="11"/>
        <w:wordWrap/>
        <w:autoSpaceDE w:val="0"/>
        <w:adjustRightInd w:val="0"/>
        <w:snapToGrid w:val="0"/>
        <w:spacing w:line="594" w:lineRule="exact"/>
        <w:ind w:left="0" w:leftChars="0" w:right="0"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color w:val="auto"/>
          <w:sz w:val="32"/>
          <w:szCs w:val="32"/>
        </w:rPr>
        <w:t>本部门202</w:t>
      </w:r>
      <w:r>
        <w:rPr>
          <w:rStyle w:val="8"/>
          <w:rFonts w:hint="default" w:ascii="Times New Roman" w:hAnsi="Times New Roman" w:eastAsia="方正仿宋_GBK" w:cs="Times New Roman"/>
          <w:b w:val="0"/>
          <w:color w:val="auto"/>
          <w:sz w:val="32"/>
          <w:szCs w:val="32"/>
          <w:lang w:val="en-US" w:eastAsia="zh-CN"/>
        </w:rPr>
        <w:t>4</w:t>
      </w:r>
      <w:r>
        <w:rPr>
          <w:rStyle w:val="8"/>
          <w:rFonts w:hint="default" w:ascii="Times New Roman" w:hAnsi="Times New Roman" w:eastAsia="方正仿宋_GBK" w:cs="Times New Roman"/>
          <w:b w:val="0"/>
          <w:color w:val="auto"/>
          <w:sz w:val="32"/>
          <w:szCs w:val="32"/>
        </w:rPr>
        <w:t>年度无政府性基金预算财政拨款收支。</w:t>
      </w:r>
    </w:p>
    <w:p>
      <w:pPr>
        <w:pStyle w:val="11"/>
        <w:wordWrap/>
        <w:autoSpaceDE w:val="0"/>
        <w:adjustRightInd w:val="0"/>
        <w:snapToGrid w:val="0"/>
        <w:spacing w:line="594" w:lineRule="exact"/>
        <w:ind w:left="0" w:leftChars="0" w:right="0"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6"/>
        <w:widowControl/>
        <w:shd w:val="clear" w:color="auto" w:fill="FFFFFF"/>
        <w:wordWrap/>
        <w:adjustRightInd/>
        <w:snapToGrid/>
        <w:spacing w:beforeAutospacing="0" w:afterAutospacing="0" w:line="594" w:lineRule="exact"/>
        <w:ind w:left="0" w:leftChars="0" w:right="0" w:firstLine="643" w:firstLineChars="200"/>
        <w:jc w:val="both"/>
        <w:textAlignment w:val="auto"/>
        <w:outlineLvl w:val="9"/>
        <w:rPr>
          <w:rStyle w:val="8"/>
          <w:rFonts w:hint="default" w:ascii="Times New Roman" w:hAnsi="Times New Roman" w:eastAsia="方正仿宋_GBK" w:cs="Times New Roman"/>
          <w:b w:val="0"/>
          <w:color w:val="auto"/>
          <w:sz w:val="32"/>
          <w:szCs w:val="32"/>
        </w:rPr>
      </w:pPr>
      <w:r>
        <w:rPr>
          <w:rStyle w:val="8"/>
          <w:rFonts w:hint="default" w:ascii="Times New Roman" w:hAnsi="Times New Roman" w:eastAsia="方正仿宋_GBK" w:cs="Times New Roman"/>
          <w:b w:val="0"/>
          <w:color w:val="auto"/>
          <w:sz w:val="32"/>
          <w:szCs w:val="32"/>
        </w:rPr>
        <w:t>本部门202</w:t>
      </w:r>
      <w:r>
        <w:rPr>
          <w:rStyle w:val="8"/>
          <w:rFonts w:hint="default" w:ascii="Times New Roman" w:hAnsi="Times New Roman" w:eastAsia="方正仿宋_GBK" w:cs="Times New Roman"/>
          <w:b w:val="0"/>
          <w:color w:val="auto"/>
          <w:sz w:val="32"/>
          <w:szCs w:val="32"/>
          <w:lang w:val="en-US" w:eastAsia="zh-CN"/>
        </w:rPr>
        <w:t>4</w:t>
      </w:r>
      <w:r>
        <w:rPr>
          <w:rStyle w:val="8"/>
          <w:rFonts w:hint="default" w:ascii="Times New Roman" w:hAnsi="Times New Roman" w:eastAsia="方正仿宋_GBK" w:cs="Times New Roman"/>
          <w:b w:val="0"/>
          <w:color w:val="auto"/>
          <w:sz w:val="32"/>
          <w:szCs w:val="32"/>
        </w:rPr>
        <w:t>年度无国有资本经营预算财政拨款支出。</w:t>
      </w:r>
    </w:p>
    <w:p>
      <w:pPr>
        <w:pStyle w:val="6"/>
        <w:widowControl/>
        <w:shd w:val="clear" w:color="auto" w:fill="FFFFFF"/>
        <w:wordWrap/>
        <w:adjustRightInd/>
        <w:snapToGrid/>
        <w:spacing w:beforeAutospacing="0" w:afterAutospacing="0" w:line="594" w:lineRule="exact"/>
        <w:ind w:left="0" w:leftChars="0" w:right="0" w:firstLine="643" w:firstLineChars="200"/>
        <w:jc w:val="both"/>
        <w:textAlignment w:val="auto"/>
        <w:outlineLvl w:val="9"/>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三、财政拨款“三公”经费情况说明</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eastAsia" w:ascii="Times New Roman" w:hAnsi="Times New Roman" w:eastAsia="方正仿宋_GBK" w:cs="Times New Roman"/>
          <w:b w:val="0"/>
          <w:bCs w:val="0"/>
          <w:sz w:val="32"/>
          <w:szCs w:val="32"/>
          <w:shd w:val="clear" w:color="auto" w:fill="auto"/>
          <w:lang w:eastAsia="zh-CN"/>
        </w:rPr>
      </w:pPr>
      <w:r>
        <w:rPr>
          <w:rFonts w:hint="eastAsia" w:ascii="Times New Roman" w:hAnsi="Times New Roman" w:eastAsia="方正仿宋_GBK" w:cs="Times New Roman"/>
          <w:b w:val="0"/>
          <w:bCs w:val="0"/>
          <w:color w:val="auto"/>
          <w:sz w:val="32"/>
          <w:szCs w:val="32"/>
          <w:highlight w:val="none"/>
          <w:shd w:val="clear" w:color="auto" w:fill="auto"/>
          <w:lang w:eastAsia="zh-CN"/>
        </w:rPr>
        <w:t>我单位系中国共产党重庆市渝中区委员会组织部下属正科级参公事业单位，财政未保障我单位“三公”经费。</w:t>
      </w:r>
    </w:p>
    <w:p>
      <w:pPr>
        <w:pStyle w:val="6"/>
        <w:widowControl/>
        <w:shd w:val="clear" w:color="auto" w:fill="FFFFFF"/>
        <w:wordWrap/>
        <w:adjustRightInd/>
        <w:snapToGrid/>
        <w:spacing w:beforeAutospacing="0" w:afterAutospacing="0" w:line="594" w:lineRule="exact"/>
        <w:ind w:left="0" w:leftChars="0" w:right="0" w:firstLine="643" w:firstLineChars="200"/>
        <w:jc w:val="both"/>
        <w:textAlignment w:val="auto"/>
        <w:outlineLvl w:val="9"/>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pPr>
        <w:pStyle w:val="11"/>
        <w:widowControl/>
        <w:wordWrap/>
        <w:autoSpaceDE w:val="0"/>
        <w:adjustRightInd/>
        <w:snapToGrid/>
        <w:spacing w:beforeAutospacing="0" w:afterAutospacing="0" w:line="594" w:lineRule="exact"/>
        <w:ind w:left="0" w:leftChars="0" w:right="0" w:firstLine="0" w:firstLineChars="0"/>
        <w:jc w:val="both"/>
        <w:textAlignment w:val="auto"/>
        <w:outlineLvl w:val="9"/>
        <w:rPr>
          <w:rFonts w:hint="default" w:ascii="Times New Roman" w:hAnsi="Times New Roman" w:eastAsia="楷体" w:cs="Times New Roman"/>
          <w:b w:val="0"/>
          <w:bCs w:val="0"/>
          <w:sz w:val="32"/>
          <w:szCs w:val="32"/>
          <w:shd w:val="clear" w:color="auto" w:fill="FFFFFF"/>
        </w:rPr>
      </w:pPr>
      <w:r>
        <w:rPr>
          <w:rFonts w:hint="eastAsia" w:ascii="Times New Roman" w:hAnsi="Times New Roman" w:eastAsia="楷体" w:cs="Times New Roman"/>
          <w:b w:val="0"/>
          <w:bCs w:val="0"/>
          <w:sz w:val="32"/>
          <w:szCs w:val="32"/>
          <w:shd w:val="clear" w:color="auto" w:fill="FFFFFF"/>
          <w:lang w:val="en-US" w:eastAsia="zh-CN"/>
        </w:rPr>
        <w:t xml:space="preserve">    </w:t>
      </w:r>
      <w:r>
        <w:rPr>
          <w:rFonts w:hint="default" w:ascii="Times New Roman" w:hAnsi="Times New Roman" w:eastAsia="楷体" w:cs="Times New Roman"/>
          <w:b w:val="0"/>
          <w:bCs w:val="0"/>
          <w:sz w:val="32"/>
          <w:szCs w:val="32"/>
          <w:shd w:val="clear" w:color="auto" w:fill="FFFFFF"/>
        </w:rPr>
        <w:t>（一）财政拨款会议费和培训费情况说明</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万元，与2023年度相比，无增减，主要原因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r>
        <w:rPr>
          <w:rFonts w:hint="default" w:ascii="Times New Roman" w:hAnsi="Times New Roman" w:eastAsia="方正仿宋_GBK" w:cs="Times New Roman"/>
          <w:b w:val="0"/>
          <w:bCs w:val="0"/>
          <w:sz w:val="32"/>
          <w:szCs w:val="32"/>
          <w:shd w:val="clear" w:color="auto" w:fill="FFFFFF"/>
        </w:rPr>
        <w:t>本年度培训费支出</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万元，与2023年度相比，无</w:t>
      </w:r>
      <w:r>
        <w:rPr>
          <w:rFonts w:hint="eastAsia" w:ascii="Times New Roman" w:hAnsi="Times New Roman" w:eastAsia="方正仿宋_GBK" w:cs="Times New Roman"/>
          <w:b w:val="0"/>
          <w:bCs w:val="0"/>
          <w:sz w:val="32"/>
          <w:szCs w:val="32"/>
          <w:shd w:val="clear" w:color="auto" w:fill="FFFFFF"/>
          <w:lang w:eastAsia="zh-CN"/>
        </w:rPr>
        <w:t>增减</w:t>
      </w:r>
      <w:r>
        <w:rPr>
          <w:rFonts w:hint="default" w:ascii="Times New Roman" w:hAnsi="Times New Roman" w:eastAsia="方正仿宋_GBK" w:cs="Times New Roman"/>
          <w:b w:val="0"/>
          <w:bCs w:val="0"/>
          <w:sz w:val="32"/>
          <w:szCs w:val="32"/>
          <w:shd w:val="clear" w:color="auto" w:fill="FFFFFF"/>
        </w:rPr>
        <w:t>，主要原因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p>
    <w:p>
      <w:pPr>
        <w:pStyle w:val="11"/>
        <w:widowControl/>
        <w:wordWrap/>
        <w:autoSpaceDE w:val="0"/>
        <w:adjustRightInd/>
        <w:snapToGrid/>
        <w:spacing w:beforeAutospacing="0" w:afterAutospacing="0" w:line="594" w:lineRule="exact"/>
        <w:ind w:left="0" w:leftChars="0" w:right="0" w:firstLine="643"/>
        <w:jc w:val="both"/>
        <w:textAlignment w:val="auto"/>
        <w:outlineLvl w:val="9"/>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2024年度本部门机关运行经费支出</w:t>
      </w:r>
      <w:r>
        <w:rPr>
          <w:rFonts w:hint="default" w:ascii="Times New Roman" w:hAnsi="Times New Roman" w:eastAsia="方正仿宋_GBK" w:cs="Times New Roman"/>
          <w:b w:val="0"/>
          <w:bCs w:val="0"/>
          <w:sz w:val="32"/>
          <w:szCs w:val="32"/>
        </w:rPr>
        <w:t>12.31</w:t>
      </w:r>
      <w:r>
        <w:rPr>
          <w:rFonts w:hint="default" w:ascii="Times New Roman" w:hAnsi="Times New Roman" w:eastAsia="方正仿宋_GBK" w:cs="Times New Roman"/>
          <w:b w:val="0"/>
          <w:bCs w:val="0"/>
          <w:sz w:val="32"/>
          <w:szCs w:val="32"/>
          <w:shd w:val="clear" w:color="auto" w:fill="FFFFFF"/>
        </w:rPr>
        <w:t>万元，机关运行经费</w:t>
      </w:r>
      <w:r>
        <w:rPr>
          <w:rFonts w:hint="default" w:ascii="Times New Roman" w:hAnsi="Times New Roman" w:eastAsia="方正仿宋_GBK" w:cs="Times New Roman"/>
          <w:b w:val="0"/>
          <w:bCs/>
          <w:color w:val="auto"/>
          <w:sz w:val="32"/>
          <w:szCs w:val="32"/>
        </w:rPr>
        <w:t>主要用于开支货物和服务等的各项公用经费，包括办公费、邮电费、物业管理费、差旅费、培训费、公务接待费、劳务费、工会经费、福利费、公务用车运行维护费、其他交通费用、其他商品和服务支出、办公设备购置。</w:t>
      </w:r>
      <w:r>
        <w:rPr>
          <w:rFonts w:hint="default" w:ascii="Times New Roman" w:hAnsi="Times New Roman" w:eastAsia="方正仿宋_GBK" w:cs="Times New Roman"/>
          <w:b w:val="0"/>
          <w:bCs w:val="0"/>
          <w:sz w:val="32"/>
          <w:szCs w:val="32"/>
          <w:shd w:val="clear" w:color="auto" w:fill="FFFFFF"/>
        </w:rPr>
        <w:t>机关运行经费较上年支出数增加12.31万元，增长100.0%，主要原因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color w:val="auto"/>
          <w:sz w:val="32"/>
          <w:u w:val="none" w:color="auto"/>
          <w:lang w:val="en-US" w:eastAsia="zh-CN"/>
        </w:rPr>
        <w:t>本单位</w:t>
      </w:r>
      <w:r>
        <w:rPr>
          <w:rFonts w:hint="default" w:ascii="Times New Roman" w:hAnsi="Times New Roman" w:eastAsia="方正仿宋_GBK" w:cs="Times New Roman"/>
          <w:sz w:val="32"/>
          <w:szCs w:val="32"/>
          <w:lang w:val="en-US" w:eastAsia="zh-CN"/>
        </w:rPr>
        <w:t>自2024年起从部机关剥离，</w:t>
      </w:r>
      <w:r>
        <w:rPr>
          <w:rFonts w:hint="eastAsia" w:ascii="Times New Roman" w:hAnsi="Times New Roman" w:eastAsia="方正仿宋_GBK"/>
          <w:sz w:val="32"/>
          <w:lang w:val="en-US" w:eastAsia="zh-CN"/>
        </w:rPr>
        <w:t>首次单独编制决算，上年无数据。</w:t>
      </w:r>
    </w:p>
    <w:p>
      <w:pPr>
        <w:pStyle w:val="11"/>
        <w:widowControl/>
        <w:wordWrap/>
        <w:autoSpaceDE w:val="0"/>
        <w:adjustRightInd/>
        <w:snapToGrid/>
        <w:spacing w:beforeAutospacing="0" w:afterAutospacing="0" w:line="594" w:lineRule="exact"/>
        <w:ind w:left="0" w:leftChars="0" w:right="0" w:firstLine="643"/>
        <w:jc w:val="both"/>
        <w:textAlignment w:val="auto"/>
        <w:outlineLvl w:val="9"/>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6"/>
        <w:widowControl/>
        <w:wordWrap/>
        <w:adjustRightInd/>
        <w:snapToGrid/>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color w:val="auto"/>
          <w:sz w:val="32"/>
          <w:szCs w:val="32"/>
          <w:highlight w:val="none"/>
          <w:shd w:val="clear" w:color="auto" w:fill="auto"/>
          <w:lang w:eastAsia="zh-CN"/>
        </w:rPr>
        <w:t>我单位系中国共产党重庆市渝中区委员会组织部下属正科级参公事业单位，未独立配置管理国有资产，故我单位无资产纳入部门决算报表。</w:t>
      </w:r>
    </w:p>
    <w:p>
      <w:pPr>
        <w:pStyle w:val="11"/>
        <w:widowControl/>
        <w:wordWrap/>
        <w:autoSpaceDE w:val="0"/>
        <w:adjustRightInd/>
        <w:snapToGrid/>
        <w:spacing w:beforeAutospacing="0" w:afterAutospacing="0" w:line="594" w:lineRule="exact"/>
        <w:ind w:left="0" w:leftChars="0" w:right="0" w:firstLine="643"/>
        <w:jc w:val="both"/>
        <w:textAlignment w:val="auto"/>
        <w:outlineLvl w:val="9"/>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6"/>
        <w:widowControl/>
        <w:wordWrap/>
        <w:adjustRightInd/>
        <w:snapToGrid/>
        <w:spacing w:beforeAutospacing="0" w:afterAutospacing="0" w:line="594" w:lineRule="exact"/>
        <w:ind w:right="0"/>
        <w:jc w:val="both"/>
        <w:textAlignment w:val="auto"/>
        <w:outlineLvl w:val="9"/>
        <w:rPr>
          <w:rFonts w:hint="default" w:ascii="Times New Roman" w:hAnsi="Times New Roman" w:eastAsia="方正仿宋_GBK" w:cs="Times New Roman"/>
          <w:b w:val="0"/>
          <w:bCs w:val="0"/>
          <w:color w:val="FF0000"/>
          <w:sz w:val="32"/>
          <w:szCs w:val="32"/>
          <w:shd w:val="clear" w:color="auto" w:fill="FFFFFF"/>
        </w:rPr>
      </w:pPr>
      <w:r>
        <w:rPr>
          <w:rFonts w:hint="eastAsia" w:ascii="Times New Roman" w:hAnsi="Times New Roman" w:eastAsia="方正仿宋_GBK" w:cs="Times New Roman"/>
          <w:b w:val="0"/>
          <w:bCs w:val="0"/>
          <w:color w:val="FF0000"/>
          <w:sz w:val="32"/>
          <w:szCs w:val="32"/>
          <w:shd w:val="clear" w:color="auto" w:fill="FFFFFF"/>
          <w:lang w:val="en-US" w:eastAsia="zh-CN"/>
        </w:rPr>
        <w:t xml:space="preserve">    </w:t>
      </w:r>
      <w:r>
        <w:rPr>
          <w:rFonts w:hint="default" w:ascii="Times New Roman" w:hAnsi="Times New Roman" w:eastAsia="方正仿宋_GBK" w:cs="Times New Roman"/>
          <w:b w:val="0"/>
          <w:bCs w:val="0"/>
          <w:color w:val="auto"/>
          <w:sz w:val="32"/>
          <w:szCs w:val="32"/>
          <w:shd w:val="clear" w:color="auto" w:fill="FFFFFF"/>
        </w:rPr>
        <w:t>2024年度我单位未发生政府采购事项，无相关经费支出。</w:t>
      </w:r>
    </w:p>
    <w:p>
      <w:pPr>
        <w:pStyle w:val="12"/>
        <w:widowControl/>
        <w:wordWrap/>
        <w:adjustRightInd/>
        <w:snapToGrid/>
        <w:spacing w:beforeAutospacing="0" w:afterAutospacing="0" w:line="594" w:lineRule="exact"/>
        <w:ind w:left="0" w:leftChars="0" w:right="0" w:firstLine="643" w:firstLineChars="200"/>
        <w:jc w:val="both"/>
        <w:textAlignment w:val="auto"/>
        <w:outlineLvl w:val="9"/>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五、2024年度预算绩效管理情况说明</w:t>
      </w:r>
    </w:p>
    <w:p>
      <w:pPr>
        <w:pStyle w:val="14"/>
        <w:widowControl/>
        <w:wordWrap/>
        <w:autoSpaceDE w:val="0"/>
        <w:adjustRightInd/>
        <w:snapToGrid/>
        <w:spacing w:beforeAutospacing="0" w:afterAutospacing="0" w:line="594" w:lineRule="exact"/>
        <w:ind w:left="0" w:leftChars="0" w:right="0" w:firstLine="640"/>
        <w:jc w:val="both"/>
        <w:textAlignment w:val="auto"/>
        <w:outlineLvl w:val="9"/>
        <w:rPr>
          <w:rFonts w:hint="default"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color w:val="auto"/>
          <w:sz w:val="32"/>
          <w:szCs w:val="32"/>
          <w:highlight w:val="none"/>
          <w:shd w:val="clear" w:color="auto" w:fill="auto"/>
          <w:lang w:eastAsia="zh-CN"/>
        </w:rPr>
        <w:t>我单位系中国共产党重庆市渝中区委员会组织部下属正科级参公事业单位，仅涉及基本支出经费，无项目支出经费，未独立开展预算绩效管理。</w:t>
      </w:r>
    </w:p>
    <w:p>
      <w:pPr>
        <w:pStyle w:val="6"/>
        <w:shd w:val="clear" w:color="auto" w:fill="FFFFFF"/>
        <w:wordWrap/>
        <w:adjustRightInd w:val="0"/>
        <w:snapToGrid w:val="0"/>
        <w:spacing w:beforeAutospacing="0" w:afterAutospacing="0" w:line="594" w:lineRule="exact"/>
        <w:ind w:left="0" w:leftChars="0" w:right="0"/>
        <w:jc w:val="both"/>
        <w:textAlignment w:val="auto"/>
        <w:outlineLvl w:val="9"/>
        <w:rPr>
          <w:rStyle w:val="8"/>
          <w:rFonts w:hint="default" w:ascii="Times New Roman" w:hAnsi="Times New Roman" w:eastAsia="方正仿宋_GBK" w:cs="Times New Roman"/>
          <w:b w:val="0"/>
          <w:bCs/>
          <w:color w:val="auto"/>
          <w:sz w:val="32"/>
          <w:szCs w:val="32"/>
        </w:rPr>
      </w:pPr>
      <w:r>
        <w:rPr>
          <w:rStyle w:val="15"/>
          <w:rFonts w:hint="default" w:ascii="Times New Roman" w:hAnsi="Times New Roman" w:eastAsia="方正仿宋_GBK" w:cs="Times New Roman"/>
          <w:b w:val="0"/>
          <w:bCs w:val="0"/>
          <w:sz w:val="32"/>
          <w:szCs w:val="32"/>
          <w:shd w:val="clear" w:color="auto" w:fill="FFFFFF"/>
        </w:rPr>
        <w:t xml:space="preserve">   </w:t>
      </w:r>
      <w:r>
        <w:rPr>
          <w:rStyle w:val="8"/>
          <w:rFonts w:hint="default" w:ascii="Times New Roman" w:hAnsi="Times New Roman" w:eastAsia="黑体" w:cs="Times New Roman"/>
          <w:b w:val="0"/>
          <w:bCs w:val="0"/>
          <w:sz w:val="32"/>
          <w:szCs w:val="32"/>
          <w:shd w:val="clear" w:color="auto" w:fill="FFFFFF"/>
        </w:rPr>
        <w:t xml:space="preserve"> </w:t>
      </w:r>
      <w:r>
        <w:rPr>
          <w:rStyle w:val="8"/>
          <w:rFonts w:hint="default" w:ascii="Times New Roman" w:hAnsi="Times New Roman" w:eastAsia="方正黑体_GBK" w:cs="Times New Roman"/>
          <w:b w:val="0"/>
          <w:bCs/>
          <w:color w:val="auto"/>
          <w:sz w:val="32"/>
          <w:szCs w:val="32"/>
        </w:rPr>
        <w:t>六、专业名词解释</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楷体_GBK" w:cs="Times New Roman"/>
          <w:color w:val="auto"/>
          <w:sz w:val="32"/>
          <w:szCs w:val="32"/>
        </w:rPr>
        <w:t>（一）财政拨款收入：</w:t>
      </w:r>
      <w:r>
        <w:rPr>
          <w:rFonts w:hint="default" w:ascii="Times New Roman" w:hAnsi="Times New Roman" w:eastAsia="方正仿宋_GBK" w:cs="Times New Roman"/>
          <w:color w:val="auto"/>
          <w:sz w:val="32"/>
          <w:szCs w:val="32"/>
        </w:rPr>
        <w:t>指本年度从本级财政部门取得的财政拨款，包括一般公共预算财政拨款和政府性基金预算财政拨款。</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（二）事业收入</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指事业单位开展专业业务活动及其辅助活动取得的现金流入；事业单位收到的财政专户实际核拨的教育收费等资金在此反映。</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（三）经营收入</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指事业单位在专业业务活动及其辅助活动之外开展非独立核算经营活动取得的现金流入。</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（四）其他收入</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（五）使用非财政拨款结余</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指单位在当年的“财政拨款收入”、“事业收入”、“经营收入”、“其他收入”等不足以安排当年支出的情况下，使用以前年度积累的非财政拨款结余弥补本年度收支缺口的资金。</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（六）年初结转和结余</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指单位上年结转本年使用的基本支出结转、项目支出结转和结余、经营结余。</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（七）结余分配</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指单位按照国家有关规定，缴纳所得税、提取专用基金、转入非财政拨款结余等当年结余的分配情况。</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（八）年末结转和结余</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指单位结转下年的基本支出结转、项目支出结转和结余、经营结余。</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（九）基本支出</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（十）项目支出</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指在基本支出之外为完成特定行政任务和事业发展目标所发生的支出。</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（十一）经营支出</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指事业单位在专业业务活动及其辅助活动之外开展非独立核算经营活动发生的支出。</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（十二）“三公”经费</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wordWrap/>
        <w:adjustRightInd w:val="0"/>
        <w:snapToGrid w:val="0"/>
        <w:spacing w:beforeAutospacing="0" w:afterAutospacing="0" w:line="594" w:lineRule="exact"/>
        <w:ind w:left="0" w:leftChars="0" w:right="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楷体_GBK" w:cs="Times New Roman"/>
          <w:b w:val="0"/>
          <w:color w:val="auto"/>
          <w:sz w:val="32"/>
          <w:szCs w:val="32"/>
        </w:rPr>
        <w:t>（十三）机关运行经费</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（十四）工资福利支出（支出经济分类科目类级）</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反映单位开支的在职职工和编制外长期聘用人员的各类劳动报酬，以及为上述人员缴纳的各项社会保险费等。</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（十五）商品和服务支出（支出经济分类科目类级）</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反映单位购买商品和服务的支出（不包括用于购置固定资产的支出、战略性和应急储备支出）。</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（十六）对个人和家庭的补助（支出经济分类科目类级）</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反映用于对个人和家庭的补助支出。</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楷体_GBK" w:cs="Times New Roman"/>
          <w:b w:val="0"/>
          <w:color w:val="auto"/>
          <w:sz w:val="32"/>
          <w:szCs w:val="32"/>
        </w:rPr>
        <w:t>（十七）其他资本性支出（支出经济分类科目类级）</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反映非各级发展与改革部门集中安排的用于购置固定资产、战略性和应急性储备、土地和无形资产，以及构建基础设施、大型修缮和财政支持企业更新改造所发生的支出。</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8"/>
          <w:rFonts w:hint="default" w:ascii="Times New Roman" w:hAnsi="Times New Roman" w:eastAsia="方正楷体_GBK" w:cs="Times New Roman"/>
          <w:b w:val="0"/>
          <w:color w:val="auto"/>
          <w:sz w:val="32"/>
          <w:szCs w:val="32"/>
        </w:rPr>
        <w:t>（十八）一般行政管理事务（支出功能分类科目项级）：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反映行政单位（包括实行公务员管理的事业单位）未单独设置项级科目的其他项目支出。</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8"/>
          <w:rFonts w:hint="default" w:ascii="Times New Roman" w:hAnsi="Times New Roman" w:eastAsia="方正楷体_GBK" w:cs="Times New Roman"/>
          <w:b w:val="0"/>
          <w:color w:val="auto"/>
          <w:sz w:val="32"/>
          <w:szCs w:val="32"/>
        </w:rPr>
        <w:t>（十九）行政运行（支出功能分类科目项级）：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反映行政单位（包括实行公务员管理的事业单位）的基本支出。</w:t>
      </w:r>
    </w:p>
    <w:p>
      <w:pPr>
        <w:pStyle w:val="12"/>
        <w:widowControl w:val="0"/>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Style w:val="17"/>
          <w:rFonts w:hint="default" w:ascii="Times New Roman" w:hAnsi="Times New Roman" w:eastAsia="方正楷体_GBK" w:cs="Times New Roman"/>
          <w:b w:val="0"/>
          <w:color w:val="auto"/>
          <w:sz w:val="32"/>
          <w:szCs w:val="32"/>
          <w:shd w:val="clear" w:color="auto" w:fill="FFFFFF"/>
        </w:rPr>
        <w:t>（二十）行政单位离退休（支出功能分类科目项级）：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反映行政单位（包括实行公务员管理的事业单位）开支的离退休经费</w:t>
      </w:r>
      <w:r>
        <w:rPr>
          <w:rFonts w:hint="default" w:ascii="Times New Roman" w:hAnsi="Times New Roman" w:eastAsia="仿宋" w:cs="Times New Roman"/>
          <w:color w:val="auto"/>
          <w:sz w:val="32"/>
          <w:szCs w:val="32"/>
          <w:shd w:val="clear" w:color="auto" w:fill="FFFFFF"/>
        </w:rPr>
        <w:t>。</w:t>
      </w:r>
    </w:p>
    <w:p>
      <w:pPr>
        <w:pStyle w:val="12"/>
        <w:widowControl w:val="0"/>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17"/>
          <w:rFonts w:hint="default" w:ascii="Times New Roman" w:hAnsi="Times New Roman" w:eastAsia="方正楷体_GBK" w:cs="Times New Roman"/>
          <w:b w:val="0"/>
          <w:color w:val="auto"/>
          <w:sz w:val="32"/>
          <w:szCs w:val="32"/>
          <w:shd w:val="clear" w:color="auto" w:fill="FFFFFF"/>
        </w:rPr>
        <w:t>（二十一）机关事业单位基本养老保险缴费支出（支出功能分类科目项级）：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反映机关事业单位实施养老保险制度由本单位缴纳的基本养老保险支出。</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17"/>
          <w:rFonts w:hint="default" w:ascii="Times New Roman" w:hAnsi="Times New Roman" w:eastAsia="方正楷体_GBK" w:cs="Times New Roman"/>
          <w:b w:val="0"/>
          <w:color w:val="auto"/>
          <w:sz w:val="32"/>
          <w:szCs w:val="32"/>
          <w:shd w:val="clear" w:color="auto" w:fill="FFFFFF"/>
        </w:rPr>
        <w:t>（二十二）机关事业单位职业年金缴费支出（支出功能分类科目项级）：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反映机关事业单位实施养老保险制度由本单位缴纳的职业年金支出</w:t>
      </w:r>
      <w:r>
        <w:rPr>
          <w:rFonts w:hint="default" w:ascii="Times New Roman" w:hAnsi="Times New Roman" w:eastAsia="仿宋" w:cs="Times New Roman"/>
          <w:color w:val="auto"/>
          <w:sz w:val="32"/>
          <w:szCs w:val="32"/>
          <w:shd w:val="clear" w:color="auto" w:fill="FFFFFF"/>
        </w:rPr>
        <w:t>。</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8"/>
          <w:rFonts w:hint="default" w:ascii="Times New Roman" w:hAnsi="Times New Roman" w:eastAsia="方正楷体_GBK" w:cs="Times New Roman"/>
          <w:b w:val="0"/>
          <w:color w:val="auto"/>
          <w:sz w:val="32"/>
          <w:szCs w:val="32"/>
          <w:shd w:val="clear" w:color="auto" w:fill="FFFFFF"/>
        </w:rPr>
        <w:t>（</w:t>
      </w:r>
      <w:r>
        <w:rPr>
          <w:rStyle w:val="17"/>
          <w:rFonts w:hint="default" w:ascii="Times New Roman" w:hAnsi="Times New Roman" w:eastAsia="方正楷体_GBK" w:cs="Times New Roman"/>
          <w:b w:val="0"/>
          <w:color w:val="auto"/>
          <w:sz w:val="32"/>
          <w:szCs w:val="32"/>
          <w:shd w:val="clear" w:color="auto" w:fill="FFFFFF"/>
        </w:rPr>
        <w:t>二十三</w:t>
      </w:r>
      <w:r>
        <w:rPr>
          <w:rStyle w:val="8"/>
          <w:rFonts w:hint="default" w:ascii="Times New Roman" w:hAnsi="Times New Roman" w:eastAsia="方正楷体_GBK" w:cs="Times New Roman"/>
          <w:b w:val="0"/>
          <w:color w:val="auto"/>
          <w:sz w:val="32"/>
          <w:szCs w:val="32"/>
          <w:shd w:val="clear" w:color="auto" w:fill="FFFFFF"/>
        </w:rPr>
        <w:t>）其他城市生活救助</w:t>
      </w:r>
      <w:r>
        <w:rPr>
          <w:rStyle w:val="17"/>
          <w:rFonts w:hint="default" w:ascii="Times New Roman" w:hAnsi="Times New Roman" w:eastAsia="方正楷体_GBK" w:cs="Times New Roman"/>
          <w:b w:val="0"/>
          <w:color w:val="auto"/>
          <w:sz w:val="32"/>
          <w:szCs w:val="32"/>
          <w:shd w:val="clear" w:color="auto" w:fill="FFFFFF"/>
        </w:rPr>
        <w:t>（支出功能分类科目项级）</w:t>
      </w:r>
      <w:r>
        <w:rPr>
          <w:rFonts w:hint="default" w:ascii="Times New Roman" w:hAnsi="Times New Roman" w:eastAsia="方正楷体_GBK" w:cs="Times New Roman"/>
          <w:b/>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反映除最低生活保障、临时救助、特困人员救助供养外，用于城市生活困难居民生活救助的其他支出，包括用于除优抚对象、失业人员之外城市生活困难居民的价格临时补贴支出。</w:t>
      </w:r>
    </w:p>
    <w:p>
      <w:pPr>
        <w:pStyle w:val="12"/>
        <w:widowControl w:val="0"/>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仿宋" w:cs="Times New Roman"/>
          <w:color w:val="auto"/>
          <w:sz w:val="32"/>
          <w:szCs w:val="32"/>
          <w:shd w:val="clear" w:color="auto" w:fill="FFFFFF"/>
        </w:rPr>
      </w:pPr>
      <w:r>
        <w:rPr>
          <w:rStyle w:val="17"/>
          <w:rFonts w:hint="default" w:ascii="Times New Roman" w:hAnsi="Times New Roman" w:eastAsia="方正楷体_GBK" w:cs="Times New Roman"/>
          <w:b w:val="0"/>
          <w:color w:val="auto"/>
          <w:sz w:val="32"/>
          <w:szCs w:val="32"/>
          <w:shd w:val="clear" w:color="auto" w:fill="FFFFFF"/>
        </w:rPr>
        <w:t>（二十四）行政单位医疗（支出功能分类科目项级）：</w:t>
      </w:r>
      <w:r>
        <w:rPr>
          <w:rFonts w:hint="default" w:ascii="Times New Roman" w:hAnsi="Times New Roman" w:eastAsia="方正仿宋_GBK" w:cs="Times New Roman"/>
          <w:color w:val="auto"/>
          <w:sz w:val="32"/>
          <w:szCs w:val="32"/>
          <w:shd w:val="clear" w:color="auto" w:fill="FFFFFF"/>
        </w:rPr>
        <w:t>反映财政部门安排的行政单位（包括实行公务员管理的事业单位）基本医疗保险缴费经费，未参加医疗保险的行政单位的公费医疗经费，按国家规定享受离休人员、红军老战士待遇人员的医疗经费。</w:t>
      </w:r>
    </w:p>
    <w:p>
      <w:pPr>
        <w:pStyle w:val="12"/>
        <w:widowControl w:val="0"/>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Style w:val="17"/>
          <w:rFonts w:hint="default" w:ascii="Times New Roman" w:hAnsi="Times New Roman" w:eastAsia="方正楷体_GBK" w:cs="Times New Roman"/>
          <w:b w:val="0"/>
          <w:color w:val="auto"/>
          <w:sz w:val="32"/>
          <w:szCs w:val="32"/>
          <w:shd w:val="clear" w:color="auto" w:fill="FFFFFF"/>
        </w:rPr>
        <w:t>（二十五）住房公积金（支出功能分类科目项级）</w:t>
      </w:r>
      <w:r>
        <w:rPr>
          <w:rStyle w:val="17"/>
          <w:rFonts w:hint="default" w:ascii="Times New Roman" w:hAnsi="Times New Roman" w:eastAsia="楷体" w:cs="Times New Roman"/>
          <w:b w:val="0"/>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反映行政事业单位按人力资源和社会保障部、财政部规定的基本工资和津补贴以及规定比例为职工缴纳的住房公积金。</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Style w:val="17"/>
          <w:rFonts w:hint="default" w:ascii="Times New Roman" w:hAnsi="Times New Roman" w:eastAsia="方正楷体_GBK" w:cs="Times New Roman"/>
          <w:b w:val="0"/>
          <w:color w:val="auto"/>
          <w:sz w:val="32"/>
          <w:szCs w:val="32"/>
          <w:shd w:val="clear" w:color="auto" w:fill="FFFFFF"/>
        </w:rPr>
        <w:t>（二十六）购房补贴（支出功能分类科目项级）：</w:t>
      </w:r>
      <w:r>
        <w:rPr>
          <w:rFonts w:hint="default" w:ascii="Times New Roman" w:hAnsi="Times New Roman" w:eastAsia="方正仿宋_GBK" w:cs="Times New Roman"/>
          <w:color w:val="auto"/>
          <w:sz w:val="32"/>
          <w:szCs w:val="32"/>
          <w:shd w:val="clear" w:color="auto" w:fill="FFFFFF"/>
        </w:rPr>
        <w:t>反映按房改政策规定，行政事业单位向符合条件职工（含离退休人员）、军队（含武警）向转役复员离退休人员发放的用于购买住房的补贴。</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楷体_GBK" w:cs="Times New Roman"/>
          <w:b w:val="0"/>
          <w:color w:val="auto"/>
          <w:sz w:val="32"/>
          <w:szCs w:val="32"/>
        </w:rPr>
        <w:t>（二十七）事业运行（支出功能分类科目项级）：</w:t>
      </w:r>
      <w:r>
        <w:rPr>
          <w:rFonts w:hint="default" w:ascii="Times New Roman" w:hAnsi="Times New Roman" w:eastAsia="方正仿宋_GBK" w:cs="Times New Roman"/>
          <w:color w:val="auto"/>
          <w:sz w:val="32"/>
          <w:szCs w:val="32"/>
          <w:shd w:val="clear" w:color="auto" w:fill="FFFFFF"/>
        </w:rPr>
        <w:t>反映事业单位的基本支出，不包括行政单位（包括实行公务员管理的事业单位）后勤服务中心、医务室等附属事业单位。</w:t>
      </w:r>
    </w:p>
    <w:p>
      <w:pPr>
        <w:pStyle w:val="6"/>
        <w:wordWrap/>
        <w:adjustRightInd w:val="0"/>
        <w:snapToGrid w:val="0"/>
        <w:spacing w:beforeAutospacing="0" w:afterAutospacing="0" w:line="594"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Style w:val="17"/>
          <w:rFonts w:hint="default" w:ascii="Times New Roman" w:hAnsi="Times New Roman" w:eastAsia="方正楷体_GBK" w:cs="Times New Roman"/>
          <w:b w:val="0"/>
          <w:color w:val="auto"/>
          <w:sz w:val="32"/>
          <w:szCs w:val="32"/>
          <w:shd w:val="clear" w:color="auto" w:fill="FFFFFF"/>
        </w:rPr>
        <w:t>（二十八）事业单位医疗（支出功能分类科目项级）：</w:t>
      </w:r>
      <w:r>
        <w:rPr>
          <w:rFonts w:hint="default" w:ascii="Times New Roman" w:hAnsi="Times New Roman" w:eastAsia="方正仿宋_GBK" w:cs="Times New Roman"/>
          <w:color w:val="auto"/>
          <w:sz w:val="32"/>
          <w:szCs w:val="32"/>
          <w:shd w:val="clear" w:color="auto" w:fill="FFFFFF"/>
        </w:rPr>
        <w:t>反映财政部门安排的事业单位基本医疗保险缴费经费，未参加医疗保险的事业单位的公费医疗经费，按国家规定享受离休人员待遇的医疗经费。</w:t>
      </w:r>
    </w:p>
    <w:p>
      <w:pPr>
        <w:pStyle w:val="6"/>
        <w:shd w:val="clear" w:color="auto" w:fill="FFFFFF"/>
        <w:wordWrap/>
        <w:adjustRightInd w:val="0"/>
        <w:snapToGrid w:val="0"/>
        <w:spacing w:beforeAutospacing="0" w:afterAutospacing="0" w:line="594" w:lineRule="exact"/>
        <w:ind w:left="0" w:leftChars="0" w:right="0"/>
        <w:jc w:val="both"/>
        <w:textAlignment w:val="auto"/>
        <w:outlineLvl w:val="9"/>
        <w:rPr>
          <w:rStyle w:val="8"/>
          <w:rFonts w:hint="default" w:ascii="Times New Roman" w:hAnsi="Times New Roman" w:eastAsia="方正仿宋_GBK" w:cs="Times New Roman"/>
          <w:b w:val="0"/>
          <w:color w:val="auto"/>
          <w:sz w:val="32"/>
          <w:szCs w:val="32"/>
        </w:rPr>
      </w:pPr>
      <w:r>
        <w:rPr>
          <w:rStyle w:val="8"/>
          <w:rFonts w:hint="default" w:ascii="Times New Roman" w:hAnsi="Times New Roman" w:eastAsia="方正仿宋_GBK" w:cs="Times New Roman"/>
          <w:b w:val="0"/>
          <w:color w:val="auto"/>
          <w:sz w:val="32"/>
          <w:szCs w:val="32"/>
        </w:rPr>
        <w:t xml:space="preserve">     </w:t>
      </w:r>
      <w:r>
        <w:rPr>
          <w:rStyle w:val="8"/>
          <w:rFonts w:hint="default" w:ascii="Times New Roman" w:hAnsi="Times New Roman" w:eastAsia="方正黑体_GBK" w:cs="Times New Roman"/>
          <w:b w:val="0"/>
          <w:color w:val="auto"/>
          <w:sz w:val="32"/>
          <w:szCs w:val="32"/>
        </w:rPr>
        <w:t>七、决算公开联系方式及信息反馈渠道</w:t>
      </w:r>
    </w:p>
    <w:p>
      <w:pPr>
        <w:widowControl w:val="0"/>
        <w:wordWrap/>
        <w:adjustRightInd w:val="0"/>
        <w:snapToGrid w:val="0"/>
        <w:spacing w:line="594" w:lineRule="exact"/>
        <w:ind w:left="0" w:leftChars="0" w:right="0"/>
        <w:jc w:val="both"/>
        <w:textAlignment w:val="auto"/>
        <w:outlineLvl w:val="9"/>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sz w:val="32"/>
          <w:szCs w:val="32"/>
        </w:rPr>
        <w:t xml:space="preserve">    本单位决算公开信息反馈和联系方式：</w:t>
      </w:r>
    </w:p>
    <w:p>
      <w:pPr>
        <w:pStyle w:val="12"/>
        <w:widowControl/>
        <w:wordWrap/>
        <w:adjustRightInd/>
        <w:snapToGrid/>
        <w:spacing w:beforeAutospacing="0" w:afterAutospacing="0" w:line="594" w:lineRule="exact"/>
        <w:ind w:left="0" w:leftChars="0" w:right="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color w:val="auto"/>
          <w:kern w:val="2"/>
          <w:sz w:val="32"/>
          <w:szCs w:val="32"/>
          <w:lang w:val="en-US" w:eastAsia="zh-CN"/>
        </w:rPr>
        <w:t xml:space="preserve">    </w:t>
      </w:r>
      <w:r>
        <w:rPr>
          <w:rFonts w:hint="default" w:ascii="Times New Roman" w:hAnsi="Times New Roman" w:eastAsia="方正仿宋_GBK" w:cs="Times New Roman"/>
          <w:color w:val="auto"/>
          <w:kern w:val="2"/>
          <w:sz w:val="32"/>
          <w:szCs w:val="32"/>
        </w:rPr>
        <w:t>联系人：雷雨    联系电话：</w:t>
      </w:r>
      <w:r>
        <w:rPr>
          <w:rFonts w:hint="default" w:ascii="Times New Roman" w:hAnsi="Times New Roman" w:eastAsia="方正仿宋_GBK" w:cs="Times New Roman"/>
          <w:color w:val="auto"/>
          <w:sz w:val="32"/>
          <w:szCs w:val="32"/>
        </w:rPr>
        <w:t>023-63765203</w:t>
      </w:r>
    </w:p>
    <w:p>
      <w:pPr>
        <w:rPr>
          <w:rFonts w:hint="default" w:cs="宋体"/>
          <w:sz w:val="18"/>
          <w:szCs w:val="18"/>
        </w:rPr>
      </w:pPr>
      <w:bookmarkStart w:id="0" w:name="_GoBack"/>
      <w:bookmarkEnd w:id="0"/>
    </w:p>
    <w:sectPr>
      <w:footerReference r:id="rId4" w:type="default"/>
      <w:pgSz w:w="11915" w:h="16840"/>
      <w:pgMar w:top="1814"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hint="default"/>
      </w:rPr>
    </w:pPr>
    <w:r>
      <w:rPr>
        <w:rFonts w:hint="default" w:ascii="宋体" w:hAnsi="宋体" w:eastAsia="宋体" w:cs="Times New Roman"/>
        <w:sz w:val="18"/>
        <w:szCs w:val="18"/>
        <w:lang w:val="en-US" w:eastAsia="zh-CN" w:bidi="ar-SA"/>
      </w:rPr>
      <w:pict>
        <v:shape id="Quad Arrow 2" o:spid="_x0000_s1025"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164B42"/>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7C7DA5"/>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72698"/>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AF4714"/>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4">
    <w:name w:val="列出段落3"/>
    <w:basedOn w:val="1"/>
    <w:qFormat/>
    <w:uiPriority w:val="99"/>
    <w:pPr>
      <w:ind w:firstLine="420" w:firstLineChars="200"/>
    </w:pPr>
  </w:style>
  <w:style w:type="character" w:customStyle="1" w:styleId="15">
    <w:name w:val="21"/>
    <w:qFormat/>
    <w:uiPriority w:val="0"/>
    <w:rPr>
      <w:rFonts w:hint="default" w:ascii="Wingdings" w:hAnsi="Wingdings" w:cs="Wingdings"/>
      <w:b/>
      <w:bCs/>
    </w:rPr>
  </w:style>
  <w:style w:type="character" w:customStyle="1" w:styleId="16">
    <w:name w:val="批注框文本 Char"/>
    <w:basedOn w:val="7"/>
    <w:link w:val="2"/>
    <w:qFormat/>
    <w:uiPriority w:val="0"/>
    <w:rPr>
      <w:rFonts w:ascii="宋体" w:hAnsi="宋体"/>
      <w:sz w:val="18"/>
      <w:szCs w:val="18"/>
    </w:rPr>
  </w:style>
  <w:style w:type="character" w:customStyle="1" w:styleId="17">
    <w:name w:val="1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4032</Words>
  <Characters>22989</Characters>
  <Lines>191</Lines>
  <Paragraphs>53</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HP</cp:lastModifiedBy>
  <dcterms:modified xsi:type="dcterms:W3CDTF">2025-10-17T09:09:51Z</dcterms:modified>
  <dc:title>本部门及下属单位公开内容真实、准确、完整，不存在意识形态问题。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