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88" w:rsidRDefault="001E5FD6">
      <w:pPr>
        <w:spacing w:line="600"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sz w:val="44"/>
          <w:szCs w:val="44"/>
        </w:rPr>
        <w:t>关于《</w:t>
      </w:r>
      <w:r>
        <w:rPr>
          <w:rFonts w:ascii="Times New Roman" w:eastAsia="方正小标宋_GBK" w:hAnsi="Times New Roman" w:cs="Times New Roman"/>
          <w:color w:val="000000" w:themeColor="text1"/>
          <w:sz w:val="44"/>
          <w:szCs w:val="44"/>
        </w:rPr>
        <w:t>重庆市</w:t>
      </w:r>
      <w:r>
        <w:rPr>
          <w:rFonts w:ascii="Times New Roman" w:eastAsia="方正小标宋_GBK" w:hAnsi="Times New Roman" w:cs="Times New Roman" w:hint="eastAsia"/>
          <w:color w:val="000000" w:themeColor="text1"/>
          <w:sz w:val="44"/>
          <w:szCs w:val="44"/>
        </w:rPr>
        <w:t>渝中区</w:t>
      </w:r>
      <w:r>
        <w:rPr>
          <w:rFonts w:ascii="Times New Roman" w:eastAsia="方正小标宋_GBK" w:hAnsi="Times New Roman" w:cs="Times New Roman"/>
          <w:color w:val="000000" w:themeColor="text1"/>
          <w:sz w:val="44"/>
          <w:szCs w:val="44"/>
        </w:rPr>
        <w:t>人民政府办公室关于调整渝中区国有土地上住宅房屋征收奖励政策的通知</w:t>
      </w:r>
      <w:r>
        <w:rPr>
          <w:rFonts w:ascii="Times New Roman" w:eastAsia="方正小标宋_GBK" w:hAnsi="Times New Roman" w:cs="Times New Roman"/>
          <w:sz w:val="44"/>
          <w:szCs w:val="44"/>
        </w:rPr>
        <w:t>》的政策解读</w:t>
      </w:r>
      <w:bookmarkEnd w:id="0"/>
    </w:p>
    <w:p w:rsidR="00BE1C88" w:rsidRDefault="00BE1C88">
      <w:pPr>
        <w:spacing w:line="600" w:lineRule="exact"/>
        <w:jc w:val="center"/>
        <w:rPr>
          <w:rFonts w:ascii="Times New Roman" w:eastAsia="方正小标宋_GBK" w:hAnsi="Times New Roman" w:cs="Times New Roman"/>
          <w:sz w:val="44"/>
          <w:szCs w:val="44"/>
        </w:rPr>
      </w:pPr>
    </w:p>
    <w:p w:rsidR="00BE1C88" w:rsidRDefault="001E5FD6">
      <w:pPr>
        <w:pStyle w:val="a5"/>
        <w:widowControl/>
        <w:spacing w:line="600" w:lineRule="exact"/>
        <w:ind w:firstLine="42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color w:val="000000" w:themeColor="text1"/>
          <w:sz w:val="32"/>
          <w:szCs w:val="32"/>
        </w:rPr>
        <w:t>重庆市渝中区人民政府办公室关于调整渝中区国有土地上住宅房屋征收奖励政策的通知</w:t>
      </w:r>
      <w:r>
        <w:rPr>
          <w:rFonts w:ascii="Times New Roman" w:eastAsia="方正仿宋_GBK" w:hAnsi="Times New Roman"/>
          <w:sz w:val="32"/>
          <w:szCs w:val="32"/>
        </w:rPr>
        <w:t>》</w:t>
      </w:r>
      <w:r>
        <w:rPr>
          <w:rFonts w:ascii="Times New Roman" w:eastAsia="方正仿宋_GBK" w:hAnsi="Times New Roman" w:hint="eastAsia"/>
          <w:sz w:val="32"/>
          <w:szCs w:val="32"/>
        </w:rPr>
        <w:t>（以下简称《通知》）</w:t>
      </w:r>
      <w:r>
        <w:rPr>
          <w:rFonts w:ascii="方正仿宋_GBK" w:eastAsia="方正仿宋_GBK" w:hAnsi="方正仿宋_GBK" w:cs="方正仿宋_GBK"/>
          <w:color w:val="333333"/>
          <w:sz w:val="31"/>
          <w:szCs w:val="31"/>
        </w:rPr>
        <w:t>已经重庆市</w:t>
      </w:r>
      <w:r>
        <w:rPr>
          <w:rFonts w:ascii="方正仿宋_GBK" w:eastAsia="方正仿宋_GBK" w:hAnsi="方正仿宋_GBK" w:cs="方正仿宋_GBK" w:hint="eastAsia"/>
          <w:color w:val="333333"/>
          <w:sz w:val="31"/>
          <w:szCs w:val="31"/>
        </w:rPr>
        <w:t>渝中</w:t>
      </w:r>
      <w:r>
        <w:rPr>
          <w:rFonts w:ascii="方正仿宋_GBK" w:eastAsia="方正仿宋_GBK" w:hAnsi="方正仿宋_GBK" w:cs="方正仿宋_GBK"/>
          <w:color w:val="333333"/>
          <w:sz w:val="31"/>
          <w:szCs w:val="31"/>
        </w:rPr>
        <w:t>区人民</w:t>
      </w:r>
      <w:r>
        <w:rPr>
          <w:rFonts w:ascii="Times New Roman" w:eastAsia="方正仿宋_GBK" w:hAnsi="Times New Roman"/>
          <w:color w:val="000000" w:themeColor="text1"/>
          <w:sz w:val="32"/>
          <w:szCs w:val="32"/>
        </w:rPr>
        <w:t>政府批准，并于</w:t>
      </w:r>
      <w:r>
        <w:rPr>
          <w:rFonts w:ascii="Times New Roman" w:eastAsia="方正仿宋_GBK" w:hAnsi="Times New Roman"/>
          <w:color w:val="000000" w:themeColor="text1"/>
          <w:sz w:val="32"/>
          <w:szCs w:val="32"/>
        </w:rPr>
        <w:t>2021</w:t>
      </w:r>
      <w:r>
        <w:rPr>
          <w:rFonts w:ascii="Times New Roman" w:eastAsia="方正仿宋_GBK" w:hAnsi="Times New Roman" w:hint="eastAsia"/>
          <w:color w:val="000000" w:themeColor="text1"/>
          <w:sz w:val="32"/>
          <w:szCs w:val="32"/>
        </w:rPr>
        <w:t>年</w:t>
      </w:r>
      <w:r>
        <w:rPr>
          <w:rFonts w:ascii="Times New Roman" w:eastAsia="方正仿宋_GBK" w:hAnsi="Times New Roman" w:hint="eastAsia"/>
          <w:color w:val="000000" w:themeColor="text1"/>
          <w:sz w:val="32"/>
          <w:szCs w:val="32"/>
        </w:rPr>
        <w:t>3</w:t>
      </w:r>
      <w:r>
        <w:rPr>
          <w:rFonts w:ascii="Times New Roman" w:eastAsia="方正仿宋_GBK" w:hAnsi="Times New Roman" w:hint="eastAsia"/>
          <w:color w:val="000000" w:themeColor="text1"/>
          <w:sz w:val="32"/>
          <w:szCs w:val="32"/>
        </w:rPr>
        <w:t>月</w:t>
      </w:r>
      <w:r>
        <w:rPr>
          <w:rFonts w:ascii="Times New Roman" w:eastAsia="方正仿宋_GBK" w:hAnsi="Times New Roman" w:hint="eastAsia"/>
          <w:color w:val="000000" w:themeColor="text1"/>
          <w:sz w:val="32"/>
          <w:szCs w:val="32"/>
        </w:rPr>
        <w:t>3</w:t>
      </w:r>
      <w:r>
        <w:rPr>
          <w:rFonts w:ascii="Times New Roman" w:eastAsia="方正仿宋_GBK" w:hAnsi="Times New Roman" w:hint="eastAsia"/>
          <w:color w:val="000000" w:themeColor="text1"/>
          <w:sz w:val="32"/>
          <w:szCs w:val="32"/>
        </w:rPr>
        <w:t>日印发（渝中府办发〔</w:t>
      </w:r>
      <w:r>
        <w:rPr>
          <w:rFonts w:ascii="Times New Roman" w:eastAsia="方正仿宋_GBK" w:hAnsi="Times New Roman" w:hint="eastAsia"/>
          <w:color w:val="000000" w:themeColor="text1"/>
          <w:sz w:val="32"/>
          <w:szCs w:val="32"/>
        </w:rPr>
        <w:t>2021</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4</w:t>
      </w:r>
      <w:r>
        <w:rPr>
          <w:rFonts w:ascii="Times New Roman" w:eastAsia="方正仿宋_GBK" w:hAnsi="Times New Roman" w:hint="eastAsia"/>
          <w:color w:val="000000" w:themeColor="text1"/>
          <w:sz w:val="32"/>
          <w:szCs w:val="32"/>
        </w:rPr>
        <w:t>号）。为</w:t>
      </w:r>
      <w:r>
        <w:rPr>
          <w:rFonts w:ascii="Times New Roman" w:eastAsia="方正仿宋_GBK" w:hAnsi="Times New Roman"/>
          <w:color w:val="000000" w:themeColor="text1"/>
          <w:sz w:val="32"/>
          <w:szCs w:val="32"/>
        </w:rPr>
        <w:t>便于社会公众广泛知晓《</w:t>
      </w:r>
      <w:r>
        <w:rPr>
          <w:rFonts w:ascii="Times New Roman" w:eastAsia="方正仿宋_GBK" w:hAnsi="Times New Roman" w:hint="eastAsia"/>
          <w:color w:val="000000" w:themeColor="text1"/>
          <w:sz w:val="32"/>
          <w:szCs w:val="32"/>
        </w:rPr>
        <w:t>通知</w:t>
      </w:r>
      <w:r>
        <w:rPr>
          <w:rFonts w:ascii="Times New Roman" w:eastAsia="方正仿宋_GBK" w:hAnsi="Times New Roman"/>
          <w:color w:val="000000" w:themeColor="text1"/>
          <w:sz w:val="32"/>
          <w:szCs w:val="32"/>
        </w:rPr>
        <w:t>》内容，正确理解执行，现对其内容</w:t>
      </w:r>
      <w:proofErr w:type="gramStart"/>
      <w:r>
        <w:rPr>
          <w:rFonts w:ascii="Times New Roman" w:eastAsia="方正仿宋_GBK" w:hAnsi="Times New Roman"/>
          <w:color w:val="000000" w:themeColor="text1"/>
          <w:sz w:val="32"/>
          <w:szCs w:val="32"/>
        </w:rPr>
        <w:t>作出</w:t>
      </w:r>
      <w:proofErr w:type="gramEnd"/>
      <w:r>
        <w:rPr>
          <w:rFonts w:ascii="Times New Roman" w:eastAsia="方正仿宋_GBK" w:hAnsi="Times New Roman"/>
          <w:color w:val="000000" w:themeColor="text1"/>
          <w:sz w:val="32"/>
          <w:szCs w:val="32"/>
        </w:rPr>
        <w:t>解读</w:t>
      </w:r>
      <w:r>
        <w:rPr>
          <w:rFonts w:ascii="Times New Roman" w:eastAsia="方正仿宋_GBK" w:hAnsi="Times New Roman" w:hint="eastAsia"/>
          <w:color w:val="000000" w:themeColor="text1"/>
          <w:sz w:val="32"/>
          <w:szCs w:val="32"/>
        </w:rPr>
        <w:t>。</w:t>
      </w:r>
    </w:p>
    <w:p w:rsidR="00BE1C88" w:rsidRDefault="001E5FD6">
      <w:pPr>
        <w:spacing w:line="600" w:lineRule="exact"/>
        <w:ind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一、制定背景</w:t>
      </w:r>
      <w:r>
        <w:rPr>
          <w:rFonts w:ascii="Times New Roman" w:eastAsia="方正黑体_GBK" w:hAnsi="Times New Roman" w:cs="Times New Roman" w:hint="eastAsia"/>
          <w:sz w:val="32"/>
          <w:szCs w:val="32"/>
        </w:rPr>
        <w:t>和过程</w:t>
      </w:r>
    </w:p>
    <w:p w:rsidR="00BE1C88" w:rsidRDefault="001E5FD6">
      <w:pPr>
        <w:pStyle w:val="a5"/>
        <w:widowControl/>
        <w:spacing w:line="45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为更好</w:t>
      </w:r>
      <w:r>
        <w:rPr>
          <w:rFonts w:ascii="Times New Roman" w:eastAsia="方正仿宋_GBK" w:hAnsi="Times New Roman"/>
          <w:sz w:val="32"/>
          <w:szCs w:val="32"/>
        </w:rPr>
        <w:t>增进民生福祉</w:t>
      </w:r>
      <w:r>
        <w:rPr>
          <w:rFonts w:ascii="Times New Roman" w:eastAsia="方正仿宋_GBK" w:hAnsi="Times New Roman" w:hint="eastAsia"/>
          <w:sz w:val="32"/>
          <w:szCs w:val="32"/>
        </w:rPr>
        <w:t>，倡导货币化安置，满足多样化居住需求，从源头上减少征收矛盾，渝中区住建委、区征收中心牵头</w:t>
      </w:r>
      <w:r>
        <w:rPr>
          <w:rFonts w:ascii="Times New Roman" w:eastAsia="方正仿宋_GBK" w:hAnsi="Times New Roman" w:hint="eastAsia"/>
          <w:sz w:val="32"/>
          <w:szCs w:val="32"/>
        </w:rPr>
        <w:t>对</w:t>
      </w:r>
      <w:r>
        <w:rPr>
          <w:rFonts w:ascii="Times New Roman" w:eastAsia="方正仿宋_GBK" w:hAnsi="Times New Roman" w:hint="eastAsia"/>
          <w:sz w:val="32"/>
          <w:szCs w:val="32"/>
        </w:rPr>
        <w:t>渝中区国有土地上住宅房屋征收奖励政策</w:t>
      </w:r>
      <w:r>
        <w:rPr>
          <w:rFonts w:ascii="Times New Roman" w:eastAsia="方正仿宋_GBK" w:hAnsi="Times New Roman" w:hint="eastAsia"/>
          <w:sz w:val="32"/>
          <w:szCs w:val="32"/>
        </w:rPr>
        <w:t>进行论证完善</w:t>
      </w:r>
      <w:r>
        <w:rPr>
          <w:rFonts w:ascii="Times New Roman" w:eastAsia="方正仿宋_GBK" w:hAnsi="Times New Roman" w:hint="eastAsia"/>
          <w:sz w:val="32"/>
          <w:szCs w:val="32"/>
        </w:rPr>
        <w:t>，</w:t>
      </w:r>
      <w:r>
        <w:rPr>
          <w:rFonts w:ascii="Times New Roman" w:eastAsia="方正仿宋_GBK" w:hAnsi="Times New Roman"/>
          <w:sz w:val="32"/>
          <w:szCs w:val="32"/>
        </w:rPr>
        <w:t>结合区情及周边区县政策情况</w:t>
      </w:r>
      <w:r>
        <w:rPr>
          <w:rFonts w:ascii="Times New Roman" w:eastAsia="方正仿宋_GBK" w:hAnsi="Times New Roman" w:hint="eastAsia"/>
          <w:sz w:val="32"/>
          <w:szCs w:val="32"/>
        </w:rPr>
        <w:t>起草了《通知》（讨论稿）。经多次征求各单位意见建议，并在</w:t>
      </w:r>
      <w:r>
        <w:rPr>
          <w:rFonts w:ascii="Times New Roman" w:eastAsia="方正仿宋_GBK" w:hAnsi="Times New Roman"/>
          <w:sz w:val="32"/>
          <w:szCs w:val="32"/>
        </w:rPr>
        <w:t>区政府公众信息网向社会公开征求意见</w:t>
      </w:r>
      <w:r>
        <w:rPr>
          <w:rFonts w:ascii="Times New Roman" w:eastAsia="方正仿宋_GBK" w:hAnsi="Times New Roman" w:hint="eastAsia"/>
          <w:sz w:val="32"/>
          <w:szCs w:val="32"/>
        </w:rPr>
        <w:t>，</w:t>
      </w:r>
      <w:r>
        <w:rPr>
          <w:rFonts w:ascii="Times New Roman" w:eastAsia="方正仿宋_GBK" w:hAnsi="Times New Roman" w:hint="eastAsia"/>
          <w:sz w:val="32"/>
          <w:szCs w:val="32"/>
        </w:rPr>
        <w:t>修改完善后</w:t>
      </w:r>
      <w:r>
        <w:rPr>
          <w:rFonts w:ascii="Times New Roman" w:eastAsia="方正仿宋_GBK" w:hAnsi="Times New Roman" w:hint="eastAsia"/>
          <w:sz w:val="32"/>
          <w:szCs w:val="32"/>
        </w:rPr>
        <w:t>形成送审稿报区政府审议通过</w:t>
      </w:r>
      <w:r>
        <w:rPr>
          <w:rFonts w:ascii="Times New Roman" w:eastAsia="方正仿宋_GBK" w:hAnsi="Times New Roman" w:hint="eastAsia"/>
          <w:sz w:val="32"/>
          <w:szCs w:val="32"/>
        </w:rPr>
        <w:t>，现已印发实施</w:t>
      </w:r>
      <w:r>
        <w:rPr>
          <w:rFonts w:ascii="Times New Roman" w:eastAsia="方正仿宋_GBK" w:hAnsi="Times New Roman" w:hint="eastAsia"/>
          <w:sz w:val="32"/>
          <w:szCs w:val="32"/>
        </w:rPr>
        <w:t>。</w:t>
      </w:r>
    </w:p>
    <w:p w:rsidR="00BE1C88" w:rsidRDefault="001E5FD6">
      <w:pPr>
        <w:spacing w:line="600" w:lineRule="exact"/>
        <w:ind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二、政策调整内容</w:t>
      </w:r>
    </w:p>
    <w:p w:rsidR="00BE1C88" w:rsidRDefault="001E5FD6">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bCs/>
          <w:sz w:val="32"/>
          <w:szCs w:val="32"/>
        </w:rPr>
        <w:t>（一）住宅货币专项奖励。</w:t>
      </w:r>
      <w:r>
        <w:rPr>
          <w:rFonts w:ascii="Times New Roman" w:eastAsia="方正仿宋_GBK" w:hAnsi="Times New Roman" w:cs="Times New Roman"/>
          <w:sz w:val="32"/>
          <w:szCs w:val="32"/>
        </w:rPr>
        <w:t>将原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提前签约奖第二项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平方米奖励）调整为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住宅货币专项奖励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，具体奖励方式为，住宅房屋在签约期内签约搬迁且选择货币补偿的，按被征收房屋价值的</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给予奖励，再按被征收房屋评估单价与</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平方米</w:t>
      </w:r>
      <w:r>
        <w:rPr>
          <w:rFonts w:ascii="Times New Roman" w:eastAsia="方正仿宋_GBK" w:hAnsi="Times New Roman" w:cs="Times New Roman"/>
          <w:sz w:val="32"/>
          <w:szCs w:val="32"/>
        </w:rPr>
        <w:lastRenderedPageBreak/>
        <w:t>的乘积给予奖励。</w:t>
      </w:r>
    </w:p>
    <w:p w:rsidR="00BE1C88" w:rsidRDefault="001E5FD6">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bCs/>
          <w:sz w:val="32"/>
          <w:szCs w:val="32"/>
        </w:rPr>
        <w:t>（二）</w:t>
      </w:r>
      <w:r>
        <w:rPr>
          <w:rFonts w:ascii="方正楷体_GBK" w:eastAsia="方正楷体_GBK" w:hAnsi="Times New Roman" w:cs="Times New Roman" w:hint="eastAsia"/>
          <w:bCs/>
          <w:sz w:val="32"/>
          <w:szCs w:val="32"/>
        </w:rPr>
        <w:t>住宅产权调换奖励。</w:t>
      </w:r>
      <w:r>
        <w:rPr>
          <w:rFonts w:ascii="Times New Roman" w:eastAsia="方正仿宋_GBK" w:hAnsi="Times New Roman" w:cs="Times New Roman"/>
          <w:sz w:val="32"/>
          <w:szCs w:val="32"/>
        </w:rPr>
        <w:t>将原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提前签约奖第二项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平方米奖励）和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安置房单位面积奖励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调整为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住宅产权调换奖励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，具体奖励方式为，住宅房屋在签约期内签约搬迁且选择产权调换的，按被征收房屋价值的</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给予奖励。</w:t>
      </w:r>
    </w:p>
    <w:p w:rsidR="00BE1C88" w:rsidRDefault="001E5FD6">
      <w:pPr>
        <w:adjustRightInd w:val="0"/>
        <w:snapToGrid w:val="0"/>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三、政策对比</w:t>
      </w:r>
    </w:p>
    <w:p w:rsidR="00BE1C88" w:rsidRDefault="001E5FD6">
      <w:pPr>
        <w:pStyle w:val="a5"/>
        <w:widowControl/>
        <w:spacing w:line="45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货币安置政策</w:t>
      </w:r>
      <w:r>
        <w:rPr>
          <w:rFonts w:eastAsia="方正仿宋_GBK" w:cstheme="minorBidi" w:hint="eastAsia"/>
          <w:color w:val="000000" w:themeColor="text1"/>
          <w:kern w:val="2"/>
          <w:sz w:val="32"/>
          <w:szCs w:val="32"/>
        </w:rPr>
        <w:t>调整后，</w:t>
      </w:r>
      <w:r>
        <w:rPr>
          <w:rFonts w:ascii="Times New Roman" w:eastAsia="方正仿宋_GBK" w:hAnsi="Times New Roman"/>
          <w:sz w:val="32"/>
          <w:szCs w:val="32"/>
        </w:rPr>
        <w:t>调增货币补偿奖励，</w:t>
      </w:r>
      <w:r>
        <w:rPr>
          <w:rFonts w:ascii="Times New Roman" w:eastAsia="方正仿宋_GBK" w:hAnsi="Times New Roman" w:hint="eastAsia"/>
          <w:sz w:val="32"/>
          <w:szCs w:val="32"/>
        </w:rPr>
        <w:t>突出</w:t>
      </w:r>
      <w:r>
        <w:rPr>
          <w:rFonts w:ascii="Times New Roman" w:eastAsia="方正仿宋_GBK" w:hAnsi="Times New Roman"/>
          <w:sz w:val="32"/>
          <w:szCs w:val="32"/>
        </w:rPr>
        <w:t>货币安置为主的导向，拓宽被征收人住房选择面</w:t>
      </w:r>
      <w:r>
        <w:rPr>
          <w:rFonts w:ascii="Times New Roman" w:eastAsia="方正仿宋_GBK" w:hAnsi="Times New Roman" w:hint="eastAsia"/>
          <w:sz w:val="32"/>
          <w:szCs w:val="32"/>
        </w:rPr>
        <w:t>，</w:t>
      </w:r>
      <w:r>
        <w:rPr>
          <w:rFonts w:ascii="Times New Roman" w:eastAsia="方正仿宋_GBK" w:hAnsi="Times New Roman"/>
          <w:sz w:val="32"/>
          <w:szCs w:val="32"/>
        </w:rPr>
        <w:t>提高</w:t>
      </w:r>
      <w:r>
        <w:rPr>
          <w:rFonts w:ascii="Times New Roman" w:eastAsia="方正仿宋_GBK" w:hAnsi="Times New Roman" w:hint="eastAsia"/>
          <w:sz w:val="32"/>
          <w:szCs w:val="32"/>
        </w:rPr>
        <w:t>群众</w:t>
      </w:r>
      <w:r>
        <w:rPr>
          <w:rFonts w:ascii="Times New Roman" w:eastAsia="方正仿宋_GBK" w:hAnsi="Times New Roman"/>
          <w:sz w:val="32"/>
          <w:szCs w:val="32"/>
        </w:rPr>
        <w:t>居住水平</w:t>
      </w:r>
      <w:r>
        <w:rPr>
          <w:rFonts w:ascii="Times New Roman" w:eastAsia="方正仿宋_GBK" w:hAnsi="Times New Roman" w:hint="eastAsia"/>
          <w:sz w:val="32"/>
          <w:szCs w:val="32"/>
        </w:rPr>
        <w:t>，推动高质量发展与高品质生活紧密结合</w:t>
      </w:r>
      <w:r>
        <w:rPr>
          <w:rFonts w:ascii="Times New Roman" w:eastAsia="方正仿宋_GBK" w:hAnsi="Times New Roman"/>
          <w:sz w:val="32"/>
          <w:szCs w:val="32"/>
        </w:rPr>
        <w:t>。</w:t>
      </w:r>
    </w:p>
    <w:p w:rsidR="00BE1C88" w:rsidRDefault="001E5FD6">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hint="eastAsia"/>
          <w:sz w:val="32"/>
          <w:szCs w:val="32"/>
        </w:rPr>
        <w:t>产权调换政策</w:t>
      </w:r>
      <w:r>
        <w:rPr>
          <w:rFonts w:ascii="Times New Roman" w:eastAsia="方正仿宋_GBK" w:hAnsi="Times New Roman" w:hint="eastAsia"/>
          <w:sz w:val="32"/>
          <w:szCs w:val="32"/>
        </w:rPr>
        <w:t>保持</w:t>
      </w:r>
      <w:r>
        <w:rPr>
          <w:rFonts w:ascii="Times New Roman" w:eastAsia="方正仿宋_GBK" w:hAnsi="Times New Roman"/>
          <w:sz w:val="32"/>
          <w:szCs w:val="32"/>
        </w:rPr>
        <w:t>连续性和稳定性，</w:t>
      </w:r>
      <w:r>
        <w:rPr>
          <w:rFonts w:ascii="Times New Roman" w:eastAsia="方正仿宋_GBK" w:hAnsi="Times New Roman" w:hint="eastAsia"/>
          <w:sz w:val="32"/>
          <w:szCs w:val="32"/>
        </w:rPr>
        <w:t>实行被征收房屋与安置房“双评估”</w:t>
      </w:r>
      <w:r>
        <w:rPr>
          <w:rFonts w:eastAsia="方正仿宋_GBK"/>
          <w:color w:val="000000" w:themeColor="text1"/>
          <w:sz w:val="32"/>
          <w:szCs w:val="32"/>
        </w:rPr>
        <w:t>，以市场价格实行等价值结算、多退少补</w:t>
      </w:r>
      <w:r>
        <w:rPr>
          <w:rFonts w:eastAsia="方正仿宋_GBK" w:hint="eastAsia"/>
          <w:color w:val="000000" w:themeColor="text1"/>
          <w:sz w:val="32"/>
          <w:szCs w:val="32"/>
        </w:rPr>
        <w:t>，</w:t>
      </w:r>
      <w:r>
        <w:rPr>
          <w:rFonts w:eastAsia="方正仿宋_GBK" w:hint="eastAsia"/>
          <w:color w:val="000000" w:themeColor="text1"/>
          <w:sz w:val="32"/>
          <w:szCs w:val="32"/>
        </w:rPr>
        <w:t>有利于</w:t>
      </w:r>
      <w:r>
        <w:rPr>
          <w:rFonts w:ascii="Times New Roman" w:eastAsia="方正仿宋_GBK" w:hAnsi="Times New Roman" w:hint="eastAsia"/>
          <w:sz w:val="32"/>
          <w:szCs w:val="32"/>
        </w:rPr>
        <w:t>保障住房刚需</w:t>
      </w:r>
      <w:r>
        <w:rPr>
          <w:rFonts w:ascii="Times New Roman" w:eastAsia="方正仿宋_GBK" w:hAnsi="Times New Roman" w:hint="eastAsia"/>
          <w:sz w:val="32"/>
          <w:szCs w:val="32"/>
        </w:rPr>
        <w:t>，减小</w:t>
      </w:r>
      <w:r>
        <w:rPr>
          <w:rFonts w:ascii="Times New Roman" w:eastAsia="方正仿宋_GBK" w:hAnsi="Times New Roman" w:hint="eastAsia"/>
          <w:sz w:val="32"/>
          <w:szCs w:val="32"/>
        </w:rPr>
        <w:t>房地产市场行情波动对安置房结算的影响。</w:t>
      </w:r>
    </w:p>
    <w:p w:rsidR="00BE1C88" w:rsidRDefault="001E5FD6">
      <w:p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四、政策适用</w:t>
      </w:r>
    </w:p>
    <w:p w:rsidR="00BE1C88" w:rsidRDefault="001E5FD6">
      <w:pPr>
        <w:spacing w:line="60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一</w:t>
      </w:r>
      <w:r>
        <w:rPr>
          <w:rFonts w:ascii="Times New Roman" w:eastAsia="方正楷体_GBK" w:hAnsi="Times New Roman" w:cs="Times New Roman"/>
          <w:sz w:val="32"/>
          <w:szCs w:val="32"/>
        </w:rPr>
        <w:t>）适用对象：</w:t>
      </w:r>
      <w:r>
        <w:rPr>
          <w:rFonts w:ascii="Times New Roman" w:eastAsia="方正仿宋_GBK" w:hAnsi="Times New Roman" w:cs="Times New Roman"/>
          <w:sz w:val="32"/>
          <w:szCs w:val="32"/>
        </w:rPr>
        <w:t>渝中区行政区域内的</w:t>
      </w:r>
      <w:r>
        <w:rPr>
          <w:rFonts w:ascii="Times New Roman" w:eastAsia="方正仿宋_GBK" w:hAnsi="Times New Roman" w:cs="Times New Roman" w:hint="eastAsia"/>
          <w:sz w:val="32"/>
          <w:szCs w:val="32"/>
        </w:rPr>
        <w:t>住宅</w:t>
      </w:r>
      <w:r>
        <w:rPr>
          <w:rFonts w:ascii="Times New Roman" w:eastAsia="方正仿宋_GBK" w:hAnsi="Times New Roman" w:cs="Times New Roman"/>
          <w:sz w:val="32"/>
          <w:szCs w:val="32"/>
        </w:rPr>
        <w:t>被征收户</w:t>
      </w:r>
      <w:r>
        <w:rPr>
          <w:rFonts w:ascii="Times New Roman" w:eastAsia="方正仿宋_GBK" w:hAnsi="Times New Roman" w:cs="Times New Roman" w:hint="eastAsia"/>
          <w:sz w:val="32"/>
          <w:szCs w:val="32"/>
        </w:rPr>
        <w:t>。</w:t>
      </w:r>
    </w:p>
    <w:p w:rsidR="00BE1C88" w:rsidRDefault="001E5FD6">
      <w:pPr>
        <w:spacing w:line="600" w:lineRule="exact"/>
        <w:ind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二</w:t>
      </w:r>
      <w:r>
        <w:rPr>
          <w:rFonts w:ascii="Times New Roman" w:eastAsia="方正楷体_GBK" w:hAnsi="Times New Roman" w:cs="Times New Roman"/>
          <w:sz w:val="32"/>
          <w:szCs w:val="32"/>
        </w:rPr>
        <w:t>）执行时间：</w:t>
      </w:r>
      <w:r>
        <w:rPr>
          <w:rFonts w:ascii="Times New Roman" w:eastAsia="方正仿宋_GBK" w:hAnsi="Times New Roman" w:cs="Times New Roman" w:hint="eastAsia"/>
          <w:color w:val="000000" w:themeColor="text1"/>
          <w:sz w:val="32"/>
          <w:szCs w:val="32"/>
        </w:rPr>
        <w:t>该通知</w:t>
      </w:r>
      <w:r>
        <w:rPr>
          <w:rFonts w:ascii="Times New Roman" w:eastAsia="方正仿宋_GBK" w:hAnsi="Times New Roman" w:cs="Times New Roman"/>
          <w:color w:val="000000" w:themeColor="text1"/>
          <w:sz w:val="32"/>
          <w:szCs w:val="32"/>
        </w:rPr>
        <w:t>自公布之日（</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日）起施行，通知施行前已</w:t>
      </w:r>
      <w:proofErr w:type="gramStart"/>
      <w:r>
        <w:rPr>
          <w:rFonts w:ascii="Times New Roman" w:eastAsia="方正仿宋_GBK" w:hAnsi="Times New Roman" w:cs="Times New Roman"/>
          <w:color w:val="000000" w:themeColor="text1"/>
          <w:sz w:val="32"/>
          <w:szCs w:val="32"/>
        </w:rPr>
        <w:t>作出</w:t>
      </w:r>
      <w:proofErr w:type="gramEnd"/>
      <w:r>
        <w:rPr>
          <w:rFonts w:ascii="Times New Roman" w:eastAsia="方正仿宋_GBK" w:hAnsi="Times New Roman" w:cs="Times New Roman"/>
          <w:color w:val="000000" w:themeColor="text1"/>
          <w:sz w:val="32"/>
          <w:szCs w:val="32"/>
        </w:rPr>
        <w:t>房屋征收决定的项目，继续沿用原有的规定办理。</w:t>
      </w:r>
    </w:p>
    <w:p w:rsidR="00BE1C88" w:rsidRDefault="001E5FD6">
      <w:p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五、相关问题解答</w:t>
      </w:r>
    </w:p>
    <w:p w:rsidR="00BE1C88" w:rsidRDefault="001E5FD6">
      <w:p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w:t>
      </w:r>
      <w:proofErr w:type="gramStart"/>
      <w:r>
        <w:rPr>
          <w:rFonts w:ascii="方正楷体_GBK" w:eastAsia="方正楷体_GBK" w:hAnsi="方正楷体_GBK" w:cs="方正楷体_GBK" w:hint="eastAsia"/>
          <w:sz w:val="32"/>
          <w:szCs w:val="32"/>
        </w:rPr>
        <w:t>住改非</w:t>
      </w:r>
      <w:proofErr w:type="gramEnd"/>
      <w:r>
        <w:rPr>
          <w:rFonts w:ascii="方正楷体_GBK" w:eastAsia="方正楷体_GBK" w:hAnsi="方正楷体_GBK" w:cs="方正楷体_GBK" w:hint="eastAsia"/>
          <w:sz w:val="32"/>
          <w:szCs w:val="32"/>
        </w:rPr>
        <w:t>房屋是否可以享受住宅货币专项奖励和住宅产权调换奖励？</w:t>
      </w:r>
    </w:p>
    <w:p w:rsidR="00BE1C88" w:rsidRDefault="001E5FD6">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答：按房屋改变用途处理的住宅房屋已实际享受非住宅补偿标准及相关奖励政策，不再享受住宅货币专项奖励和住宅产</w:t>
      </w:r>
      <w:r>
        <w:rPr>
          <w:rFonts w:ascii="Times New Roman" w:eastAsia="方正仿宋_GBK" w:hAnsi="Times New Roman" w:cs="Times New Roman" w:hint="eastAsia"/>
          <w:sz w:val="32"/>
          <w:szCs w:val="32"/>
        </w:rPr>
        <w:lastRenderedPageBreak/>
        <w:t>权调换奖励。</w:t>
      </w:r>
    </w:p>
    <w:p w:rsidR="00BE1C88" w:rsidRDefault="001E5FD6">
      <w:pPr>
        <w:numPr>
          <w:ilvl w:val="0"/>
          <w:numId w:val="1"/>
        </w:num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“被征收房屋价值”包含哪些补偿？</w:t>
      </w:r>
    </w:p>
    <w:p w:rsidR="00BE1C88" w:rsidRDefault="001E5FD6">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答：包括被征收住宅房屋补偿、</w:t>
      </w:r>
      <w:proofErr w:type="gramStart"/>
      <w:r>
        <w:rPr>
          <w:rFonts w:ascii="Times New Roman" w:eastAsia="方正仿宋_GBK" w:hAnsi="Times New Roman" w:cs="Times New Roman" w:hint="eastAsia"/>
          <w:sz w:val="32"/>
          <w:szCs w:val="32"/>
        </w:rPr>
        <w:t>户均保障</w:t>
      </w:r>
      <w:proofErr w:type="gramEnd"/>
      <w:r>
        <w:rPr>
          <w:rFonts w:ascii="Times New Roman" w:eastAsia="方正仿宋_GBK" w:hAnsi="Times New Roman" w:cs="Times New Roman" w:hint="eastAsia"/>
          <w:sz w:val="32"/>
          <w:szCs w:val="32"/>
        </w:rPr>
        <w:t>性补偿、公摊系数补足补偿以及装饰装修补偿。被征收户为</w:t>
      </w:r>
      <w:r>
        <w:rPr>
          <w:rFonts w:ascii="Times New Roman" w:eastAsia="方正仿宋_GBK" w:hAnsi="Times New Roman" w:cs="Times New Roman" w:hint="eastAsia"/>
          <w:sz w:val="32"/>
          <w:szCs w:val="32"/>
        </w:rPr>
        <w:t>公房</w:t>
      </w:r>
      <w:r>
        <w:rPr>
          <w:rFonts w:ascii="Times New Roman" w:eastAsia="方正仿宋_GBK" w:hAnsi="Times New Roman" w:cs="Times New Roman" w:hint="eastAsia"/>
          <w:sz w:val="32"/>
          <w:szCs w:val="32"/>
        </w:rPr>
        <w:t>住宅承租人的，以承租面积为基数计算被征收房屋价值。</w:t>
      </w:r>
    </w:p>
    <w:p w:rsidR="00BE1C88" w:rsidRDefault="001E5FD6">
      <w:pPr>
        <w:numPr>
          <w:ilvl w:val="0"/>
          <w:numId w:val="1"/>
        </w:num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8</w:t>
      </w:r>
      <w:r>
        <w:rPr>
          <w:rFonts w:ascii="方正楷体_GBK" w:eastAsia="方正楷体_GBK" w:hAnsi="方正楷体_GBK" w:cs="方正楷体_GBK" w:hint="eastAsia"/>
          <w:sz w:val="32"/>
          <w:szCs w:val="32"/>
        </w:rPr>
        <w:t>平方米奖励面积”是否冲抵其他保障</w:t>
      </w:r>
      <w:r>
        <w:rPr>
          <w:rFonts w:ascii="方正楷体_GBK" w:eastAsia="方正楷体_GBK" w:hAnsi="方正楷体_GBK" w:cs="方正楷体_GBK" w:hint="eastAsia"/>
          <w:sz w:val="32"/>
          <w:szCs w:val="32"/>
        </w:rPr>
        <w:t>补助</w:t>
      </w:r>
      <w:r>
        <w:rPr>
          <w:rFonts w:ascii="方正楷体_GBK" w:eastAsia="方正楷体_GBK" w:hAnsi="方正楷体_GBK" w:cs="方正楷体_GBK" w:hint="eastAsia"/>
          <w:sz w:val="32"/>
          <w:szCs w:val="32"/>
        </w:rPr>
        <w:t>政策？</w:t>
      </w:r>
    </w:p>
    <w:p w:rsidR="00BE1C88" w:rsidRDefault="001E5FD6">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答：住宅货币专项奖励的“</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平方米奖励</w:t>
      </w:r>
      <w:r>
        <w:rPr>
          <w:rFonts w:ascii="Times New Roman" w:eastAsia="方正仿宋_GBK" w:hAnsi="Times New Roman" w:cs="Times New Roman" w:hint="eastAsia"/>
          <w:color w:val="000000" w:themeColor="text1"/>
          <w:sz w:val="32"/>
          <w:szCs w:val="32"/>
        </w:rPr>
        <w:t>面积</w:t>
      </w:r>
      <w:r>
        <w:rPr>
          <w:rFonts w:ascii="Times New Roman" w:eastAsia="方正仿宋_GBK" w:hAnsi="Times New Roman" w:cs="Times New Roman" w:hint="eastAsia"/>
          <w:sz w:val="32"/>
          <w:szCs w:val="32"/>
        </w:rPr>
        <w:t>”属</w:t>
      </w:r>
      <w:r>
        <w:rPr>
          <w:rFonts w:ascii="Times New Roman" w:eastAsia="方正仿宋_GBK" w:hAnsi="Times New Roman" w:cs="Times New Roman" w:hint="eastAsia"/>
          <w:color w:val="000000" w:themeColor="text1"/>
          <w:sz w:val="32"/>
          <w:szCs w:val="32"/>
        </w:rPr>
        <w:t>于选择货币补偿的奖励政策，该面积与户均保障、公摊补足、未经登记建筑认定为合法建筑等情形所增加面积不予冲抵。</w:t>
      </w:r>
    </w:p>
    <w:p w:rsidR="00BE1C88" w:rsidRDefault="001E5FD6">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（四）住宅货币专项奖励和货币补偿补助费是否并行？</w:t>
      </w:r>
    </w:p>
    <w:p w:rsidR="00BE1C88" w:rsidRDefault="001E5FD6">
      <w:pPr>
        <w:spacing w:line="60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答：计算</w:t>
      </w:r>
      <w:r>
        <w:rPr>
          <w:rFonts w:ascii="Times New Roman" w:eastAsia="方正仿宋_GBK" w:hAnsi="Times New Roman" w:cs="Times New Roman" w:hint="eastAsia"/>
          <w:sz w:val="32"/>
          <w:szCs w:val="32"/>
        </w:rPr>
        <w:t>住宅货币专项奖励后，其</w:t>
      </w:r>
      <w:r>
        <w:rPr>
          <w:rFonts w:ascii="Times New Roman" w:eastAsia="方正仿宋_GBK" w:hAnsi="Times New Roman" w:cs="Times New Roman" w:hint="eastAsia"/>
          <w:color w:val="000000" w:themeColor="text1"/>
          <w:sz w:val="32"/>
          <w:szCs w:val="32"/>
        </w:rPr>
        <w:t>货币补偿补助费仍按原规定执行。</w:t>
      </w:r>
    </w:p>
    <w:sectPr w:rsidR="00BE1C8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D6" w:rsidRDefault="001E5FD6" w:rsidP="00761DDA">
      <w:r>
        <w:separator/>
      </w:r>
    </w:p>
  </w:endnote>
  <w:endnote w:type="continuationSeparator" w:id="0">
    <w:p w:rsidR="001E5FD6" w:rsidRDefault="001E5FD6" w:rsidP="0076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D6" w:rsidRDefault="001E5FD6" w:rsidP="00761DDA">
      <w:r>
        <w:separator/>
      </w:r>
    </w:p>
  </w:footnote>
  <w:footnote w:type="continuationSeparator" w:id="0">
    <w:p w:rsidR="001E5FD6" w:rsidRDefault="001E5FD6" w:rsidP="0076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D9030"/>
    <w:multiLevelType w:val="singleLevel"/>
    <w:tmpl w:val="730D903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11806"/>
    <w:rsid w:val="000B4C77"/>
    <w:rsid w:val="000D63F9"/>
    <w:rsid w:val="000E45E2"/>
    <w:rsid w:val="0010372E"/>
    <w:rsid w:val="00124607"/>
    <w:rsid w:val="001A0D8A"/>
    <w:rsid w:val="001C25A3"/>
    <w:rsid w:val="001E5FD6"/>
    <w:rsid w:val="002410BF"/>
    <w:rsid w:val="0029027B"/>
    <w:rsid w:val="002B0650"/>
    <w:rsid w:val="002B5200"/>
    <w:rsid w:val="002E2CBF"/>
    <w:rsid w:val="00301F35"/>
    <w:rsid w:val="00363CED"/>
    <w:rsid w:val="003806AC"/>
    <w:rsid w:val="00383882"/>
    <w:rsid w:val="003C37FE"/>
    <w:rsid w:val="003E6DE7"/>
    <w:rsid w:val="003F45F1"/>
    <w:rsid w:val="0042138C"/>
    <w:rsid w:val="00423F6C"/>
    <w:rsid w:val="00424D04"/>
    <w:rsid w:val="00532CD4"/>
    <w:rsid w:val="00613E68"/>
    <w:rsid w:val="00634E3D"/>
    <w:rsid w:val="006548A7"/>
    <w:rsid w:val="00682B29"/>
    <w:rsid w:val="0069723B"/>
    <w:rsid w:val="00716736"/>
    <w:rsid w:val="00756F9C"/>
    <w:rsid w:val="00761DDA"/>
    <w:rsid w:val="00762FC0"/>
    <w:rsid w:val="007761AB"/>
    <w:rsid w:val="00803D1B"/>
    <w:rsid w:val="00822E32"/>
    <w:rsid w:val="00825D5B"/>
    <w:rsid w:val="00866646"/>
    <w:rsid w:val="009341A2"/>
    <w:rsid w:val="00977680"/>
    <w:rsid w:val="00991178"/>
    <w:rsid w:val="009A557E"/>
    <w:rsid w:val="009C1499"/>
    <w:rsid w:val="009E5E35"/>
    <w:rsid w:val="00A06F9E"/>
    <w:rsid w:val="00A3026D"/>
    <w:rsid w:val="00A57250"/>
    <w:rsid w:val="00A92992"/>
    <w:rsid w:val="00AD4D3C"/>
    <w:rsid w:val="00B427FF"/>
    <w:rsid w:val="00BE1C88"/>
    <w:rsid w:val="00C65463"/>
    <w:rsid w:val="00C87EED"/>
    <w:rsid w:val="00CA27DF"/>
    <w:rsid w:val="00CD3B8D"/>
    <w:rsid w:val="00CF4E89"/>
    <w:rsid w:val="00D03EA2"/>
    <w:rsid w:val="00D216F6"/>
    <w:rsid w:val="00DA51A9"/>
    <w:rsid w:val="00DB1780"/>
    <w:rsid w:val="00DB223D"/>
    <w:rsid w:val="00DC4A22"/>
    <w:rsid w:val="00DD60C2"/>
    <w:rsid w:val="00DE53FB"/>
    <w:rsid w:val="00E05A2B"/>
    <w:rsid w:val="00E93489"/>
    <w:rsid w:val="00F20433"/>
    <w:rsid w:val="0CA50E3B"/>
    <w:rsid w:val="12407586"/>
    <w:rsid w:val="19C06477"/>
    <w:rsid w:val="1B1B18F4"/>
    <w:rsid w:val="1B280F9E"/>
    <w:rsid w:val="38357649"/>
    <w:rsid w:val="45103F92"/>
    <w:rsid w:val="60807C6C"/>
    <w:rsid w:val="66346A4B"/>
    <w:rsid w:val="6FCC22E8"/>
    <w:rsid w:val="7C511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333333"/>
      <w:u w:val="none"/>
    </w:rPr>
  </w:style>
  <w:style w:type="character" w:styleId="a8">
    <w:name w:val="Hyperlink"/>
    <w:basedOn w:val="a0"/>
    <w:rPr>
      <w:color w:val="333333"/>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yjr">
    <w:name w:val="yjr"/>
    <w:basedOn w:val="a0"/>
  </w:style>
  <w:style w:type="character" w:customStyle="1" w:styleId="red">
    <w:name w:val="red"/>
    <w:basedOn w:val="a0"/>
    <w:rPr>
      <w:color w:val="E1211F"/>
    </w:rPr>
  </w:style>
  <w:style w:type="character" w:customStyle="1" w:styleId="red1">
    <w:name w:val="red1"/>
    <w:basedOn w:val="a0"/>
    <w:rPr>
      <w:color w:val="E1211F"/>
    </w:rPr>
  </w:style>
  <w:style w:type="character" w:customStyle="1" w:styleId="red2">
    <w:name w:val="red2"/>
    <w:basedOn w:val="a0"/>
    <w:rPr>
      <w:color w:val="E33938"/>
      <w:u w:val="single"/>
    </w:rPr>
  </w:style>
  <w:style w:type="character" w:customStyle="1" w:styleId="red3">
    <w:name w:val="red3"/>
    <w:basedOn w:val="a0"/>
    <w:rPr>
      <w:color w:val="E1211F"/>
      <w:u w:val="single"/>
    </w:rPr>
  </w:style>
  <w:style w:type="character" w:customStyle="1" w:styleId="red4">
    <w:name w:val="red4"/>
    <w:basedOn w:val="a0"/>
    <w:rPr>
      <w:color w:val="E1211F"/>
    </w:rPr>
  </w:style>
  <w:style w:type="character" w:customStyle="1" w:styleId="red5">
    <w:name w:val="red5"/>
    <w:basedOn w:val="a0"/>
    <w:rPr>
      <w:color w:val="E1211F"/>
    </w:rPr>
  </w:style>
  <w:style w:type="character" w:customStyle="1" w:styleId="name">
    <w:name w:val="name"/>
    <w:basedOn w:val="a0"/>
    <w:rPr>
      <w:color w:val="2760B7"/>
    </w:rPr>
  </w:style>
  <w:style w:type="character" w:customStyle="1" w:styleId="con4">
    <w:name w:val="con4"/>
    <w:basedOn w:val="a0"/>
    <w:qFormat/>
  </w:style>
  <w:style w:type="character" w:customStyle="1" w:styleId="hover21">
    <w:name w:val="hover21"/>
    <w:basedOn w:val="a0"/>
    <w:rPr>
      <w:b/>
    </w:rPr>
  </w:style>
  <w:style w:type="character" w:customStyle="1" w:styleId="cur4">
    <w:name w:val="cur4"/>
    <w:basedOn w:val="a0"/>
    <w:rPr>
      <w:color w:val="3354A2"/>
    </w:rPr>
  </w:style>
  <w:style w:type="character" w:customStyle="1" w:styleId="tit12">
    <w:name w:val="tit12"/>
    <w:basedOn w:val="a0"/>
    <w:rPr>
      <w:b/>
      <w:color w:val="333333"/>
      <w:sz w:val="39"/>
      <w:szCs w:val="39"/>
    </w:rPr>
  </w:style>
  <w:style w:type="character" w:customStyle="1" w:styleId="tyhl">
    <w:name w:val="tyhl"/>
    <w:basedOn w:val="a0"/>
    <w:rPr>
      <w:shd w:val="clear" w:color="auto" w:fill="FFFFFF"/>
    </w:rPr>
  </w:style>
  <w:style w:type="character" w:customStyle="1" w:styleId="yj-time">
    <w:name w:val="yj-time"/>
    <w:basedOn w:val="a0"/>
    <w:rPr>
      <w:color w:val="AAAAAA"/>
      <w:sz w:val="18"/>
      <w:szCs w:val="18"/>
    </w:rPr>
  </w:style>
  <w:style w:type="character" w:customStyle="1" w:styleId="yj-time1">
    <w:name w:val="yj-time1"/>
    <w:basedOn w:val="a0"/>
    <w:rPr>
      <w:color w:val="AAAAAA"/>
      <w:sz w:val="18"/>
      <w:szCs w:val="18"/>
    </w:rPr>
  </w:style>
  <w:style w:type="character" w:customStyle="1" w:styleId="yj-blue">
    <w:name w:val="yj-blue"/>
    <w:basedOn w:val="a0"/>
    <w:rPr>
      <w:b/>
      <w:color w:val="FFFFFF"/>
      <w:sz w:val="21"/>
      <w:szCs w:val="21"/>
      <w:shd w:val="clear" w:color="auto" w:fill="1E84CB"/>
    </w:rPr>
  </w:style>
  <w:style w:type="character" w:customStyle="1" w:styleId="w100">
    <w:name w:val="w100"/>
    <w:basedOn w:val="a0"/>
  </w:style>
  <w:style w:type="character" w:customStyle="1" w:styleId="yjl">
    <w:name w:val="yjl"/>
    <w:basedOn w:val="a0"/>
    <w:rPr>
      <w:color w:val="999999"/>
    </w:rPr>
  </w:style>
  <w:style w:type="character" w:customStyle="1" w:styleId="tit10">
    <w:name w:val="tit10"/>
    <w:basedOn w:val="a0"/>
    <w:rPr>
      <w:b/>
      <w:color w:val="333333"/>
      <w:sz w:val="39"/>
      <w:szCs w:val="39"/>
    </w:rPr>
  </w:style>
  <w:style w:type="character" w:customStyle="1" w:styleId="hover18">
    <w:name w:val="hover18"/>
    <w:basedOn w:val="a0"/>
    <w:rPr>
      <w:b/>
    </w:rPr>
  </w:style>
  <w:style w:type="character" w:customStyle="1" w:styleId="cur">
    <w:name w:val="cur"/>
    <w:basedOn w:val="a0"/>
    <w:rPr>
      <w:color w:val="3354A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333333"/>
      <w:u w:val="none"/>
    </w:rPr>
  </w:style>
  <w:style w:type="character" w:styleId="a8">
    <w:name w:val="Hyperlink"/>
    <w:basedOn w:val="a0"/>
    <w:rPr>
      <w:color w:val="333333"/>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yjr">
    <w:name w:val="yjr"/>
    <w:basedOn w:val="a0"/>
  </w:style>
  <w:style w:type="character" w:customStyle="1" w:styleId="red">
    <w:name w:val="red"/>
    <w:basedOn w:val="a0"/>
    <w:rPr>
      <w:color w:val="E1211F"/>
    </w:rPr>
  </w:style>
  <w:style w:type="character" w:customStyle="1" w:styleId="red1">
    <w:name w:val="red1"/>
    <w:basedOn w:val="a0"/>
    <w:rPr>
      <w:color w:val="E1211F"/>
    </w:rPr>
  </w:style>
  <w:style w:type="character" w:customStyle="1" w:styleId="red2">
    <w:name w:val="red2"/>
    <w:basedOn w:val="a0"/>
    <w:rPr>
      <w:color w:val="E33938"/>
      <w:u w:val="single"/>
    </w:rPr>
  </w:style>
  <w:style w:type="character" w:customStyle="1" w:styleId="red3">
    <w:name w:val="red3"/>
    <w:basedOn w:val="a0"/>
    <w:rPr>
      <w:color w:val="E1211F"/>
      <w:u w:val="single"/>
    </w:rPr>
  </w:style>
  <w:style w:type="character" w:customStyle="1" w:styleId="red4">
    <w:name w:val="red4"/>
    <w:basedOn w:val="a0"/>
    <w:rPr>
      <w:color w:val="E1211F"/>
    </w:rPr>
  </w:style>
  <w:style w:type="character" w:customStyle="1" w:styleId="red5">
    <w:name w:val="red5"/>
    <w:basedOn w:val="a0"/>
    <w:rPr>
      <w:color w:val="E1211F"/>
    </w:rPr>
  </w:style>
  <w:style w:type="character" w:customStyle="1" w:styleId="name">
    <w:name w:val="name"/>
    <w:basedOn w:val="a0"/>
    <w:rPr>
      <w:color w:val="2760B7"/>
    </w:rPr>
  </w:style>
  <w:style w:type="character" w:customStyle="1" w:styleId="con4">
    <w:name w:val="con4"/>
    <w:basedOn w:val="a0"/>
    <w:qFormat/>
  </w:style>
  <w:style w:type="character" w:customStyle="1" w:styleId="hover21">
    <w:name w:val="hover21"/>
    <w:basedOn w:val="a0"/>
    <w:rPr>
      <w:b/>
    </w:rPr>
  </w:style>
  <w:style w:type="character" w:customStyle="1" w:styleId="cur4">
    <w:name w:val="cur4"/>
    <w:basedOn w:val="a0"/>
    <w:rPr>
      <w:color w:val="3354A2"/>
    </w:rPr>
  </w:style>
  <w:style w:type="character" w:customStyle="1" w:styleId="tit12">
    <w:name w:val="tit12"/>
    <w:basedOn w:val="a0"/>
    <w:rPr>
      <w:b/>
      <w:color w:val="333333"/>
      <w:sz w:val="39"/>
      <w:szCs w:val="39"/>
    </w:rPr>
  </w:style>
  <w:style w:type="character" w:customStyle="1" w:styleId="tyhl">
    <w:name w:val="tyhl"/>
    <w:basedOn w:val="a0"/>
    <w:rPr>
      <w:shd w:val="clear" w:color="auto" w:fill="FFFFFF"/>
    </w:rPr>
  </w:style>
  <w:style w:type="character" w:customStyle="1" w:styleId="yj-time">
    <w:name w:val="yj-time"/>
    <w:basedOn w:val="a0"/>
    <w:rPr>
      <w:color w:val="AAAAAA"/>
      <w:sz w:val="18"/>
      <w:szCs w:val="18"/>
    </w:rPr>
  </w:style>
  <w:style w:type="character" w:customStyle="1" w:styleId="yj-time1">
    <w:name w:val="yj-time1"/>
    <w:basedOn w:val="a0"/>
    <w:rPr>
      <w:color w:val="AAAAAA"/>
      <w:sz w:val="18"/>
      <w:szCs w:val="18"/>
    </w:rPr>
  </w:style>
  <w:style w:type="character" w:customStyle="1" w:styleId="yj-blue">
    <w:name w:val="yj-blue"/>
    <w:basedOn w:val="a0"/>
    <w:rPr>
      <w:b/>
      <w:color w:val="FFFFFF"/>
      <w:sz w:val="21"/>
      <w:szCs w:val="21"/>
      <w:shd w:val="clear" w:color="auto" w:fill="1E84CB"/>
    </w:rPr>
  </w:style>
  <w:style w:type="character" w:customStyle="1" w:styleId="w100">
    <w:name w:val="w100"/>
    <w:basedOn w:val="a0"/>
  </w:style>
  <w:style w:type="character" w:customStyle="1" w:styleId="yjl">
    <w:name w:val="yjl"/>
    <w:basedOn w:val="a0"/>
    <w:rPr>
      <w:color w:val="999999"/>
    </w:rPr>
  </w:style>
  <w:style w:type="character" w:customStyle="1" w:styleId="tit10">
    <w:name w:val="tit10"/>
    <w:basedOn w:val="a0"/>
    <w:rPr>
      <w:b/>
      <w:color w:val="333333"/>
      <w:sz w:val="39"/>
      <w:szCs w:val="39"/>
    </w:rPr>
  </w:style>
  <w:style w:type="character" w:customStyle="1" w:styleId="hover18">
    <w:name w:val="hover18"/>
    <w:basedOn w:val="a0"/>
    <w:rPr>
      <w:b/>
    </w:rPr>
  </w:style>
  <w:style w:type="character" w:customStyle="1" w:styleId="cur">
    <w:name w:val="cur"/>
    <w:basedOn w:val="a0"/>
    <w:rPr>
      <w:color w:val="3354A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1026</Characters>
  <Application>Microsoft Office Word</Application>
  <DocSecurity>0</DocSecurity>
  <Lines>8</Lines>
  <Paragraphs>2</Paragraphs>
  <ScaleCrop>false</ScaleCrop>
  <Company>FGJ</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heshuy</dc:creator>
  <cp:lastModifiedBy>fgjbangs</cp:lastModifiedBy>
  <cp:revision>2</cp:revision>
  <cp:lastPrinted>2021-12-08T07:38:00Z</cp:lastPrinted>
  <dcterms:created xsi:type="dcterms:W3CDTF">2021-12-10T09:12:00Z</dcterms:created>
  <dcterms:modified xsi:type="dcterms:W3CDTF">2021-12-10T09:12:00Z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431766496_btnclosed</vt:lpwstr>
  </property>
</Properties>
</file>