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spacing w:line="594" w:lineRule="exact"/>
        <w:ind w:firstLineChars="0" w:firstLine="0"/>
        <w:jc w:val="center"/>
        <w:rPr>
          <w:rFonts w:eastAsia="方正小标宋_GBK" w:cs="Times New Roman"/>
          <w:sz w:val="44"/>
          <w:szCs w:val="44"/>
        </w:rPr>
      </w:pPr>
      <w:r>
        <w:rPr>
          <w:rFonts w:eastAsia="方正小标宋_GBK" w:cs="Times New Roman"/>
          <w:sz w:val="44"/>
          <w:szCs w:val="44"/>
        </w:rPr>
        <w:t>《渝中区算力经济发展三年行动计划</w:t>
      </w:r>
    </w:p>
    <w:p>
      <w:pPr>
        <w:spacing w:line="594" w:lineRule="exact"/>
        <w:ind w:firstLineChars="0" w:firstLine="0"/>
        <w:jc w:val="center"/>
        <w:rPr>
          <w:rFonts w:eastAsia="方正小标宋_GBK" w:cs="Times New Roman"/>
          <w:sz w:val="44"/>
          <w:szCs w:val="44"/>
        </w:rPr>
      </w:pPr>
      <w:r>
        <w:rPr>
          <w:rFonts w:eastAsia="方正小标宋_GBK" w:cs="Times New Roman"/>
          <w:sz w:val="44"/>
          <w:szCs w:val="44"/>
        </w:rPr>
        <w:t>（2025年—2027年）》文字解读</w:t>
      </w:r>
    </w:p>
    <w:p>
      <w:pPr>
        <w:spacing w:line="594" w:lineRule="exact"/>
        <w:rPr>
          <w:rFonts w:eastAsia="方正仿宋_GBK" w:cs="Times New Roman"/>
          <w:sz w:val="32"/>
          <w:szCs w:val="40"/>
        </w:rPr>
      </w:pPr>
    </w:p>
    <w:p>
      <w:pPr>
        <w:spacing w:line="594" w:lineRule="exact"/>
        <w:rPr>
          <w:rFonts w:eastAsia="方正仿宋_GBK" w:cs="Times New Roman"/>
          <w:sz w:val="32"/>
          <w:szCs w:val="40"/>
        </w:rPr>
      </w:pPr>
      <w:r>
        <w:rPr>
          <w:rFonts w:eastAsia="方正仿宋_GBK" w:cs="Times New Roman"/>
          <w:sz w:val="32"/>
          <w:szCs w:val="40"/>
        </w:rPr>
        <w:t>日前，重庆市渝中区人民政府办公室印发了《渝中区算</w:t>
      </w:r>
      <w:bookmarkStart w:id="0" w:name="_GoBack"/>
      <w:bookmarkEnd w:id="0"/>
      <w:r>
        <w:rPr>
          <w:rFonts w:eastAsia="方正仿宋_GBK" w:cs="Times New Roman"/>
          <w:sz w:val="32"/>
          <w:szCs w:val="40"/>
        </w:rPr>
        <w:t>力经济发展三年行动计划（2025—2027年）》（以下简称《行动计划》）。现就《行动计划》内容解读如下：</w:t>
      </w:r>
    </w:p>
    <w:p>
      <w:pPr>
        <w:spacing w:line="594" w:lineRule="exact"/>
        <w:outlineLvl w:val="0"/>
        <w:rPr>
          <w:rFonts w:eastAsia="方正黑体_GBK" w:cs="Times New Roman"/>
          <w:sz w:val="32"/>
          <w:szCs w:val="32"/>
        </w:rPr>
      </w:pPr>
      <w:r>
        <w:rPr>
          <w:rFonts w:eastAsia="方正黑体_GBK" w:cs="Times New Roman" w:hint="eastAsia"/>
          <w:sz w:val="32"/>
          <w:szCs w:val="32"/>
        </w:rPr>
        <w:t>一、政策制定的必要性</w:t>
      </w:r>
    </w:p>
    <w:p>
      <w:pPr>
        <w:spacing w:line="594" w:lineRule="exact"/>
        <w:outlineLvl w:val="1"/>
        <w:rPr>
          <w:rFonts w:ascii="方正楷体_GBK" w:eastAsia="方正楷体_GBK" w:cs="Times New Roman" w:hint="eastAsia"/>
          <w:bCs/>
          <w:sz w:val="32"/>
          <w:szCs w:val="40"/>
        </w:rPr>
      </w:pPr>
      <w:r>
        <w:rPr>
          <w:rFonts w:ascii="方正楷体_GBK" w:eastAsia="方正楷体_GBK" w:cs="Times New Roman" w:hint="eastAsia"/>
          <w:bCs/>
          <w:sz w:val="32"/>
          <w:szCs w:val="40"/>
        </w:rPr>
        <w:t>（一）社会背景</w:t>
      </w:r>
    </w:p>
    <w:p>
      <w:pPr>
        <w:spacing w:line="594" w:lineRule="exact"/>
        <w:rPr>
          <w:rFonts w:eastAsia="方正仿宋_GBK" w:cs="Times New Roman"/>
          <w:sz w:val="32"/>
          <w:szCs w:val="40"/>
        </w:rPr>
      </w:pPr>
      <w:r>
        <w:rPr>
          <w:rFonts w:eastAsia="方正仿宋_GBK" w:cs="Times New Roman" w:hint="eastAsia"/>
          <w:sz w:val="32"/>
          <w:szCs w:val="40"/>
        </w:rPr>
        <w:t>当前，数字经济已成为推动全球经济复苏与增长的核心动力，</w:t>
      </w:r>
      <w:r>
        <w:rPr>
          <w:rFonts w:eastAsia="方正仿宋_GBK" w:cs="Times New Roman"/>
          <w:sz w:val="32"/>
          <w:szCs w:val="40"/>
        </w:rPr>
        <w:t>算力作为发展新质生产力的关键引擎，是重塑区域竞争格局的战略性资源。随着国家“东数西算”“疆算入渝”等战略的深入实施，算力资源正在全国范围内加速优化布局。渝中区作为重庆“母城”与现代服务业集聚区，具备发展算力经济的区位优势、产业基础与数据资源潜力。然而，我区在算力基础设施协同、产业链整合、应用场景拓展等方面仍存在短板，亟需通过顶层设计与系统规划，抢占算力经济发展先机，推动产业结构向高端化、智能化升级，培育具有区域特色的新增长极。</w:t>
      </w:r>
    </w:p>
    <w:p>
      <w:pPr>
        <w:spacing w:line="594" w:lineRule="exact"/>
        <w:outlineLvl w:val="1"/>
        <w:rPr>
          <w:rFonts w:ascii="方正楷体_GBK" w:eastAsia="方正楷体_GBK" w:cs="Times New Roman"/>
          <w:bCs/>
          <w:sz w:val="32"/>
          <w:szCs w:val="40"/>
        </w:rPr>
      </w:pPr>
      <w:r>
        <w:rPr>
          <w:rFonts w:ascii="方正楷体_GBK" w:eastAsia="方正楷体_GBK" w:cs="Times New Roman" w:hint="eastAsia"/>
          <w:bCs/>
          <w:sz w:val="32"/>
          <w:szCs w:val="40"/>
        </w:rPr>
        <w:t>（二）政策背景</w:t>
      </w:r>
    </w:p>
    <w:p>
      <w:pPr>
        <w:spacing w:line="594" w:lineRule="exact"/>
        <w:rPr>
          <w:rFonts w:eastAsia="方正仿宋_GBK" w:cs="Times New Roman"/>
          <w:sz w:val="32"/>
          <w:szCs w:val="40"/>
        </w:rPr>
      </w:pPr>
      <w:r>
        <w:rPr>
          <w:rFonts w:eastAsia="方正仿宋_GBK" w:cs="Times New Roman" w:hint="eastAsia"/>
          <w:sz w:val="32"/>
          <w:szCs w:val="40"/>
        </w:rPr>
        <w:t>《行动计划》的制定，是深入贯彻落实《重庆市算力高质量发展三年行动计划（2024—2026年）》及市委市政府关于加快发展数字经济系列决策部署的重要举措。本计划与已出台的《渝中区促进算力经济高质量发展若干政策（试行）》形成配套，构建“战略规划+政策扶持”的双轮驱动机制，旨在通过明确目标任务、实施路径与保障机制，统筹全区资源，系统推进算力经济高质量发展。</w:t>
      </w:r>
    </w:p>
    <w:p>
      <w:pPr>
        <w:spacing w:line="594" w:lineRule="exact"/>
        <w:outlineLvl w:val="0"/>
        <w:rPr>
          <w:rFonts w:eastAsia="方正黑体_GBK" w:cs="Times New Roman"/>
          <w:sz w:val="32"/>
          <w:szCs w:val="32"/>
        </w:rPr>
      </w:pPr>
      <w:r>
        <w:rPr>
          <w:rFonts w:eastAsia="方正黑体_GBK" w:cs="Times New Roman" w:hint="eastAsia"/>
          <w:sz w:val="32"/>
          <w:szCs w:val="32"/>
        </w:rPr>
        <w:t>二</w:t>
      </w:r>
      <w:r>
        <w:rPr>
          <w:rFonts w:eastAsia="方正黑体_GBK" w:cs="Times New Roman"/>
          <w:sz w:val="32"/>
          <w:szCs w:val="32"/>
        </w:rPr>
        <w:t>、编制背景</w:t>
      </w:r>
    </w:p>
    <w:p>
      <w:pPr>
        <w:spacing w:line="594" w:lineRule="exact"/>
        <w:rPr>
          <w:rFonts w:eastAsia="方正仿宋_GBK" w:cs="Times New Roman"/>
          <w:sz w:val="32"/>
          <w:szCs w:val="40"/>
        </w:rPr>
      </w:pPr>
      <w:r>
        <w:rPr>
          <w:rFonts w:eastAsia="方正仿宋_GBK" w:cs="Times New Roman"/>
          <w:sz w:val="32"/>
          <w:szCs w:val="40"/>
        </w:rPr>
        <w:t>为深入贯彻落实习近平总书记关于数字中国、网络强国重要指示精神，积极抢抓“东数西算”“疆算入渝”等</w:t>
      </w:r>
      <w:r>
        <w:rPr>
          <w:rFonts w:eastAsia="方正仿宋_GBK" w:cs="Times New Roman" w:hint="eastAsia"/>
          <w:sz w:val="32"/>
          <w:szCs w:val="40"/>
        </w:rPr>
        <w:t>发展</w:t>
      </w:r>
      <w:r>
        <w:rPr>
          <w:rFonts w:eastAsia="方正仿宋_GBK" w:cs="Times New Roman"/>
          <w:sz w:val="32"/>
          <w:szCs w:val="40"/>
        </w:rPr>
        <w:t>机遇，渝中区立足产业基础与资源禀赋，依托“西部算电协同创新中心”核心优势，聚焦打造西部算力创新高地、应用示范高地、交易结算高地、算力与AI研发高地和人才培育高地，制定本《行动计划》。通过适度超前布局算力基础设施，推动算力、算法、数据三大要素融合创新，全面赋能区域“4311”现代产业体系升级与超大城市治理现代化，培育区域经济发展新引擎</w:t>
      </w:r>
      <w:r>
        <w:rPr>
          <w:rFonts w:eastAsia="方正仿宋_GBK" w:cs="Times New Roman" w:hint="eastAsia"/>
          <w:sz w:val="32"/>
          <w:szCs w:val="40"/>
        </w:rPr>
        <w:t>，</w:t>
      </w:r>
      <w:r>
        <w:rPr>
          <w:rFonts w:eastAsia="方正仿宋_GBK" w:cs="Times New Roman"/>
          <w:sz w:val="32"/>
          <w:szCs w:val="40"/>
        </w:rPr>
        <w:t>为全市乃至全国数字经济高质量发展贡献渝中力量。</w:t>
      </w:r>
    </w:p>
    <w:p>
      <w:pPr>
        <w:spacing w:line="594" w:lineRule="exact"/>
        <w:jc w:val="both"/>
        <w:outlineLvl w:val="0"/>
        <w:rPr>
          <w:rFonts w:eastAsia="方正黑体_GBK" w:cs="Times New Roman"/>
          <w:sz w:val="32"/>
          <w:szCs w:val="32"/>
        </w:rPr>
      </w:pPr>
      <w:r>
        <w:rPr>
          <w:rFonts w:eastAsia="方正黑体_GBK" w:cs="Times New Roman" w:hint="eastAsia"/>
          <w:sz w:val="32"/>
          <w:szCs w:val="32"/>
        </w:rPr>
        <w:t>三</w:t>
      </w:r>
      <w:r>
        <w:rPr>
          <w:rFonts w:eastAsia="方正黑体_GBK" w:cs="Times New Roman"/>
          <w:sz w:val="32"/>
          <w:szCs w:val="32"/>
        </w:rPr>
        <w:t>、编制过程</w:t>
      </w:r>
    </w:p>
    <w:p>
      <w:pPr>
        <w:spacing w:line="594" w:lineRule="exact"/>
        <w:rPr>
          <w:rFonts w:eastAsia="方正仿宋_GBK" w:cs="Times New Roman"/>
          <w:sz w:val="32"/>
          <w:szCs w:val="40"/>
        </w:rPr>
      </w:pPr>
      <w:r>
        <w:rPr>
          <w:rFonts w:eastAsia="方正仿宋_GBK" w:cs="Times New Roman"/>
          <w:sz w:val="32"/>
          <w:szCs w:val="40"/>
        </w:rPr>
        <w:t>《行动计划》的编制工作由区大数据局牵头，在区委区政府高位部署和有力领导下，协同区经信委、数字经济产业园管委会及专业咨询机构共同推进。</w:t>
      </w:r>
    </w:p>
    <w:p>
      <w:pPr>
        <w:spacing w:line="594" w:lineRule="exact"/>
        <w:rPr>
          <w:rFonts w:eastAsia="方正仿宋_GBK" w:cs="Times New Roman"/>
          <w:sz w:val="32"/>
          <w:szCs w:val="40"/>
        </w:rPr>
      </w:pPr>
      <w:r>
        <w:rPr>
          <w:rFonts w:eastAsia="方正仿宋_GBK" w:cs="Times New Roman" w:hint="eastAsia"/>
          <w:sz w:val="32"/>
          <w:szCs w:val="40"/>
        </w:rPr>
        <w:t>一是强化组织领导与高位谋划。区委区政府提前布局，积极融入国家“东数西算”战略及“渝哈算力走廊”建设。2024年6月，与新疆哈密市签署战略合作协议，共建“西部算电协同创新中心”，奠定行动计划编制基础。区大数据局认真落实区委区政府决策部署，于2024年7月正式启动编制工作。区委常委罗毅同志亲自把关定向，多次组织专题研究，听取进展汇报并给予具体指导。</w:t>
      </w:r>
    </w:p>
    <w:p>
      <w:pPr>
        <w:spacing w:line="594" w:lineRule="exact"/>
        <w:rPr>
          <w:rFonts w:eastAsia="方正仿宋_GBK" w:cs="Times New Roman"/>
          <w:sz w:val="32"/>
          <w:szCs w:val="40"/>
        </w:rPr>
      </w:pPr>
      <w:r>
        <w:rPr>
          <w:rFonts w:eastAsia="方正仿宋_GBK" w:cs="Times New Roman" w:hint="eastAsia"/>
          <w:sz w:val="32"/>
          <w:szCs w:val="40"/>
        </w:rPr>
        <w:t>二是深入调研论证与协同编制。编制工作严格对标市级算力高质量发展、人工智能高质量发展等政策文件，并注重与区内科创服务业、新兴产业等行动计划衔接。区政协将“西部算电协同创新中心”建设列为2025年度“1号提案”，为编制提供了重要参考。牵头单位会同专业机构深入开展政策研究和区情分析，通过3轮部门意见征集和2轮重点企业座谈会，广泛吸纳各方面建议，形成了政企协同推进机制。区政府多次专题研究《行动计划》。同时，《行动计划》也公开挂网进行了意见建议征集，并通过了公平竞争性审核，经十四届区政府第122次常务会议审议通过。2025年8月27日，重庆市渝中区人民政府办公室正式印发《行动计划》并实施。</w:t>
      </w:r>
    </w:p>
    <w:p>
      <w:pPr>
        <w:spacing w:line="594" w:lineRule="exact"/>
        <w:outlineLvl w:val="0"/>
        <w:rPr>
          <w:rFonts w:eastAsia="方正黑体_GBK" w:cs="Times New Roman"/>
          <w:sz w:val="32"/>
          <w:szCs w:val="32"/>
        </w:rPr>
      </w:pPr>
      <w:r>
        <w:rPr>
          <w:rFonts w:eastAsia="方正黑体_GBK" w:cs="Times New Roman" w:hint="eastAsia"/>
          <w:sz w:val="32"/>
          <w:szCs w:val="32"/>
        </w:rPr>
        <w:t>四、适用对象与适用范围精细分类</w:t>
      </w:r>
    </w:p>
    <w:p>
      <w:pPr>
        <w:spacing w:line="594" w:lineRule="exact"/>
        <w:outlineLvl w:val="1"/>
        <w:rPr>
          <w:rFonts w:ascii="方正楷体_GBK" w:eastAsia="方正楷体_GBK" w:cs="Times New Roman" w:hint="eastAsia"/>
          <w:bCs/>
          <w:sz w:val="32"/>
          <w:szCs w:val="40"/>
        </w:rPr>
      </w:pPr>
      <w:r>
        <w:rPr>
          <w:rFonts w:ascii="方正楷体_GBK" w:eastAsia="方正楷体_GBK" w:cs="Times New Roman" w:hint="eastAsia"/>
          <w:bCs/>
          <w:sz w:val="32"/>
          <w:szCs w:val="40"/>
        </w:rPr>
        <w:t>（一）适用对象</w:t>
      </w:r>
    </w:p>
    <w:p>
      <w:pPr>
        <w:spacing w:line="594" w:lineRule="exact"/>
        <w:rPr>
          <w:rFonts w:eastAsia="方正仿宋_GBK" w:cs="Times New Roman"/>
          <w:sz w:val="32"/>
          <w:szCs w:val="40"/>
        </w:rPr>
      </w:pPr>
      <w:r>
        <w:rPr>
          <w:rFonts w:eastAsia="方正仿宋_GBK" w:cs="Times New Roman" w:hint="eastAsia"/>
          <w:sz w:val="32"/>
          <w:szCs w:val="40"/>
        </w:rPr>
        <w:t>1.算力基础设施提供商：包括数据中心、算力节点、边缘站点建设企业。</w:t>
      </w:r>
    </w:p>
    <w:p>
      <w:pPr>
        <w:widowControl/>
      </w:pPr>
      <w:r>
        <w:rPr>
          <w:rFonts w:eastAsia="方正仿宋_GBK" w:cs="Times New Roman" w:hint="eastAsia"/>
          <w:sz w:val="32"/>
          <w:szCs w:val="40"/>
        </w:rPr>
        <w:t>2.算力服务与平台运营企业：涵盖算力调度平台、数据交易平台、安全服务企业。</w:t>
      </w:r>
    </w:p>
    <w:p>
      <w:pPr>
        <w:spacing w:line="594" w:lineRule="exact"/>
        <w:rPr>
          <w:rFonts w:eastAsia="方正仿宋_GBK" w:cs="Times New Roman"/>
          <w:sz w:val="32"/>
          <w:szCs w:val="40"/>
        </w:rPr>
      </w:pPr>
      <w:r>
        <w:rPr>
          <w:rFonts w:eastAsia="方正仿宋_GBK" w:cs="Times New Roman" w:hint="eastAsia"/>
          <w:sz w:val="32"/>
          <w:szCs w:val="40"/>
        </w:rPr>
        <w:t>3.算力应用企业：包括金融、政务、文旅、医疗、设计、制造等领域使用算力服务的各类主体。</w:t>
      </w:r>
    </w:p>
    <w:p>
      <w:pPr>
        <w:spacing w:line="594" w:lineRule="exact"/>
        <w:rPr>
          <w:rFonts w:eastAsia="方正仿宋_GBK" w:cs="Times New Roman"/>
          <w:sz w:val="32"/>
          <w:szCs w:val="40"/>
        </w:rPr>
      </w:pPr>
      <w:r>
        <w:rPr>
          <w:rFonts w:eastAsia="方正仿宋_GBK" w:cs="Times New Roman" w:hint="eastAsia"/>
          <w:sz w:val="32"/>
          <w:szCs w:val="40"/>
        </w:rPr>
        <w:t>4.科研机构与高校：从事算力技术研发、模型训练、数据治理的科研单位。</w:t>
      </w:r>
    </w:p>
    <w:p>
      <w:pPr>
        <w:spacing w:line="594" w:lineRule="exact"/>
      </w:pPr>
      <w:r>
        <w:rPr>
          <w:rFonts w:eastAsia="方正仿宋_GBK" w:cs="Times New Roman" w:hint="eastAsia"/>
          <w:sz w:val="32"/>
          <w:szCs w:val="40"/>
        </w:rPr>
        <w:t>5.政府部门与事业单位：推动政务云、城市治理、公共服务等场景中算力应用的公共部门。</w:t>
      </w:r>
    </w:p>
    <w:p>
      <w:pPr>
        <w:spacing w:line="594" w:lineRule="exact"/>
        <w:outlineLvl w:val="1"/>
        <w:rPr>
          <w:rFonts w:ascii="方正楷体_GBK" w:eastAsia="方正楷体_GBK" w:cs="Times New Roman"/>
          <w:bCs/>
          <w:sz w:val="32"/>
          <w:szCs w:val="40"/>
        </w:rPr>
      </w:pPr>
      <w:r>
        <w:rPr>
          <w:rFonts w:ascii="方正楷体_GBK" w:eastAsia="方正楷体_GBK" w:cs="Times New Roman" w:hint="eastAsia"/>
          <w:bCs/>
          <w:sz w:val="32"/>
          <w:szCs w:val="40"/>
        </w:rPr>
        <w:t>（二）适用范围</w:t>
      </w:r>
    </w:p>
    <w:p>
      <w:pPr>
        <w:spacing w:line="594" w:lineRule="exact"/>
        <w:rPr>
          <w:rFonts w:eastAsia="方正仿宋_GBK" w:cs="Times New Roman"/>
          <w:sz w:val="32"/>
          <w:szCs w:val="40"/>
        </w:rPr>
      </w:pPr>
      <w:r>
        <w:rPr>
          <w:rFonts w:eastAsia="方正仿宋_GBK" w:cs="Times New Roman" w:hint="eastAsia"/>
          <w:sz w:val="32"/>
          <w:szCs w:val="40"/>
        </w:rPr>
        <w:t>1.地域范围：以渝中区为核心，辐射西部算力网络节点（如哈密“算力飞地”）。</w:t>
      </w:r>
    </w:p>
    <w:p>
      <w:pPr>
        <w:spacing w:line="594" w:lineRule="exact"/>
        <w:rPr>
          <w:rFonts w:eastAsia="方正仿宋_GBK" w:cs="Times New Roman"/>
          <w:sz w:val="32"/>
          <w:szCs w:val="40"/>
        </w:rPr>
      </w:pPr>
      <w:r>
        <w:rPr>
          <w:rFonts w:eastAsia="方正仿宋_GBK" w:cs="Times New Roman" w:hint="eastAsia"/>
          <w:sz w:val="32"/>
          <w:szCs w:val="40"/>
        </w:rPr>
        <w:t>2.行业领域：涵盖现代金融、专业服务、科创服务、现代物流、商贸文旅、大健康、绿色建筑、低空经济等“4311”产业体系。</w:t>
      </w:r>
    </w:p>
    <w:p>
      <w:pPr>
        <w:spacing w:line="594" w:lineRule="exact"/>
        <w:rPr>
          <w:rFonts w:eastAsia="方正仿宋_GBK" w:cs="Times New Roman"/>
          <w:sz w:val="32"/>
          <w:szCs w:val="40"/>
        </w:rPr>
      </w:pPr>
      <w:r>
        <w:rPr>
          <w:rFonts w:eastAsia="方正仿宋_GBK" w:cs="Times New Roman" w:hint="eastAsia"/>
          <w:sz w:val="32"/>
          <w:szCs w:val="40"/>
        </w:rPr>
        <w:t>3.时间范围：2025年8月至2027年8月，共三年。</w:t>
      </w:r>
    </w:p>
    <w:p>
      <w:pPr>
        <w:spacing w:line="594" w:lineRule="exact"/>
        <w:outlineLvl w:val="0"/>
        <w:rPr>
          <w:rFonts w:eastAsia="方正黑体_GBK" w:cs="Times New Roman"/>
          <w:sz w:val="32"/>
          <w:szCs w:val="32"/>
        </w:rPr>
      </w:pPr>
      <w:r>
        <w:rPr>
          <w:rFonts w:eastAsia="方正黑体_GBK" w:cs="Times New Roman" w:hint="eastAsia"/>
          <w:sz w:val="32"/>
          <w:szCs w:val="32"/>
        </w:rPr>
        <w:t>五</w:t>
      </w:r>
      <w:r>
        <w:rPr>
          <w:rFonts w:eastAsia="方正黑体_GBK" w:cs="Times New Roman"/>
          <w:sz w:val="32"/>
          <w:szCs w:val="32"/>
        </w:rPr>
        <w:t>、目标任务</w:t>
      </w:r>
    </w:p>
    <w:p>
      <w:pPr>
        <w:spacing w:line="594" w:lineRule="exact"/>
        <w:rPr>
          <w:rFonts w:eastAsia="方正仿宋_GBK" w:cs="Times New Roman"/>
          <w:sz w:val="32"/>
          <w:szCs w:val="40"/>
        </w:rPr>
      </w:pPr>
      <w:r>
        <w:rPr>
          <w:rFonts w:eastAsia="方正仿宋_GBK" w:cs="Times New Roman" w:hint="eastAsia"/>
          <w:sz w:val="32"/>
          <w:szCs w:val="40"/>
        </w:rPr>
        <w:t>到2027年，基本构建“低成本算力供给、高价值数据流通、全场景AI赋能”的算力驱动型现代产业体系，实现以下目标：算力规模显著提升，全区总纳管调度算力规模达到14000 PFlops，其中智能算力占比超50%，绿色算力占比超55%，网络时延不高于35ms；产业能级跨越发展，算力核心产业规模突破260亿元，引育50家优质算力相关企业，算力服务新增用户数达到120个；创新能力持续突破，建成20个AI+城市治理智能体，形成15个产业赋能标杆案例和15个高质量行业数据集，构建“产学研用”协同创新体系；应用赋能深度拓展，推动算力在现代金融、智慧政务、智慧文旅、生命健康、专业设计等领域的深度融合应用，打造具有全国示范效应的算力经济“渝中模式”；人才生态持续优化，构建集聚超20000名专业人才的算力产业集群，形成多层次人才培养体系。</w:t>
      </w:r>
    </w:p>
    <w:p>
      <w:pPr>
        <w:spacing w:line="594" w:lineRule="exact"/>
        <w:outlineLvl w:val="0"/>
        <w:rPr>
          <w:rFonts w:eastAsia="方正黑体_GBK" w:cs="Times New Roman"/>
          <w:sz w:val="32"/>
          <w:szCs w:val="32"/>
        </w:rPr>
      </w:pPr>
      <w:r>
        <w:rPr>
          <w:rFonts w:eastAsia="方正黑体_GBK" w:cs="Times New Roman" w:hint="eastAsia"/>
          <w:sz w:val="32"/>
          <w:szCs w:val="32"/>
        </w:rPr>
        <w:t>五</w:t>
      </w:r>
      <w:r>
        <w:rPr>
          <w:rFonts w:eastAsia="方正黑体_GBK" w:cs="Times New Roman"/>
          <w:sz w:val="32"/>
          <w:szCs w:val="32"/>
        </w:rPr>
        <w:t>、主要内容</w:t>
      </w:r>
    </w:p>
    <w:p>
      <w:pPr>
        <w:spacing w:line="594" w:lineRule="exact"/>
        <w:jc w:val="both"/>
        <w:rPr>
          <w:rFonts w:eastAsia="方正仿宋_GBK" w:cs="Times New Roman"/>
          <w:sz w:val="32"/>
          <w:szCs w:val="32"/>
        </w:rPr>
      </w:pPr>
      <w:r>
        <w:rPr>
          <w:rFonts w:eastAsia="方正仿宋_GBK" w:cs="Times New Roman"/>
          <w:sz w:val="32"/>
          <w:szCs w:val="32"/>
        </w:rPr>
        <w:t>《行动计划》围绕夯基垒台、产业生态构建、治理现代化融合赋能、“4311”现代化产业体系赋能增效4大核心方向，部署了17项重点行动、22项重点任务及8个专栏。具体内容如下：</w:t>
      </w:r>
    </w:p>
    <w:p>
      <w:pPr>
        <w:spacing w:line="594" w:lineRule="exact"/>
        <w:jc w:val="both"/>
        <w:rPr>
          <w:rFonts w:eastAsia="方正仿宋_GBK" w:cs="Times New Roman"/>
          <w:sz w:val="32"/>
          <w:szCs w:val="32"/>
        </w:rPr>
      </w:pPr>
      <w:r>
        <w:rPr>
          <w:rFonts w:eastAsia="方正楷体_GBK" w:cs="Times New Roman"/>
          <w:sz w:val="32"/>
          <w:szCs w:val="32"/>
        </w:rPr>
        <w:t>（一）算力经济夯基垒台行动。</w:t>
      </w:r>
      <w:r>
        <w:rPr>
          <w:rFonts w:eastAsia="方正仿宋_GBK" w:cs="Times New Roman"/>
          <w:sz w:val="32"/>
          <w:szCs w:val="32"/>
        </w:rPr>
        <w:t>该部分提出算力链路通道、算力基础设施、算力调度平台、数据资源体系、安全防护机制5项重点任务，策划了1个专栏。</w:t>
      </w:r>
      <w:r>
        <w:rPr>
          <w:rFonts w:eastAsia="方正仿宋_GBK" w:cs="Times New Roman"/>
          <w:b/>
          <w:sz w:val="32"/>
          <w:szCs w:val="32"/>
        </w:rPr>
        <w:t>算力链路通道</w:t>
      </w:r>
      <w:r>
        <w:rPr>
          <w:rFonts w:eastAsia="方正仿宋_GBK" w:cs="Times New Roman"/>
          <w:sz w:val="32"/>
          <w:szCs w:val="32"/>
        </w:rPr>
        <w:t>包括打通“渝中-哈密”超低时延算力直连通道。</w:t>
      </w:r>
      <w:r>
        <w:rPr>
          <w:rFonts w:eastAsia="方正仿宋_GBK" w:cs="Times New Roman"/>
          <w:b/>
          <w:sz w:val="32"/>
          <w:szCs w:val="32"/>
        </w:rPr>
        <w:t>算力基础设施</w:t>
      </w:r>
      <w:r>
        <w:rPr>
          <w:rFonts w:eastAsia="方正仿宋_GBK" w:cs="Times New Roman"/>
          <w:sz w:val="32"/>
          <w:szCs w:val="32"/>
        </w:rPr>
        <w:t>包括建成“1+3+N”算力基础设施体系（1中心+3节点+N边缘站点），推动“东数西存”“东数西训”。</w:t>
      </w:r>
      <w:r>
        <w:rPr>
          <w:rFonts w:eastAsia="方正仿宋_GBK" w:cs="Times New Roman"/>
          <w:b/>
          <w:sz w:val="32"/>
          <w:szCs w:val="32"/>
        </w:rPr>
        <w:t>算力调度平台</w:t>
      </w:r>
      <w:r>
        <w:rPr>
          <w:rFonts w:eastAsia="方正仿宋_GBK" w:cs="Times New Roman"/>
          <w:sz w:val="32"/>
          <w:szCs w:val="32"/>
        </w:rPr>
        <w:t>包括构建算力一体化调度运营平台与“算网大脑”，实现资源“一点接入、即取即用、按需调度”。</w:t>
      </w:r>
      <w:r>
        <w:rPr>
          <w:rFonts w:eastAsia="方正仿宋_GBK" w:cs="Times New Roman"/>
          <w:b/>
          <w:sz w:val="32"/>
          <w:szCs w:val="32"/>
        </w:rPr>
        <w:t>数据资源体系</w:t>
      </w:r>
      <w:r>
        <w:rPr>
          <w:rFonts w:eastAsia="方正仿宋_GBK" w:cs="Times New Roman"/>
          <w:sz w:val="32"/>
          <w:szCs w:val="32"/>
        </w:rPr>
        <w:t>包括完善“数联网接入+数据登记+安全流通+交易平台”四位一体数据体系，打造西部数据交易中心“渝中特色专区”。</w:t>
      </w:r>
      <w:r>
        <w:rPr>
          <w:rFonts w:eastAsia="方正仿宋_GBK" w:cs="Times New Roman"/>
          <w:b/>
          <w:sz w:val="32"/>
          <w:szCs w:val="32"/>
        </w:rPr>
        <w:t>安全防护机制</w:t>
      </w:r>
      <w:r>
        <w:rPr>
          <w:rFonts w:eastAsia="方正仿宋_GBK" w:cs="Times New Roman"/>
          <w:sz w:val="32"/>
          <w:szCs w:val="32"/>
        </w:rPr>
        <w:t>包括建立“防-监-控”一体化安全机制。专栏1谋划了西部算力网络、哈密“算力飞地”、西部算电协同创新中心等9个重点项目。</w:t>
      </w:r>
    </w:p>
    <w:p>
      <w:pPr>
        <w:spacing w:line="594" w:lineRule="exact"/>
        <w:rPr>
          <w:rFonts w:eastAsia="方正仿宋_GBK" w:cs="Times New Roman"/>
          <w:sz w:val="32"/>
          <w:szCs w:val="32"/>
        </w:rPr>
      </w:pPr>
      <w:r>
        <w:rPr>
          <w:rFonts w:eastAsia="方正楷体_GBK" w:cs="Times New Roman"/>
          <w:sz w:val="32"/>
          <w:szCs w:val="32"/>
        </w:rPr>
        <w:t>（二）算力产业生态构建行动。</w:t>
      </w:r>
      <w:r>
        <w:rPr>
          <w:rFonts w:eastAsia="方正仿宋_GBK" w:cs="Times New Roman"/>
          <w:sz w:val="32"/>
          <w:szCs w:val="32"/>
        </w:rPr>
        <w:t>该部分提出产业布局、产业链条、场景需求、产业合作、本土竞争力5项重点任务，策划了1个专栏。</w:t>
      </w:r>
      <w:r>
        <w:rPr>
          <w:rFonts w:eastAsia="方正仿宋_GBK" w:cs="Times New Roman"/>
          <w:b/>
          <w:sz w:val="32"/>
          <w:szCs w:val="32"/>
        </w:rPr>
        <w:t>产业布局</w:t>
      </w:r>
      <w:r>
        <w:rPr>
          <w:rFonts w:eastAsia="方正仿宋_GBK" w:cs="Times New Roman"/>
          <w:sz w:val="32"/>
          <w:szCs w:val="32"/>
        </w:rPr>
        <w:t>包括构建“一核引领、三极支撑、全域辐射”1+3+N的算力产业协同体系。</w:t>
      </w:r>
      <w:r>
        <w:rPr>
          <w:rFonts w:eastAsia="方正仿宋_GBK" w:cs="Times New Roman"/>
          <w:b/>
          <w:sz w:val="32"/>
          <w:szCs w:val="32"/>
        </w:rPr>
        <w:t>产业链条</w:t>
      </w:r>
      <w:r>
        <w:rPr>
          <w:rFonts w:eastAsia="方正仿宋_GBK" w:cs="Times New Roman"/>
          <w:sz w:val="32"/>
          <w:szCs w:val="32"/>
        </w:rPr>
        <w:t>包括补强芯片设计短板，构建“芯片研发—算力调度—场景应用”全产业链生态体系。</w:t>
      </w:r>
      <w:r>
        <w:rPr>
          <w:rFonts w:eastAsia="方正仿宋_GBK" w:cs="Times New Roman"/>
          <w:b/>
          <w:sz w:val="32"/>
          <w:szCs w:val="32"/>
        </w:rPr>
        <w:t>场景需求</w:t>
      </w:r>
      <w:r>
        <w:rPr>
          <w:rFonts w:eastAsia="方正仿宋_GBK" w:cs="Times New Roman"/>
          <w:sz w:val="32"/>
          <w:szCs w:val="32"/>
        </w:rPr>
        <w:t>包括构建“供需精准对接、资源全链共享”的算力服务生态。</w:t>
      </w:r>
      <w:r>
        <w:rPr>
          <w:rFonts w:eastAsia="方正仿宋_GBK" w:cs="Times New Roman"/>
          <w:b/>
          <w:sz w:val="32"/>
          <w:szCs w:val="32"/>
        </w:rPr>
        <w:t>产业合作</w:t>
      </w:r>
      <w:r>
        <w:rPr>
          <w:rFonts w:eastAsia="方正仿宋_GBK" w:cs="Times New Roman"/>
          <w:sz w:val="32"/>
          <w:szCs w:val="32"/>
        </w:rPr>
        <w:t>包括设立算力产业基金，共建跨省域“算力合作试验区”。</w:t>
      </w:r>
      <w:r>
        <w:rPr>
          <w:rFonts w:eastAsia="方正仿宋_GBK" w:cs="Times New Roman"/>
          <w:b/>
          <w:sz w:val="32"/>
          <w:szCs w:val="32"/>
        </w:rPr>
        <w:t>本土竞争力</w:t>
      </w:r>
      <w:r>
        <w:rPr>
          <w:rFonts w:eastAsia="方正仿宋_GBK" w:cs="Times New Roman"/>
          <w:sz w:val="32"/>
          <w:szCs w:val="32"/>
        </w:rPr>
        <w:t>包括创新“MaaS+行业”服务范式，发放算力券与模型补贴。专栏2谋划了西部国产化芯片淬炼场、算力产业园建设、渝哈算电协同发展等6个重点项目。</w:t>
      </w:r>
    </w:p>
    <w:p>
      <w:pPr>
        <w:spacing w:line="594" w:lineRule="exact"/>
        <w:rPr>
          <w:rFonts w:eastAsia="方正仿宋_GBK" w:cs="Times New Roman"/>
          <w:sz w:val="32"/>
          <w:szCs w:val="32"/>
        </w:rPr>
      </w:pPr>
      <w:r>
        <w:rPr>
          <w:rFonts w:eastAsia="方正楷体_GBK" w:cs="Times New Roman"/>
          <w:sz w:val="32"/>
          <w:szCs w:val="32"/>
        </w:rPr>
        <w:t>（三）治理现代化融合赋能行动。</w:t>
      </w:r>
      <w:r>
        <w:rPr>
          <w:rFonts w:eastAsia="方正仿宋_GBK" w:cs="Times New Roman"/>
          <w:sz w:val="32"/>
          <w:szCs w:val="32"/>
        </w:rPr>
        <w:t>该部分提出“AI+算力”赋能数字重庆建设、“AI+智能体矩阵”赋能超大城市治理、“AI+算力”赋能医疗数据治理3项重点任务，策划了2个专栏。</w:t>
      </w:r>
      <w:r>
        <w:rPr>
          <w:rFonts w:eastAsia="方正仿宋_GBK" w:cs="Times New Roman"/>
          <w:b/>
          <w:sz w:val="32"/>
          <w:szCs w:val="32"/>
        </w:rPr>
        <w:t>“AI+算力”赋能数字重庆建设</w:t>
      </w:r>
      <w:r>
        <w:rPr>
          <w:rFonts w:eastAsia="方正仿宋_GBK" w:cs="Times New Roman"/>
          <w:sz w:val="32"/>
          <w:szCs w:val="32"/>
        </w:rPr>
        <w:t>包括推动异构算力与政务云融合，孵化地下管线监测、桥隧孪生运维等场景。</w:t>
      </w:r>
      <w:r>
        <w:rPr>
          <w:rFonts w:eastAsia="方正仿宋_GBK" w:cs="Times New Roman"/>
          <w:b/>
          <w:sz w:val="32"/>
          <w:szCs w:val="32"/>
        </w:rPr>
        <w:t>“AI+智能体矩阵”赋能超大城市治理</w:t>
      </w:r>
      <w:r>
        <w:rPr>
          <w:rFonts w:eastAsia="方正仿宋_GBK" w:cs="Times New Roman"/>
          <w:sz w:val="32"/>
          <w:szCs w:val="32"/>
        </w:rPr>
        <w:t>包括打造城市治理智能体矩阵（升级“渝中帮帮”、开发政务/文旅/教育/视频巡查智能体）。</w:t>
      </w:r>
      <w:r>
        <w:rPr>
          <w:rFonts w:eastAsia="方正仿宋_GBK" w:cs="Times New Roman"/>
          <w:b/>
          <w:sz w:val="32"/>
          <w:szCs w:val="32"/>
        </w:rPr>
        <w:t>“AI+算力”赋能医疗数据治理</w:t>
      </w:r>
      <w:r>
        <w:rPr>
          <w:rFonts w:eastAsia="方正仿宋_GBK" w:cs="Times New Roman"/>
          <w:sz w:val="32"/>
          <w:szCs w:val="32"/>
        </w:rPr>
        <w:t>包括依托壹永科技构建算力赋能的医疗大数据治理体系。专栏3谋划了AI+城市运行治理、文旅态势分析智能体、“渝中教育”智能体等8个重点项目。专栏4谋划了肿瘤行业大模型、肿瘤大数据平台、肿瘤大数据生产治理平台等6个重点项目。</w:t>
      </w:r>
    </w:p>
    <w:p>
      <w:pPr>
        <w:spacing w:line="594" w:lineRule="exact"/>
        <w:rPr>
          <w:rFonts w:eastAsia="方正仿宋_GBK" w:cs="Times New Roman"/>
          <w:sz w:val="32"/>
          <w:szCs w:val="32"/>
        </w:rPr>
      </w:pPr>
      <w:r>
        <w:rPr>
          <w:rFonts w:eastAsia="方正楷体_GBK" w:cs="Times New Roman"/>
          <w:sz w:val="32"/>
          <w:szCs w:val="32"/>
        </w:rPr>
        <w:t>（四）“4311”产业体系赋能增效行动。</w:t>
      </w:r>
      <w:r>
        <w:rPr>
          <w:rFonts w:eastAsia="方正仿宋_GBK" w:cs="Times New Roman"/>
          <w:sz w:val="32"/>
          <w:szCs w:val="32"/>
        </w:rPr>
        <w:t>该部分提出赋能四大生产性服务业、赋能三大生活性服务业、赋能绿色低碳经济产业、赋能新兴产业4项重点任务，策划了4个专栏。</w:t>
      </w:r>
      <w:r>
        <w:rPr>
          <w:rFonts w:eastAsia="方正仿宋_GBK" w:cs="Times New Roman"/>
          <w:b/>
          <w:sz w:val="32"/>
          <w:szCs w:val="32"/>
        </w:rPr>
        <w:t>赋能四大生产性服务业</w:t>
      </w:r>
      <w:r>
        <w:rPr>
          <w:rFonts w:eastAsia="方正仿宋_GBK" w:cs="Times New Roman"/>
          <w:sz w:val="32"/>
          <w:szCs w:val="32"/>
        </w:rPr>
        <w:t>包括AI+现代金融、AI+专业服务、AI+科创服务、AI+现代物流。</w:t>
      </w:r>
      <w:r>
        <w:rPr>
          <w:rFonts w:eastAsia="方正仿宋_GBK" w:cs="Times New Roman"/>
          <w:b/>
          <w:sz w:val="32"/>
          <w:szCs w:val="32"/>
        </w:rPr>
        <w:t>赋能三大生活性服务业</w:t>
      </w:r>
      <w:r>
        <w:rPr>
          <w:rFonts w:eastAsia="方正仿宋_GBK" w:cs="Times New Roman"/>
          <w:sz w:val="32"/>
          <w:szCs w:val="32"/>
        </w:rPr>
        <w:t>包括AI+现代商贸、AI+文旅文创、AI+大健康。</w:t>
      </w:r>
      <w:r>
        <w:rPr>
          <w:rFonts w:eastAsia="方正仿宋_GBK" w:cs="Times New Roman"/>
          <w:b/>
          <w:sz w:val="32"/>
          <w:szCs w:val="32"/>
        </w:rPr>
        <w:t>赋能绿色低碳经济产业</w:t>
      </w:r>
      <w:r>
        <w:rPr>
          <w:rFonts w:eastAsia="方正仿宋_GBK" w:cs="Times New Roman"/>
          <w:sz w:val="32"/>
          <w:szCs w:val="32"/>
        </w:rPr>
        <w:t>包括推动绿色建筑业全链条数字化转型。</w:t>
      </w:r>
      <w:r>
        <w:rPr>
          <w:rFonts w:eastAsia="方正仿宋_GBK" w:cs="Times New Roman"/>
          <w:b/>
          <w:sz w:val="32"/>
          <w:szCs w:val="32"/>
        </w:rPr>
        <w:t>赋能新兴产业</w:t>
      </w:r>
      <w:r>
        <w:rPr>
          <w:rFonts w:eastAsia="方正仿宋_GBK" w:cs="Times New Roman"/>
          <w:sz w:val="32"/>
          <w:szCs w:val="32"/>
        </w:rPr>
        <w:t>包括培育多模态数据集，为智能网联汽车、低空经济、元宇宙等新兴产业提供数据支持。专栏5谋划了“渝中融”平台、“产科金”综合服务平台等7个重点项目。专栏6谋划了华夏健康大模型研发中心、重庆市医学影响云中心等11个重点项目。专栏7谋划了新材料数字化研发异构算力服务、明源云等4个重点项目。专栏8谋划了“飞、网、算、指、控”一体化低空经济等6个重点项目。</w:t>
      </w:r>
    </w:p>
    <w:p>
      <w:pPr>
        <w:spacing w:line="594" w:lineRule="exact"/>
        <w:outlineLvl w:val="0"/>
        <w:rPr>
          <w:rFonts w:eastAsia="方正黑体_GBK" w:cs="Times New Roman"/>
          <w:sz w:val="32"/>
          <w:szCs w:val="32"/>
        </w:rPr>
      </w:pPr>
      <w:r>
        <w:rPr>
          <w:rFonts w:eastAsia="方正黑体_GBK" w:cs="Times New Roman" w:hint="eastAsia"/>
          <w:sz w:val="32"/>
          <w:szCs w:val="32"/>
        </w:rPr>
        <w:t>六</w:t>
      </w:r>
      <w:r>
        <w:rPr>
          <w:rFonts w:eastAsia="方正黑体_GBK" w:cs="Times New Roman"/>
          <w:sz w:val="32"/>
          <w:szCs w:val="32"/>
        </w:rPr>
        <w:t>、保障措施</w:t>
      </w:r>
    </w:p>
    <w:p>
      <w:pPr>
        <w:widowControl/>
        <w:spacing w:line="594" w:lineRule="exact"/>
        <w:rPr>
          <w:rFonts w:eastAsia="方正仿宋_GBK" w:cs="Times New Roman"/>
          <w:sz w:val="32"/>
          <w:szCs w:val="32"/>
        </w:rPr>
      </w:pPr>
      <w:r>
        <w:rPr>
          <w:rFonts w:eastAsia="方正仿宋_GBK" w:cs="Times New Roman"/>
          <w:sz w:val="32"/>
          <w:szCs w:val="32"/>
        </w:rPr>
        <w:t>为确保《行动计划》目标实现，提出四项保障措施。一是加强组织保障，建立“纵向联动+横向协同”推进机制，成立区政府牵头的工作推进组，强化市区协同及渝哈合作。二是加强政策保障，积极争取国家及市级政策支持，深化区域合作，创新“算力券”“模型券”等激励政策，加大财政投入力度，创新投融资机制。三是加强人才保障，落实“黄金十二条”“青创十条”等人才政策，引进培育高层次算力人才，建设人才数据库和培养平台。四是加强机制保障，建立工作推进、考核评估、安全保障闭环管理机制，强化数据安全与网络防护，完善知识产权保护，建立统计监测评估体系。</w:t>
      </w:r>
    </w:p>
    <w:p>
      <w:pPr>
        <w:spacing w:line="594" w:lineRule="exact"/>
        <w:outlineLvl w:val="0"/>
        <w:rPr>
          <w:rFonts w:eastAsia="方正黑体_GBK" w:cs="Times New Roman"/>
          <w:sz w:val="32"/>
          <w:szCs w:val="32"/>
        </w:rPr>
      </w:pPr>
      <w:r>
        <w:rPr>
          <w:rFonts w:eastAsia="方正黑体_GBK" w:cs="Times New Roman" w:hint="eastAsia"/>
          <w:sz w:val="32"/>
          <w:szCs w:val="32"/>
        </w:rPr>
        <w:t>七</w:t>
      </w:r>
      <w:r>
        <w:rPr>
          <w:rFonts w:eastAsia="方正黑体_GBK" w:cs="Times New Roman"/>
          <w:sz w:val="32"/>
          <w:szCs w:val="32"/>
        </w:rPr>
        <w:t>、核心内容问答</w:t>
      </w:r>
    </w:p>
    <w:p>
      <w:pPr>
        <w:spacing w:line="594" w:lineRule="exact"/>
        <w:rPr>
          <w:rFonts w:eastAsia="方正仿宋_GBK" w:cs="Times New Roman"/>
          <w:sz w:val="32"/>
          <w:szCs w:val="32"/>
        </w:rPr>
      </w:pPr>
      <w:r>
        <w:rPr>
          <w:rFonts w:eastAsia="方正仿宋_GBK" w:cs="Times New Roman"/>
          <w:sz w:val="32"/>
          <w:szCs w:val="32"/>
        </w:rPr>
        <w:t>1.为什么要出台《行动计划》？</w:t>
      </w:r>
    </w:p>
    <w:p>
      <w:pPr>
        <w:spacing w:line="594" w:lineRule="exact"/>
        <w:rPr>
          <w:rFonts w:eastAsia="方正仿宋_GBK" w:cs="Times New Roman"/>
          <w:sz w:val="32"/>
          <w:szCs w:val="32"/>
        </w:rPr>
      </w:pPr>
      <w:r>
        <w:rPr>
          <w:rFonts w:eastAsia="方正仿宋_GBK" w:cs="Times New Roman"/>
          <w:sz w:val="32"/>
          <w:szCs w:val="32"/>
        </w:rPr>
        <w:t>答：算力是数字经济时代的关键生产力和新型基础设施。渝中区发展算力经济，是落实国家战略、抢抓发展机遇的必然要求，是赋能全区“4311”现代化产业体系升级、推动超大城市治理现代化的关键路径，也是培育区域经济新增长极、提升核心竞争力的战略选择。当前，通过《行动计划》明确发展目标、重点任务和保障措施，统筹资源，凝聚合力，加速打造西部算力经济高地。</w:t>
      </w:r>
    </w:p>
    <w:p>
      <w:pPr>
        <w:spacing w:line="594" w:lineRule="exact"/>
        <w:rPr>
          <w:rFonts w:eastAsia="方正仿宋_GBK" w:cs="Times New Roman"/>
          <w:sz w:val="32"/>
          <w:szCs w:val="32"/>
        </w:rPr>
      </w:pPr>
      <w:r>
        <w:rPr>
          <w:rFonts w:eastAsia="方正仿宋_GBK" w:cs="Times New Roman"/>
          <w:sz w:val="32"/>
          <w:szCs w:val="32"/>
        </w:rPr>
        <w:t>2.《行动计划》制定了哪些发展目标？</w:t>
      </w:r>
    </w:p>
    <w:p>
      <w:pPr>
        <w:spacing w:line="594" w:lineRule="exact"/>
        <w:rPr>
          <w:rFonts w:eastAsia="方正仿宋_GBK" w:cs="Times New Roman"/>
          <w:sz w:val="32"/>
          <w:szCs w:val="32"/>
        </w:rPr>
      </w:pPr>
      <w:r>
        <w:rPr>
          <w:rFonts w:eastAsia="方正仿宋_GBK" w:cs="Times New Roman" w:hint="eastAsia"/>
          <w:sz w:val="32"/>
          <w:szCs w:val="32"/>
        </w:rPr>
        <w:t>答：主要涵盖算力设施、技术创新、产业发展、人才集聚等方面，具体为：力争到2027年，算力核心产业规模突破260亿元，全区总纳管算力规模达到14000 PFlops（其中智能算力占比超50%，绿色算力占比超55%），</w:t>
      </w:r>
      <w:r>
        <w:rPr>
          <w:rFonts w:eastAsia="方正仿宋_GBK" w:cs="Times New Roman"/>
          <w:sz w:val="32"/>
          <w:szCs w:val="40"/>
        </w:rPr>
        <w:t>网络时延不高于35ms，</w:t>
      </w:r>
      <w:r>
        <w:rPr>
          <w:rFonts w:eastAsia="方正仿宋_GBK" w:cs="Times New Roman" w:hint="eastAsia"/>
          <w:sz w:val="32"/>
          <w:szCs w:val="32"/>
        </w:rPr>
        <w:t>企业算力使用成本降低50%，建成西部算力成本洼地与效能高地；引育50家优质企业，新增算力服务用户数达到120个；建成20个AI+城市治理智能体，形成15个产业赋能标杆案例和15个高质量行业数据集；集聚算力产业专业人才超20000名，形成“产学研用”协同创新体系，建成覆盖西部的算力服务网络，争创国家级数字创新试验区，打造具有全国示范效应的算力经济“渝中模式”。</w:t>
      </w:r>
    </w:p>
    <w:p>
      <w:pPr>
        <w:spacing w:line="594" w:lineRule="exact"/>
        <w:rPr>
          <w:rFonts w:eastAsia="方正仿宋_GBK" w:cs="Times New Roman"/>
          <w:sz w:val="32"/>
          <w:szCs w:val="32"/>
        </w:rPr>
      </w:pPr>
      <w:r>
        <w:rPr>
          <w:rFonts w:eastAsia="方正仿宋_GBK" w:cs="Times New Roman"/>
          <w:sz w:val="32"/>
          <w:szCs w:val="32"/>
        </w:rPr>
        <w:t>3.《行动计划》正文包括哪几部分？</w:t>
      </w:r>
    </w:p>
    <w:p>
      <w:pPr>
        <w:spacing w:line="594" w:lineRule="exact"/>
        <w:rPr>
          <w:rFonts w:eastAsia="方正仿宋_GBK" w:cs="Times New Roman"/>
          <w:sz w:val="32"/>
          <w:szCs w:val="32"/>
        </w:rPr>
      </w:pPr>
      <w:r>
        <w:rPr>
          <w:rFonts w:eastAsia="方正仿宋_GBK" w:cs="Times New Roman"/>
          <w:sz w:val="32"/>
          <w:szCs w:val="32"/>
        </w:rPr>
        <w:t>答：《行动计划》正文包含三个部分。第一部分是总体要求，包括：指导思想、基本原则、发展定位和建设目标</w:t>
      </w:r>
      <w:r>
        <w:rPr>
          <w:rFonts w:eastAsia="方正仿宋_GBK" w:cs="Times New Roman" w:hint="eastAsia"/>
          <w:sz w:val="32"/>
          <w:szCs w:val="32"/>
        </w:rPr>
        <w:t>。</w:t>
      </w:r>
      <w:r>
        <w:rPr>
          <w:rFonts w:eastAsia="方正仿宋_GBK" w:cs="Times New Roman"/>
          <w:sz w:val="32"/>
          <w:szCs w:val="32"/>
        </w:rPr>
        <w:t>第二部分是重点任务，包括：</w:t>
      </w:r>
      <w:r>
        <w:rPr>
          <w:rFonts w:eastAsia="方正仿宋_GBK" w:cs="Times New Roman"/>
          <w:b/>
          <w:bCs/>
          <w:sz w:val="32"/>
          <w:szCs w:val="32"/>
        </w:rPr>
        <w:t>（一）夯基垒台</w:t>
      </w:r>
      <w:r>
        <w:rPr>
          <w:rFonts w:eastAsia="方正仿宋_GBK" w:cs="Times New Roman"/>
          <w:sz w:val="32"/>
          <w:szCs w:val="32"/>
        </w:rPr>
        <w:t>，构建先进算力设施与调度平台；</w:t>
      </w:r>
      <w:r>
        <w:rPr>
          <w:rFonts w:eastAsia="方正仿宋_GBK" w:cs="Times New Roman"/>
          <w:b/>
          <w:bCs/>
          <w:sz w:val="32"/>
          <w:szCs w:val="32"/>
        </w:rPr>
        <w:t>（二）构建生态</w:t>
      </w:r>
      <w:r>
        <w:rPr>
          <w:rFonts w:eastAsia="方正仿宋_GBK" w:cs="Times New Roman"/>
          <w:sz w:val="32"/>
          <w:szCs w:val="32"/>
        </w:rPr>
        <w:t>，延链补链，培育交易市场，促进合作；</w:t>
      </w:r>
      <w:r>
        <w:rPr>
          <w:rFonts w:eastAsia="方正仿宋_GBK" w:cs="Times New Roman"/>
          <w:b/>
          <w:bCs/>
          <w:sz w:val="32"/>
          <w:szCs w:val="32"/>
        </w:rPr>
        <w:t>（三）融合赋能，</w:t>
      </w:r>
      <w:r>
        <w:rPr>
          <w:rFonts w:eastAsia="方正仿宋_GBK" w:cs="Times New Roman" w:hint="eastAsia"/>
          <w:sz w:val="32"/>
          <w:szCs w:val="32"/>
        </w:rPr>
        <w:t>聚焦算力、算法、数据要素融合创新，赋能超大城市现代化治理能级跃升</w:t>
      </w:r>
      <w:r>
        <w:rPr>
          <w:rFonts w:eastAsia="方正仿宋_GBK" w:cs="Times New Roman"/>
          <w:sz w:val="32"/>
          <w:szCs w:val="32"/>
        </w:rPr>
        <w:t>；</w:t>
      </w:r>
      <w:r>
        <w:rPr>
          <w:rFonts w:eastAsia="方正仿宋_GBK" w:cs="Times New Roman"/>
          <w:b/>
          <w:bCs/>
          <w:sz w:val="32"/>
          <w:szCs w:val="32"/>
        </w:rPr>
        <w:t>（四）体系增效</w:t>
      </w:r>
      <w:r>
        <w:rPr>
          <w:rFonts w:eastAsia="方正仿宋_GBK" w:cs="Times New Roman"/>
          <w:sz w:val="32"/>
          <w:szCs w:val="32"/>
        </w:rPr>
        <w:t>，全方位赋能渝中区“4311”现代化产业体系各领域数字化转型。第三部分是保障措施。</w:t>
      </w:r>
    </w:p>
    <w:p>
      <w:pPr>
        <w:spacing w:line="594" w:lineRule="exact"/>
        <w:rPr>
          <w:rFonts w:eastAsia="方正仿宋_GBK" w:cs="Times New Roman"/>
          <w:sz w:val="32"/>
          <w:szCs w:val="32"/>
        </w:rPr>
      </w:pPr>
      <w:r>
        <w:rPr>
          <w:rFonts w:eastAsia="方正仿宋_GBK" w:cs="Times New Roman"/>
          <w:sz w:val="32"/>
          <w:szCs w:val="32"/>
        </w:rPr>
        <w:t>4.如何保障算力资源供给的绿色低碳？</w:t>
      </w:r>
    </w:p>
    <w:p>
      <w:pPr>
        <w:spacing w:line="594" w:lineRule="exact"/>
        <w:rPr>
          <w:rFonts w:eastAsia="方正仿宋_GBK" w:cs="Times New Roman"/>
          <w:sz w:val="32"/>
          <w:szCs w:val="32"/>
        </w:rPr>
      </w:pPr>
      <w:r>
        <w:rPr>
          <w:rFonts w:eastAsia="方正仿宋_GBK" w:cs="Times New Roman"/>
          <w:sz w:val="32"/>
          <w:szCs w:val="32"/>
        </w:rPr>
        <w:t>答：行动计划将“绿色低碳”作为基本原则之一。具体措施包括：明确绿色算力占比目标（2027年超55%）；鼓励老旧算力设施迁至西部能源富集区（如哈密“算力飞地”）；建设采用绿色能源和高效冷却技术的算力基础设施；提升算力设施能源利用效率与算力碳效（CEPS）水平；在算力调度和建设中优先考虑绿色能源。</w:t>
      </w:r>
    </w:p>
    <w:p>
      <w:pPr>
        <w:spacing w:line="594" w:lineRule="exact"/>
        <w:rPr>
          <w:rFonts w:eastAsia="方正仿宋_GBK" w:cs="Times New Roman"/>
          <w:sz w:val="32"/>
          <w:szCs w:val="32"/>
        </w:rPr>
      </w:pPr>
      <w:r>
        <w:rPr>
          <w:rFonts w:eastAsia="方正仿宋_GBK" w:cs="Times New Roman"/>
          <w:sz w:val="32"/>
          <w:szCs w:val="32"/>
        </w:rPr>
        <w:t>5.《行动计划》如何帮助中小企业降低算力使用门槛？</w:t>
      </w:r>
    </w:p>
    <w:p>
      <w:pPr>
        <w:spacing w:line="594" w:lineRule="exact"/>
        <w:rPr>
          <w:rFonts w:cs="Times New Roman"/>
        </w:rPr>
      </w:pPr>
      <w:r>
        <w:rPr>
          <w:rFonts w:eastAsia="方正仿宋_GBK" w:cs="Times New Roman"/>
          <w:sz w:val="32"/>
          <w:szCs w:val="32"/>
        </w:rPr>
        <w:t>答：多措并举降低门槛。一是搭建普惠易用的算力调度平台，实现“一点接入、即取即用”。二是培育区域算力交易市场，探索“按需计费+异构算力适配”模式。三是面向中小企业发放分层级算力券与模型训练补贴。四是建设行业级模型商店，提供轻量化模型部署工具集。五是依托“西部算电协同创新中心”提供低成本、高品质、易使用的算力服务。</w:t>
      </w:r>
    </w:p>
    <w:p>
      <w:pPr>
        <w:spacing w:line="594" w:lineRule="exact"/>
        <w:outlineLvl w:val="0"/>
        <w:rPr>
          <w:rFonts w:eastAsia="方正黑体_GBK" w:cs="Times New Roman"/>
          <w:sz w:val="32"/>
          <w:szCs w:val="32"/>
        </w:rPr>
      </w:pPr>
      <w:r>
        <w:rPr>
          <w:rFonts w:eastAsia="方正黑体_GBK" w:cs="Times New Roman" w:hint="eastAsia"/>
          <w:sz w:val="32"/>
          <w:szCs w:val="32"/>
        </w:rPr>
        <w:t>八、典型案例</w:t>
      </w:r>
    </w:p>
    <w:p>
      <w:pPr>
        <w:spacing w:line="594" w:lineRule="exact"/>
        <w:outlineLvl w:val="0"/>
        <w:rPr>
          <w:rFonts w:eastAsia="方正仿宋_GBK" w:cs="Times New Roman" w:hint="eastAsia"/>
          <w:sz w:val="32"/>
          <w:szCs w:val="32"/>
        </w:rPr>
      </w:pPr>
      <w:r>
        <w:rPr>
          <w:rFonts w:eastAsia="方正仿宋_GBK" w:cs="Times New Roman" w:hint="eastAsia"/>
          <w:sz w:val="32"/>
          <w:szCs w:val="32"/>
        </w:rPr>
        <w:t>案例一：新疆伊吾机房为渝中企业提供高效算力服务。渝中区依托“西部算电协同创新中心”，积极调度新疆伊吾县机房的绿色算力资源，为区内人工智能企业提供稳定、低成本的算力支持。截至目前，星威视“星算云”平台已纳管算力超1000P，中电算力预计于10月底前实现4000P先进算力上线，重点服务于区内大模型研发与数据训练场景，有效缓解企业算力需求压力，初步形成“西算东用”的协同格局。</w:t>
      </w:r>
    </w:p>
    <w:p>
      <w:pPr>
        <w:spacing w:line="594" w:lineRule="exact"/>
        <w:outlineLvl w:val="0"/>
        <w:rPr>
          <w:rFonts w:eastAsia="方正仿宋_GBK" w:cs="Times New Roman" w:hint="eastAsia"/>
          <w:sz w:val="32"/>
          <w:szCs w:val="32"/>
        </w:rPr>
      </w:pPr>
      <w:r>
        <w:rPr>
          <w:rFonts w:eastAsia="方正仿宋_GBK" w:cs="Times New Roman"/>
          <w:sz w:val="32"/>
          <w:szCs w:val="32"/>
        </w:rPr>
        <w:t>案例二：</w:t>
      </w:r>
      <w:r>
        <w:rPr>
          <w:rFonts w:eastAsia="方正仿宋_GBK" w:cs="Times New Roman" w:hint="eastAsia"/>
          <w:sz w:val="32"/>
          <w:szCs w:val="32"/>
        </w:rPr>
        <w:t>直真科技西部产业创新算力调度平台实现跨省资源整合。直真科技牵头建设的“西部产业创新算力调度平台”已联合哈密市伊吾县及全国15家算力供给企业，整合智算算力22000P，其中新疆算力4800P（伊吾县1280P）。该平台与国家（西部）算力调度平台连通，支持市区两级“算力券”一站式申领与兑付，为企业提供“一点接入、即取即用”的普惠算力服务，初步建成覆盖西部、贯通全国的算力资源调度体系。</w:t>
      </w:r>
    </w:p>
    <w:p>
      <w:pPr>
        <w:spacing w:line="594" w:lineRule="exact"/>
        <w:outlineLvl w:val="0"/>
        <w:rPr>
          <w:rFonts w:eastAsia="方正仿宋_GBK" w:cs="Times New Roman" w:hint="eastAsia"/>
          <w:sz w:val="32"/>
          <w:szCs w:val="32"/>
        </w:rPr>
      </w:pPr>
      <w:r>
        <w:rPr>
          <w:rFonts w:eastAsia="方正仿宋_GBK" w:cs="Times New Roman" w:hint="eastAsia"/>
          <w:sz w:val="32"/>
          <w:szCs w:val="32"/>
        </w:rPr>
        <w:t>案例三：“</w:t>
      </w:r>
      <w:r>
        <w:rPr>
          <w:rFonts w:eastAsia="方正仿宋_GBK" w:cs="Times New Roman"/>
          <w:sz w:val="32"/>
          <w:szCs w:val="32"/>
        </w:rPr>
        <w:t>MedSeek”</w:t>
      </w:r>
      <w:r>
        <w:rPr>
          <w:rFonts w:eastAsia="方正仿宋_GBK" w:cs="Times New Roman" w:hint="eastAsia"/>
          <w:sz w:val="32"/>
          <w:szCs w:val="32"/>
        </w:rPr>
        <w:t>与“重儿</w:t>
      </w:r>
      <w:r>
        <w:rPr>
          <w:rFonts w:eastAsia="方正仿宋_GBK" w:cs="Times New Roman"/>
          <w:sz w:val="32"/>
          <w:szCs w:val="32"/>
        </w:rPr>
        <w:t>·</w:t>
      </w:r>
      <w:r>
        <w:rPr>
          <w:rFonts w:eastAsia="方正仿宋_GBK" w:cs="Times New Roman" w:hint="eastAsia"/>
          <w:sz w:val="32"/>
          <w:szCs w:val="32"/>
        </w:rPr>
        <w:t>小乙”展现算力赋能智慧医疗新成果。重庆医科大学引入医学垂类大模型“</w:t>
      </w:r>
      <w:r>
        <w:rPr>
          <w:rFonts w:eastAsia="方正仿宋_GBK" w:cs="Times New Roman"/>
          <w:sz w:val="32"/>
          <w:szCs w:val="32"/>
        </w:rPr>
        <w:t>MedSeek”</w:t>
      </w:r>
      <w:r>
        <w:rPr>
          <w:rFonts w:eastAsia="方正仿宋_GBK" w:cs="Times New Roman" w:hint="eastAsia"/>
          <w:sz w:val="32"/>
          <w:szCs w:val="32"/>
        </w:rPr>
        <w:t>，实现“通用智能底座”与“医学专业引擎”的双重赋能，推动临床诊疗与科研创新。其附属儿科医院研发的儿科</w:t>
      </w:r>
      <w:r>
        <w:rPr>
          <w:rFonts w:eastAsia="方正仿宋_GBK" w:cs="Times New Roman"/>
          <w:sz w:val="32"/>
          <w:szCs w:val="32"/>
        </w:rPr>
        <w:t>AI</w:t>
      </w:r>
      <w:r>
        <w:rPr>
          <w:rFonts w:eastAsia="方正仿宋_GBK" w:cs="Times New Roman" w:hint="eastAsia"/>
          <w:sz w:val="32"/>
          <w:szCs w:val="32"/>
        </w:rPr>
        <w:t>家庭医生“重儿</w:t>
      </w:r>
      <w:r>
        <w:rPr>
          <w:rFonts w:eastAsia="方正仿宋_GBK" w:cs="Times New Roman"/>
          <w:sz w:val="32"/>
          <w:szCs w:val="32"/>
        </w:rPr>
        <w:t>•</w:t>
      </w:r>
      <w:r>
        <w:rPr>
          <w:rFonts w:eastAsia="方正仿宋_GBK" w:cs="Times New Roman" w:hint="eastAsia"/>
          <w:sz w:val="32"/>
          <w:szCs w:val="32"/>
        </w:rPr>
        <w:t>小乙”，凭借先进的技术应用模式，荣获</w:t>
      </w:r>
      <w:r>
        <w:rPr>
          <w:rFonts w:eastAsia="方正仿宋_GBK" w:cs="Times New Roman"/>
          <w:sz w:val="32"/>
          <w:szCs w:val="32"/>
        </w:rPr>
        <w:t>2025</w:t>
      </w:r>
      <w:r>
        <w:rPr>
          <w:rFonts w:eastAsia="方正仿宋_GBK" w:cs="Times New Roman" w:hint="eastAsia"/>
          <w:sz w:val="32"/>
          <w:szCs w:val="32"/>
        </w:rPr>
        <w:t>全国模拟医学创新大赛一等奖，是算力赋能生命健康产业、服务民生的生动实践。</w:t>
      </w:r>
    </w:p>
    <w:p>
      <w:pPr>
        <w:spacing w:line="594" w:lineRule="exact"/>
        <w:outlineLvl w:val="0"/>
        <w:rPr>
          <w:rFonts w:eastAsia="方正黑体_GBK" w:cs="Times New Roman"/>
          <w:sz w:val="32"/>
          <w:szCs w:val="32"/>
        </w:rPr>
      </w:pPr>
      <w:r>
        <w:rPr>
          <w:rFonts w:eastAsia="方正黑体_GBK" w:cs="Times New Roman" w:hint="eastAsia"/>
          <w:sz w:val="32"/>
          <w:szCs w:val="32"/>
        </w:rPr>
        <w:t>九、专家视角</w:t>
      </w:r>
    </w:p>
    <w:p>
      <w:pPr>
        <w:spacing w:line="594" w:lineRule="exact"/>
        <w:rPr>
          <w:rFonts w:eastAsia="方正仿宋_GBK" w:cs="Times New Roman"/>
          <w:sz w:val="32"/>
          <w:szCs w:val="32"/>
        </w:rPr>
      </w:pPr>
      <w:r>
        <w:rPr>
          <w:rFonts w:eastAsia="方正仿宋_GBK" w:cs="Times New Roman"/>
          <w:sz w:val="32"/>
          <w:szCs w:val="32"/>
        </w:rPr>
        <w:t>渝中区大数据发展局主要负责人表示：《渝中区算力经济发展三年行动计划（2025—2027年）》是渝中区紧抓国家“东数西算”战略机遇、发展新质生产力的关键举措，以构建“1+1+N+5”算力产业体系（即“一中心、一公司、N场景、五高地”）为统领，突出“夯基、兴业、赋能”三大主线。其核心价值</w:t>
      </w:r>
      <w:r>
        <w:rPr>
          <w:rFonts w:eastAsia="方正仿宋_GBK" w:cs="Times New Roman"/>
          <w:b/>
          <w:bCs/>
          <w:sz w:val="32"/>
          <w:szCs w:val="32"/>
        </w:rPr>
        <w:t>一是强化枢纽地位。</w:t>
      </w:r>
      <w:r>
        <w:rPr>
          <w:rFonts w:eastAsia="方正仿宋_GBK" w:cs="Times New Roman"/>
          <w:sz w:val="32"/>
          <w:szCs w:val="32"/>
        </w:rPr>
        <w:t>通过建设“渝中——哈密”超低时延通道和调度平台，深度融入国家算力网，确立渝中西部算力枢纽节点地位。</w:t>
      </w:r>
      <w:r>
        <w:rPr>
          <w:rFonts w:eastAsia="方正仿宋_GBK" w:cs="Times New Roman"/>
          <w:b/>
          <w:bCs/>
          <w:sz w:val="32"/>
          <w:szCs w:val="32"/>
        </w:rPr>
        <w:t>二是激活数据价值。</w:t>
      </w:r>
      <w:r>
        <w:rPr>
          <w:rFonts w:eastAsia="方正仿宋_GBK" w:cs="Times New Roman"/>
          <w:sz w:val="32"/>
          <w:szCs w:val="32"/>
        </w:rPr>
        <w:t>构建安全可信的数据流通体系，推动政务与社会数据融通，释放数据要素乘数效应，为AI大模型训练和产业应用提供“燃料”。</w:t>
      </w:r>
      <w:r>
        <w:rPr>
          <w:rFonts w:eastAsia="方正仿宋_GBK" w:cs="Times New Roman"/>
          <w:b/>
          <w:bCs/>
          <w:sz w:val="32"/>
          <w:szCs w:val="32"/>
        </w:rPr>
        <w:t>三是赋能全域升级。</w:t>
      </w:r>
      <w:r>
        <w:rPr>
          <w:rFonts w:eastAsia="方正仿宋_GBK" w:cs="Times New Roman"/>
          <w:sz w:val="32"/>
          <w:szCs w:val="32"/>
        </w:rPr>
        <w:t>以算力为引擎，深度赋能城市治理现代化和“4311”产业体系，推动智能制造、智慧文旅、现代金融、生命健康等各领域向智能化、绿色化、融合化跃升。</w:t>
      </w:r>
      <w:r>
        <w:rPr>
          <w:rFonts w:eastAsia="方正仿宋_GBK" w:cs="Times New Roman"/>
          <w:b/>
          <w:bCs/>
          <w:sz w:val="32"/>
          <w:szCs w:val="32"/>
        </w:rPr>
        <w:t>四是构建创新生态。</w:t>
      </w:r>
      <w:r>
        <w:rPr>
          <w:rFonts w:eastAsia="方正仿宋_GBK" w:cs="Times New Roman"/>
          <w:sz w:val="32"/>
          <w:szCs w:val="32"/>
        </w:rPr>
        <w:t>通过政策、基金、人才等多维保障，吸引集聚大模型、智能芯片、行业应用等上下游创新主体，形成产学研用协同发展的算力经济生态圈。该《行动计划》的实施，将有力推动渝中区从传统服务业强区向数字经济、算力经济新高地转型，为全市建设国家重要先进制造业中心和数字重庆贡献核心支撑。</w:t>
      </w:r>
    </w:p>
    <w:p>
      <w:pPr>
        <w:spacing w:line="594" w:lineRule="exact"/>
        <w:outlineLvl w:val="0"/>
        <w:rPr>
          <w:rFonts w:eastAsia="方正黑体_GBK" w:cs="Times New Roman"/>
          <w:sz w:val="32"/>
          <w:szCs w:val="32"/>
        </w:rPr>
      </w:pPr>
      <w:r>
        <w:rPr>
          <w:rFonts w:eastAsia="方正黑体_GBK" w:cs="Times New Roman" w:hint="eastAsia"/>
          <w:sz w:val="32"/>
          <w:szCs w:val="32"/>
        </w:rPr>
        <w:t>十</w:t>
      </w:r>
      <w:r>
        <w:rPr>
          <w:rFonts w:eastAsia="方正黑体_GBK" w:cs="Times New Roman"/>
          <w:sz w:val="32"/>
          <w:szCs w:val="32"/>
        </w:rPr>
        <w:t>、咨询渠道</w:t>
      </w:r>
    </w:p>
    <w:p>
      <w:pPr>
        <w:spacing w:line="594" w:lineRule="exact"/>
        <w:rPr>
          <w:rFonts w:eastAsia="方正仿宋_GBK" w:cs="Times New Roman"/>
          <w:sz w:val="32"/>
          <w:szCs w:val="32"/>
        </w:rPr>
      </w:pPr>
      <w:r>
        <w:rPr>
          <w:rFonts w:eastAsia="方正仿宋_GBK" w:cs="Times New Roman"/>
          <w:sz w:val="32"/>
          <w:szCs w:val="32"/>
        </w:rPr>
        <w:t>《渝中区算力经济发展三年行动计划（2025—2027年）》由重庆市渝中区大数据应用发展管理局负责政策解读。联系人：裴翼，联系电话：023-</w:t>
      </w:r>
      <w:r>
        <w:rPr>
          <w:rFonts w:eastAsia="方正仿宋_GBK" w:cs="Times New Roman" w:hint="eastAsia"/>
          <w:sz w:val="32"/>
          <w:szCs w:val="32"/>
        </w:rPr>
        <w:t>63768099</w:t>
      </w:r>
      <w:r>
        <w:rPr>
          <w:rFonts w:eastAsia="方正仿宋_GBK" w:cs="Times New Roman"/>
          <w:sz w:val="32"/>
          <w:szCs w:val="32"/>
        </w:rPr>
        <w:t>。</w:t>
      </w:r>
    </w:p>
    <w:sectPr>
      <w:headerReference w:type="default" r:id="rId2"/>
      <w:pgSz w:w="11906" w:h="16838"/>
      <w:pgMar w:top="1985" w:right="1446" w:bottom="1644" w:left="1446" w:header="851" w:footer="992" w:gutter="0"/>
      <w:docGrid w:type="lines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小标宋_GBK">
    <w:panose1 w:val="03000509000000000000"/>
    <w:charset w:val="86"/>
    <w:family w:val="script"/>
    <w:pitch w:val="variable"/>
    <w:sig w:usb0="00000001" w:usb1="080E0000" w:usb2="00000010" w:usb3="00000000" w:csb0="00040000" w:csb1="00000000"/>
  </w:font>
  <w:font w:name="Times New Roman">
    <w:altName w:val="DejaVu San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altName w:val="永中宋体"/>
    <w:panose1 w:val="03000509000000000000"/>
    <w:charset w:val="86"/>
    <w:family w:val="script"/>
    <w:pitch w:val="variable"/>
    <w:sig w:usb0="00000001" w:usb1="080E0000" w:usb2="00000010" w:usb3="00000000" w:csb0="00040000" w:csb1="00000000"/>
  </w:font>
  <w:font w:name="方正黑体_GBK">
    <w:altName w:val="永中宋体"/>
    <w:panose1 w:val="03000509000000000000"/>
    <w:charset w:val="86"/>
    <w:family w:val="script"/>
    <w:pitch w:val="variable"/>
    <w:sig w:usb0="00000001" w:usb1="080E0000" w:usb2="00000010" w:usb3="00000000" w:csb0="00040000" w:csb1="00000000"/>
  </w:font>
  <w:font w:name="方正楷体_GBK">
    <w:altName w:val="永中宋体"/>
    <w:panose1 w:val="03000509000000000000"/>
    <w:charset w:val="86"/>
    <w:family w:val="script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ZFangSong-Z02">
    <w:altName w:val="永中宋体"/>
    <w:panose1 w:val="00000000000000000000"/>
    <w:charset w:val="86"/>
    <w:family w:val="auto"/>
    <w:pitch w:val="variable"/>
    <w:sig w:usb0="00000000" w:usb1="080E0000" w:usb2="00000000" w:usb3="00000000" w:csb0="00040000" w:csb1="00000000"/>
  </w:font>
  <w:font w:name="Arial">
    <w:altName w:val="DejaVu Sans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___WRD_EMBED_SUB_45">
    <w:altName w:val="DejaVu Sans"/>
    <w:panose1 w:val="02000000000000000000"/>
    <w:charset w:val="00"/>
    <w:family w:val="auto"/>
    <w:pitch w:val="variable"/>
    <w:sig w:usb0="00000000" w:usb1="00000000" w:usb2="00000000" w:usb3="00000000" w:csb0="00000000" w:csb1="00000000"/>
  </w:font>
  <w:font w:name="Heiti SC Medium">
    <w:altName w:val="永中宋体"/>
    <w:panose1 w:val="00000000000000000000"/>
    <w:charset w:val="86"/>
    <w:family w:val="auto"/>
    <w:pitch w:val="variable"/>
    <w:sig w:usb0="8000002F" w:usb1="0800004A" w:usb2="00000000" w:usb3="00000000" w:csb0="203E0000" w:csb1="00000000"/>
  </w:font>
</w:fonts>
</file>

<file path=word/header1.xml><?xml version="1.0" encoding="utf-8"?>
<w:hd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pStyle w:val="19"/>
      <w:pBdr>
        <w:bottom w:val="none" w:sz="0" w:space="0" w:color="auto"/>
      </w:pBdr>
      <w:tabs>
        <w:tab w:val="center" w:pos="4153"/>
        <w:tab w:val="right" w:pos="8306"/>
      </w:tabs>
    </w:pP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abstractNum w:abstractNumId="0">
    <w:nsid w:val="16008659"/>
    <w:multiLevelType w:val="multilevel"/>
    <w:tmpl w:val="EFFE38F1"/>
    <w:lvl w:ilvl="0">
      <w:start w:val="1"/>
      <w:numFmt w:val="decimal"/>
      <w:lvlRestart w:val="0"/>
      <w:pStyle w:val="1"/>
      <w:lvlText w:val="%1.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0"/>
        </w:tabs>
        <w:ind w:left="575" w:hanging="575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0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."/>
      <w:lvlJc w:val="left"/>
      <w:pPr>
        <w:tabs>
          <w:tab w:val="num" w:pos="0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."/>
      <w:lvlJc w:val="left"/>
      <w:pPr>
        <w:tabs>
          <w:tab w:val="num" w:pos="0"/>
        </w:tabs>
        <w:ind w:left="1151" w:hanging="1151"/>
      </w:pPr>
      <w:rPr>
        <w:rFonts w:hint="default"/>
      </w:rPr>
    </w:lvl>
    <w:lvl w:ilvl="6">
      <w:start w:val="1"/>
      <w:numFmt w:val="decimal"/>
      <w:pStyle w:val="7"/>
      <w:lvlText w:val="%1.%2.%3.%4.%5.%6.%7."/>
      <w:lvlJc w:val="left"/>
      <w:pPr>
        <w:tabs>
          <w:tab w:val="num" w:pos="0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0"/>
        </w:tabs>
        <w:ind w:left="1583" w:hanging="158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90"/>
  <w:bordersDoNotSurroundHeader/>
  <w:bordersDoNotSurroundFooter/>
  <w:defaultTabStop w:val="420"/>
  <w:drawingGridHorizontalSpacing w:val="140"/>
  <w:drawingGridVerticalSpacing w:val="381"/>
  <w:displayHorizontalDrawingGridEvery w:val="0"/>
  <w:displayVerticalDrawingGridEvery w:val="1"/>
  <w:noPunctuationKerning/>
  <w:characterSpacingControl w:val="compressPunctuation"/>
  <w:compat>
    <w:spaceForUL/>
    <w:balanceSingleByteDoubleByteWidth/>
    <w:ulTrailSpace/>
    <w:doNotExpandShiftReturn/>
    <w:adjustLineHeightInTable/>
    <w:growAutofit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next w:val="16"/>
    <w:pPr>
      <w:widowControl w:val="0"/>
      <w:spacing w:line="600" w:lineRule="exact"/>
      <w:ind w:firstLineChars="200" w:firstLine="200"/>
    </w:pPr>
    <w:rPr>
      <w:rFonts w:ascii="Times New Roman" w:eastAsia="FZFangSong-Z02" w:cs="宋体" w:hAnsi="Times New Roman"/>
      <w:color w:val="000000"/>
      <w:kern w:val="2"/>
      <w:sz w:val="28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numPr>
        <w:ilvl w:val="0"/>
        <w:numId w:val="1"/>
      </w:numPr>
      <w:spacing w:line="576" w:lineRule="auto"/>
      <w:ind w:left="432" w:firstLineChars="0" w:firstLine="0"/>
      <w:outlineLvl w:val="0"/>
    </w:pPr>
    <w:rPr>
      <w:b/>
      <w:kern w:val="44"/>
      <w:sz w:val="44"/>
    </w:rPr>
  </w:style>
  <w:style w:type="paragraph" w:styleId="2">
    <w:name w:val="heading 2"/>
    <w:basedOn w:val="0"/>
    <w:next w:val="0"/>
    <w:pPr>
      <w:keepNext/>
      <w:keepLines/>
      <w:widowControl w:val="0"/>
      <w:numPr>
        <w:ilvl w:val="1"/>
        <w:numId w:val="1"/>
      </w:numPr>
      <w:spacing w:line="413" w:lineRule="auto"/>
      <w:ind w:left="575" w:firstLineChars="0" w:firstLine="0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0"/>
    <w:next w:val="0"/>
    <w:pPr>
      <w:keepNext/>
      <w:keepLines/>
      <w:widowControl w:val="0"/>
      <w:numPr>
        <w:ilvl w:val="2"/>
        <w:numId w:val="1"/>
      </w:numPr>
      <w:tabs>
        <w:tab w:val="left" w:pos="720"/>
      </w:tabs>
      <w:spacing w:line="413" w:lineRule="auto"/>
      <w:ind w:left="720" w:firstLineChars="0" w:firstLine="0"/>
      <w:outlineLvl w:val="2"/>
    </w:pPr>
    <w:rPr>
      <w:b/>
      <w:sz w:val="32"/>
    </w:rPr>
  </w:style>
  <w:style w:type="paragraph" w:styleId="4">
    <w:name w:val="heading 4"/>
    <w:basedOn w:val="0"/>
    <w:next w:val="0"/>
    <w:pPr>
      <w:keepNext/>
      <w:keepLines/>
      <w:widowControl/>
      <w:numPr>
        <w:ilvl w:val="3"/>
        <w:numId w:val="1"/>
      </w:numPr>
      <w:tabs>
        <w:tab w:val="left" w:pos="360"/>
        <w:tab w:val="left" w:pos="912"/>
        <w:tab w:val="left" w:pos="1080"/>
      </w:tabs>
      <w:spacing w:before="120" w:after="120"/>
      <w:ind w:left="864" w:firstLineChars="0" w:firstLine="0"/>
      <w:outlineLvl w:val="3"/>
    </w:pPr>
    <w:rPr>
      <w:rFonts w:ascii="宋体" w:eastAsia="___WRD_EMBED_SUB_45" w:hAnsi="宋体"/>
      <w:bCs/>
      <w:kern w:val="44"/>
      <w:sz w:val="32"/>
      <w:szCs w:val="28"/>
    </w:rPr>
  </w:style>
  <w:style w:type="paragraph" w:styleId="5">
    <w:name w:val="heading 5"/>
    <w:basedOn w:val="0"/>
    <w:next w:val="0"/>
    <w:pPr>
      <w:keepNext/>
      <w:keepLines/>
      <w:widowControl w:val="0"/>
      <w:numPr>
        <w:ilvl w:val="4"/>
        <w:numId w:val="1"/>
      </w:numPr>
      <w:tabs>
        <w:tab w:val="left" w:pos="1440"/>
      </w:tabs>
      <w:spacing w:line="372" w:lineRule="auto"/>
      <w:ind w:left="1008" w:firstLineChars="0" w:firstLine="0"/>
      <w:outlineLvl w:val="4"/>
    </w:pPr>
    <w:rPr>
      <w:b/>
    </w:rPr>
  </w:style>
  <w:style w:type="paragraph" w:styleId="6">
    <w:name w:val="heading 6"/>
    <w:basedOn w:val="0"/>
    <w:next w:val="0"/>
    <w:pPr>
      <w:keepNext/>
      <w:keepLines/>
      <w:widowControl w:val="0"/>
      <w:numPr>
        <w:ilvl w:val="5"/>
        <w:numId w:val="1"/>
      </w:numPr>
      <w:spacing w:line="317" w:lineRule="auto"/>
      <w:ind w:left="1151" w:firstLineChars="0" w:firstLine="0"/>
      <w:outlineLvl w:val="5"/>
    </w:pPr>
    <w:rPr>
      <w:rFonts w:ascii="Arial" w:eastAsia="黑体" w:hAnsi="Arial"/>
      <w:b/>
      <w:sz w:val="24"/>
    </w:rPr>
  </w:style>
  <w:style w:type="paragraph" w:styleId="7">
    <w:name w:val="heading 7"/>
    <w:basedOn w:val="0"/>
    <w:next w:val="0"/>
    <w:pPr>
      <w:numPr>
        <w:ilvl w:val="6"/>
        <w:numId w:val="1"/>
      </w:numPr>
      <w:ind w:left="0"/>
      <w:outlineLvl w:val="6"/>
    </w:pPr>
    <w:rPr>
      <w:rFonts w:eastAsia="Heiti SC Medium" w:cs="Arial"/>
    </w:rPr>
  </w:style>
  <w:style w:type="paragraph" w:styleId="8">
    <w:name w:val="heading 8"/>
    <w:basedOn w:val="0"/>
    <w:next w:val="0"/>
    <w:pPr>
      <w:keepNext/>
      <w:keepLines/>
      <w:widowControl w:val="0"/>
      <w:numPr>
        <w:ilvl w:val="7"/>
        <w:numId w:val="1"/>
      </w:numPr>
      <w:spacing w:line="317" w:lineRule="auto"/>
      <w:ind w:left="1440" w:firstLineChars="0" w:firstLine="0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0"/>
    <w:next w:val="0"/>
    <w:pPr>
      <w:keepNext/>
      <w:keepLines/>
      <w:widowControl w:val="0"/>
      <w:numPr>
        <w:ilvl w:val="8"/>
        <w:numId w:val="1"/>
      </w:numPr>
      <w:spacing w:line="317" w:lineRule="auto"/>
      <w:ind w:left="1583" w:firstLineChars="0" w:firstLine="0"/>
      <w:outlineLvl w:val="8"/>
    </w:pPr>
    <w:rPr>
      <w:rFonts w:ascii="Arial" w:eastAsia="黑体" w:hAnsi="Arial"/>
      <w:sz w:val="21"/>
    </w:rPr>
  </w:style>
  <w:style w:type="character" w:default="1" w:styleId="10">
    <w:name w:val="Default Paragraph Font"/>
  </w:style>
  <w:style w:type="paragraph" w:styleId="15">
    <w:name w:val="Body Text"/>
    <w:basedOn w:val="0"/>
    <w:next w:val="0"/>
    <w:pPr>
      <w:spacing w:after="120"/>
    </w:pPr>
  </w:style>
  <w:style w:type="paragraph" w:styleId="16">
    <w:name w:val="Body Text First Indent"/>
    <w:basedOn w:val="15"/>
    <w:next w:val="0"/>
    <w:pPr>
      <w:ind w:firstLineChars="100" w:firstLine="100"/>
    </w:pPr>
  </w:style>
  <w:style w:type="paragraph" w:styleId="17">
    <w:name w:val="Body Text Indent"/>
    <w:basedOn w:val="0"/>
    <w:pPr>
      <w:ind w:leftChars="200" w:left="200"/>
    </w:pPr>
  </w:style>
  <w:style w:type="paragraph" w:styleId="18">
    <w:name w:val="footer"/>
    <w:basedOn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19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20">
    <w:name w:val="Normal (Web)"/>
    <w:basedOn w:val="0"/>
    <w:rPr>
      <w:sz w:val="24"/>
    </w:rPr>
  </w:style>
  <w:style w:type="paragraph" w:styleId="21">
    <w:name w:val="Body Text First Indent 2"/>
    <w:basedOn w:val="17"/>
  </w:style>
  <w:style w:type="character" w:styleId="22">
    <w:name w:val="Strong"/>
    <w:basedOn w:val="10"/>
    <w:rPr>
      <w:b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header" Target="header1.xml"/><Relationship Id="rId3" Type="http://schemas.openxmlformats.org/officeDocument/2006/relationships/styles" Target="styles.xml"/><Relationship Id="rId4" Type="http://schemas.openxmlformats.org/officeDocument/2006/relationships/numbering" Target="numbering.xml"/><Relationship Id="rId5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40</TotalTime>
  <Application>Yozo_Office</Application>
  <Pages>11</Pages>
  <Words>5594</Words>
  <Characters>5899</Characters>
  <Lines>236</Lines>
  <Paragraphs>54</Paragraphs>
  <CharactersWithSpaces>5901</CharactersWithSpaces>
  <Company>China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地球人在太空404</dc:creator>
  <cp:lastModifiedBy>xg</cp:lastModifiedBy>
  <cp:revision>5</cp:revision>
  <dcterms:created xsi:type="dcterms:W3CDTF">2025-10-09T07:00:00Z</dcterms:created>
  <dcterms:modified xsi:type="dcterms:W3CDTF">2025-10-10T08:17:59Z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2052-12.1.22553.22553</vt:lpwstr>
  </property>
  <property fmtid="{D5CDD505-2E9C-101B-9397-08002B2CF9AE}" pid="3" name="ICV">
    <vt:lpwstr>9E3BB913C5F7F7FA592DE7688F0ADB25_43</vt:lpwstr>
  </property>
</Properties>
</file>