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val="en-US" w:eastAsia="zh-CN"/>
        </w:rPr>
      </w:pPr>
      <w:r>
        <w:rPr>
          <w:rStyle w:val="16"/>
          <w:rFonts w:hint="eastAsia" w:ascii="方正小标宋_GBK" w:hAnsi="方正小标宋_GBK" w:eastAsia="方正小标宋_GBK" w:cs="方正小标宋_GBK"/>
          <w:b w:val="0"/>
          <w:kern w:val="2"/>
          <w:sz w:val="44"/>
          <w:szCs w:val="44"/>
          <w:shd w:val="clear" w:color="auto" w:fill="FFFFFF"/>
          <w:lang w:val="en-US" w:eastAsia="zh-CN" w:bidi="ar-SA"/>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关于印发《渝中区商贸业提振消费举措》的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eastAsia="zh-CN"/>
        </w:rPr>
        <w:t>渝中府办〔</w:t>
      </w:r>
      <w:r>
        <w:rPr>
          <w:rFonts w:hint="default" w:ascii="Times New Roman" w:hAnsi="Times New Roman" w:eastAsia="方正仿宋_GBK" w:cs="Times New Roman"/>
          <w:snapToGrid w:val="0"/>
          <w:sz w:val="32"/>
          <w:szCs w:val="32"/>
          <w:lang w:val="en-US" w:eastAsia="zh-CN"/>
        </w:rPr>
        <w:t>2023</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lang w:val="en-US" w:eastAsia="zh-CN"/>
        </w:rPr>
        <w:t>5号</w:t>
      </w:r>
    </w:p>
    <w:p>
      <w:pPr>
        <w:keepNext w:val="0"/>
        <w:keepLines w:val="0"/>
        <w:pageBreakBefore w:val="0"/>
        <w:widowControl w:val="0"/>
        <w:kinsoku/>
        <w:wordWrap/>
        <w:topLinePunct w:val="0"/>
        <w:autoSpaceDE/>
        <w:autoSpaceDN/>
        <w:bidi w:val="0"/>
        <w:adjustRightInd/>
        <w:snapToGrid/>
        <w:spacing w:line="600" w:lineRule="exact"/>
        <w:ind w:left="0" w:leftChars="0" w:right="0" w:rightChars="0"/>
        <w:textAlignment w:val="auto"/>
        <w:rPr>
          <w:rFonts w:ascii="Times New Roman" w:hAnsi="Times New Roman" w:eastAsia="方正仿宋_GBK"/>
          <w:bCs/>
          <w:color w:val="000000"/>
          <w:sz w:val="32"/>
          <w:szCs w:val="32"/>
        </w:rPr>
      </w:pPr>
    </w:p>
    <w:p>
      <w:pPr>
        <w:keepNext w:val="0"/>
        <w:keepLines w:val="0"/>
        <w:pageBreakBefore w:val="0"/>
        <w:widowControl w:val="0"/>
        <w:kinsoku/>
        <w:wordWrap/>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区级国家机关各部门、各管委会、街道办事处，有关单位：</w:t>
      </w:r>
    </w:p>
    <w:p>
      <w:pPr>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《渝中区商贸业提振消费举措》已经区第十四届人民政府第</w:t>
      </w:r>
      <w:r>
        <w:rPr>
          <w:rFonts w:hint="default"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rPr>
        <w:t>次常务会议</w:t>
      </w:r>
      <w:r>
        <w:rPr>
          <w:rFonts w:hint="default" w:ascii="Times New Roman" w:hAnsi="Times New Roman" w:eastAsia="方正仿宋_GBK" w:cs="Times New Roman"/>
          <w:sz w:val="32"/>
          <w:szCs w:val="32"/>
          <w:lang w:val="en-US" w:eastAsia="zh-CN"/>
        </w:rPr>
        <w:t>研究</w:t>
      </w:r>
      <w:r>
        <w:rPr>
          <w:rFonts w:hint="default" w:ascii="Times New Roman" w:hAnsi="Times New Roman" w:eastAsia="方正仿宋_GBK" w:cs="Times New Roman"/>
          <w:sz w:val="32"/>
          <w:szCs w:val="32"/>
        </w:rPr>
        <w:t>同意，现印发给你们，请认真贯彻落实。</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jc w:val="left"/>
        <w:textAlignment w:val="auto"/>
        <w:outlineLvl w:val="9"/>
        <w:rPr>
          <w:rFonts w:hint="default" w:ascii="Times New Roman" w:hAnsi="Times New Roman" w:eastAsia="方正仿宋_GBK" w:cs="Times New Roman"/>
          <w:sz w:val="32"/>
          <w:szCs w:val="32"/>
        </w:rPr>
      </w:pPr>
    </w:p>
    <w:p>
      <w:pPr>
        <w:pStyle w:val="14"/>
        <w:keepNext w:val="0"/>
        <w:keepLines w:val="0"/>
        <w:pageBreakBefore w:val="0"/>
        <w:widowControl w:val="0"/>
        <w:kinsoku/>
        <w:wordWrap/>
        <w:overflowPunct w:val="0"/>
        <w:topLinePunct w:val="0"/>
        <w:autoSpaceDE/>
        <w:autoSpaceDN/>
        <w:bidi w:val="0"/>
        <w:adjustRightInd/>
        <w:snapToGrid/>
        <w:spacing w:before="0" w:after="0" w:line="600" w:lineRule="exact"/>
        <w:ind w:left="0" w:leftChars="0" w:right="0" w:rightChars="0" w:firstLine="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4860" w:firstLineChars="1519"/>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bookmarkStart w:id="0" w:name="_GoBack"/>
      <w:bookmarkEnd w:id="0"/>
      <w:r>
        <w:rPr>
          <w:rFonts w:hint="default" w:ascii="Times New Roman" w:hAnsi="Times New Roman" w:eastAsia="方正仿宋_GBK" w:cs="Times New Roman"/>
          <w:kern w:val="0"/>
          <w:sz w:val="32"/>
          <w:szCs w:val="32"/>
        </w:rPr>
        <w:t>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31</w:t>
      </w:r>
      <w:r>
        <w:rPr>
          <w:rFonts w:hint="default" w:ascii="Times New Roman" w:hAnsi="Times New Roman" w:eastAsia="方正仿宋_GBK" w:cs="Times New Roman"/>
          <w:kern w:val="0"/>
          <w:sz w:val="32"/>
          <w:szCs w:val="32"/>
        </w:rPr>
        <w:t>日</w:t>
      </w:r>
    </w:p>
    <w:p>
      <w:pPr>
        <w:keepNext w:val="0"/>
        <w:keepLines w:val="0"/>
        <w:pageBreakBefore w:val="0"/>
        <w:widowControl w:val="0"/>
        <w:kinsoku/>
        <w:wordWrap/>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shd w:val="clear" w:color="FFFFFF" w:fill="D9D9D9"/>
          <w:lang w:val="en-US" w:eastAsia="zh-CN"/>
        </w:rPr>
      </w:pPr>
      <w:r>
        <w:rPr>
          <w:rFonts w:hint="default" w:ascii="Times New Roman" w:hAnsi="Times New Roman" w:eastAsia="方正仿宋_GBK" w:cs="Times New Roman"/>
          <w:sz w:val="32"/>
          <w:szCs w:val="32"/>
          <w:shd w:val="clear" w:color="auto" w:fill="auto"/>
          <w:lang w:val="en-US" w:eastAsia="zh-CN"/>
        </w:rPr>
        <w:t>（此件公开发布）</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lang w:bidi="ar-SA"/>
        </w:rPr>
      </w:pP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sz w:val="44"/>
          <w:szCs w:val="44"/>
        </w:rPr>
      </w:pPr>
      <w:r>
        <w:rPr>
          <w:rFonts w:hint="default" w:ascii="Times New Roman" w:hAnsi="Times New Roman" w:eastAsia="方正小标宋_GBK" w:cs="Times New Roman"/>
          <w:color w:val="000000"/>
          <w:spacing w:val="0"/>
          <w:sz w:val="44"/>
          <w:szCs w:val="44"/>
        </w:rPr>
        <w:t>渝中区商贸业提振消费举措</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方正仿宋_GBK" w:cs="Times New Roman"/>
          <w:color w:val="000000"/>
          <w:spacing w:val="0"/>
          <w:sz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黑体_GBK" w:cs="Times New Roman"/>
          <w:spacing w:val="0"/>
          <w:kern w:val="0"/>
          <w:sz w:val="32"/>
          <w:szCs w:val="32"/>
        </w:rPr>
        <w:t>一、</w:t>
      </w:r>
      <w:r>
        <w:rPr>
          <w:rFonts w:hint="default" w:ascii="Times New Roman" w:hAnsi="Times New Roman" w:eastAsia="方正黑体_GBK" w:cs="Times New Roman"/>
          <w:spacing w:val="0"/>
          <w:kern w:val="0"/>
          <w:sz w:val="32"/>
          <w:szCs w:val="32"/>
          <w:lang w:val="en-US" w:eastAsia="zh-CN"/>
        </w:rPr>
        <w:t>实施</w:t>
      </w:r>
      <w:r>
        <w:rPr>
          <w:rFonts w:hint="default" w:ascii="Times New Roman" w:hAnsi="Times New Roman" w:eastAsia="方正黑体_GBK" w:cs="Times New Roman"/>
          <w:spacing w:val="0"/>
          <w:kern w:val="0"/>
          <w:sz w:val="32"/>
          <w:szCs w:val="32"/>
        </w:rPr>
        <w:t>消费促进政策。</w:t>
      </w:r>
      <w:r>
        <w:rPr>
          <w:rFonts w:hint="default" w:ascii="Times New Roman" w:hAnsi="Times New Roman" w:eastAsia="方正仿宋_GBK" w:cs="Times New Roman"/>
          <w:spacing w:val="0"/>
          <w:kern w:val="0"/>
          <w:sz w:val="32"/>
          <w:szCs w:val="32"/>
          <w:lang w:eastAsia="zh-CN"/>
        </w:rPr>
        <w:t>优化升级《渝中区关于加快国际消费中心城市核心区建设的扶持办法》，出台刺激消费一揽子政策。支持市场主体疫后引进首店品牌、创新消费场景、改造升级商业载体，最高给予一次性100万元扶持，进一步激发市场发展活力。</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黑体_GBK" w:cs="Times New Roman"/>
          <w:spacing w:val="0"/>
          <w:kern w:val="0"/>
          <w:sz w:val="32"/>
          <w:szCs w:val="32"/>
        </w:rPr>
        <w:t>二、</w:t>
      </w:r>
      <w:r>
        <w:rPr>
          <w:rFonts w:hint="default" w:ascii="Times New Roman" w:hAnsi="Times New Roman" w:eastAsia="方正黑体_GBK" w:cs="Times New Roman"/>
          <w:spacing w:val="0"/>
          <w:kern w:val="0"/>
          <w:sz w:val="32"/>
          <w:szCs w:val="32"/>
          <w:lang w:val="en-US" w:eastAsia="zh-CN"/>
        </w:rPr>
        <w:t>落实</w:t>
      </w:r>
      <w:r>
        <w:rPr>
          <w:rFonts w:hint="default" w:ascii="Times New Roman" w:hAnsi="Times New Roman" w:eastAsia="方正黑体_GBK" w:cs="Times New Roman"/>
          <w:spacing w:val="0"/>
          <w:kern w:val="0"/>
          <w:sz w:val="32"/>
          <w:szCs w:val="32"/>
        </w:rPr>
        <w:t>租金减免优惠。</w:t>
      </w:r>
      <w:r>
        <w:rPr>
          <w:rFonts w:hint="default" w:ascii="Times New Roman" w:hAnsi="Times New Roman" w:eastAsia="方正仿宋_GBK" w:cs="Times New Roman"/>
          <w:spacing w:val="0"/>
          <w:kern w:val="0"/>
          <w:sz w:val="32"/>
          <w:szCs w:val="32"/>
        </w:rPr>
        <w:t>对2022年承租国有房屋的服务业小微企业和个体工商户一律减免6个月租金，实际租期不满一年的按比例减免，2022年12月1日前已退租的不予追溯。倡导民营产业楼宇、商场、市场运营方对小微租户适度减免或返还2022年11月场地租金。</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黑体_GBK" w:cs="Times New Roman"/>
          <w:spacing w:val="0"/>
          <w:kern w:val="0"/>
          <w:sz w:val="32"/>
          <w:szCs w:val="32"/>
        </w:rPr>
        <w:t>三、</w:t>
      </w:r>
      <w:r>
        <w:rPr>
          <w:rFonts w:hint="default" w:ascii="Times New Roman" w:hAnsi="Times New Roman" w:eastAsia="方正黑体_GBK" w:cs="Times New Roman"/>
          <w:spacing w:val="0"/>
          <w:kern w:val="0"/>
          <w:sz w:val="32"/>
          <w:szCs w:val="32"/>
          <w:lang w:val="en-US" w:eastAsia="zh-CN"/>
        </w:rPr>
        <w:t>加强</w:t>
      </w:r>
      <w:r>
        <w:rPr>
          <w:rFonts w:hint="default" w:ascii="Times New Roman" w:hAnsi="Times New Roman" w:eastAsia="方正黑体_GBK" w:cs="Times New Roman"/>
          <w:spacing w:val="0"/>
          <w:kern w:val="0"/>
          <w:sz w:val="32"/>
          <w:szCs w:val="32"/>
        </w:rPr>
        <w:t>产融对接服务。</w:t>
      </w:r>
      <w:r>
        <w:rPr>
          <w:rFonts w:hint="default" w:ascii="Times New Roman" w:hAnsi="Times New Roman" w:eastAsia="方正仿宋_GBK" w:cs="Times New Roman"/>
          <w:spacing w:val="0"/>
          <w:sz w:val="32"/>
          <w:szCs w:val="32"/>
        </w:rPr>
        <w:t>用好1亿元风险补偿资金池，引导金融机构积极推广“助企贷”“复工贷”“健康云贷”“银票质押贷”等政银合作金融产品。鼓励驻区银行机构对受疫情影响较大的个体工商户和中小微企业提供优惠利率贷款，对受疫情影响暂时失去收入来源的个体工商户和中小微企业，予以展期、续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黑体_GBK" w:cs="Times New Roman"/>
          <w:spacing w:val="0"/>
          <w:kern w:val="0"/>
          <w:sz w:val="32"/>
          <w:szCs w:val="32"/>
        </w:rPr>
        <w:t>四、</w:t>
      </w:r>
      <w:r>
        <w:rPr>
          <w:rFonts w:hint="default" w:ascii="Times New Roman" w:hAnsi="Times New Roman" w:eastAsia="方正黑体_GBK" w:cs="Times New Roman"/>
          <w:spacing w:val="0"/>
          <w:kern w:val="0"/>
          <w:sz w:val="32"/>
          <w:szCs w:val="32"/>
          <w:lang w:val="en-US" w:eastAsia="zh-CN"/>
        </w:rPr>
        <w:t>发放</w:t>
      </w:r>
      <w:r>
        <w:rPr>
          <w:rFonts w:hint="default" w:ascii="Times New Roman" w:hAnsi="Times New Roman" w:eastAsia="方正黑体_GBK" w:cs="Times New Roman"/>
          <w:spacing w:val="0"/>
          <w:kern w:val="0"/>
          <w:sz w:val="32"/>
          <w:szCs w:val="32"/>
        </w:rPr>
        <w:t>惠民消费补贴。</w:t>
      </w:r>
      <w:r>
        <w:rPr>
          <w:rFonts w:hint="default" w:ascii="Times New Roman" w:hAnsi="Times New Roman" w:eastAsia="方正仿宋_GBK" w:cs="Times New Roman"/>
          <w:spacing w:val="0"/>
          <w:kern w:val="0"/>
          <w:sz w:val="32"/>
          <w:szCs w:val="32"/>
        </w:rPr>
        <w:t>联动市场主体、金融机构及三方平台，面向广大市民多轮发放千万元惠民消费劵，覆盖购物、餐饮、美容美发、酒店住宿等商圈商贸服务场所，充分发挥消费劵拉动“吃住行游购娱”的积极作用，促进消费复苏。</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黑体_GBK" w:cs="Times New Roman"/>
          <w:spacing w:val="0"/>
          <w:kern w:val="0"/>
          <w:sz w:val="32"/>
          <w:szCs w:val="32"/>
        </w:rPr>
        <w:t>五、支持商贸企业发展。</w:t>
      </w:r>
      <w:r>
        <w:rPr>
          <w:rFonts w:hint="default" w:ascii="Times New Roman" w:hAnsi="Times New Roman" w:eastAsia="方正仿宋_GBK" w:cs="Times New Roman"/>
          <w:spacing w:val="0"/>
          <w:kern w:val="0"/>
          <w:sz w:val="32"/>
          <w:szCs w:val="32"/>
        </w:rPr>
        <w:t>帮助商贸企业恢复发展，特别是加大对汽车、珠宝、钟表、3C电器等行业的帮扶力度。对开展促销活动效果好、2023年1-6月累计零售额（营业额）实现较快增长的商贸企业，一次性给予最高50万元奖励。</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黑体_GBK" w:cs="Times New Roman"/>
          <w:spacing w:val="0"/>
          <w:kern w:val="0"/>
          <w:sz w:val="32"/>
          <w:szCs w:val="32"/>
        </w:rPr>
        <w:t>六、鼓励精品节会促销。</w:t>
      </w:r>
      <w:r>
        <w:rPr>
          <w:rFonts w:hint="default" w:ascii="Times New Roman" w:hAnsi="Times New Roman" w:eastAsia="方正仿宋_GBK" w:cs="Times New Roman"/>
          <w:spacing w:val="0"/>
          <w:kern w:val="0"/>
          <w:sz w:val="32"/>
          <w:szCs w:val="32"/>
        </w:rPr>
        <w:t>对疫后积极开展复工复产、举办国际品牌快闪、新品发布、时尚秀场和国际消费品展示等活动的百货商场、特色街区和购物中心，择优给予最高不超过20万元的资金扶持。结合元旦、春节、五一等节日时段，举办成渝双城消费节、2023渝中迎春宴席展、新年欢乐购等迎新消费季节会，开展“我在渝中等你”专题营销，培育消费热点，释放消费活力。</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黑体_GBK" w:cs="Times New Roman"/>
          <w:spacing w:val="0"/>
          <w:kern w:val="0"/>
          <w:sz w:val="32"/>
          <w:szCs w:val="32"/>
        </w:rPr>
        <w:t>七、保障便民经营活动。</w:t>
      </w:r>
      <w:r>
        <w:rPr>
          <w:rFonts w:hint="default" w:ascii="Times New Roman" w:hAnsi="Times New Roman" w:eastAsia="方正仿宋_GBK" w:cs="Times New Roman"/>
          <w:spacing w:val="0"/>
          <w:kern w:val="0"/>
          <w:sz w:val="32"/>
          <w:szCs w:val="32"/>
        </w:rPr>
        <w:t>城市管理部门在不违反城市管理规定的前提下，坚持包容审慎监管和柔性执法，支持市场主体举办精品主题市集并规范经营，恢复城市烟火气。对商贸企业2023年上半年利用商圈步行街、公共广场等举办展示推广活动的，相关部门优先保障场地并在使用费上给予适当优惠。</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黑体_GBK" w:cs="Times New Roman"/>
          <w:spacing w:val="0"/>
          <w:kern w:val="0"/>
          <w:sz w:val="32"/>
          <w:szCs w:val="32"/>
        </w:rPr>
        <w:t>八、优化商业消费环境。</w:t>
      </w:r>
      <w:r>
        <w:rPr>
          <w:rFonts w:hint="default" w:ascii="Times New Roman" w:hAnsi="Times New Roman" w:eastAsia="方正仿宋_GBK" w:cs="Times New Roman"/>
          <w:spacing w:val="0"/>
          <w:kern w:val="0"/>
          <w:sz w:val="32"/>
          <w:szCs w:val="32"/>
        </w:rPr>
        <w:t>鼓励国有平台公司在核心商圈、特色街区等消费集聚地的封闭式停车场凭有效消费凭据开展免费停车优惠服务，免费时段为2023年一季度周末及节假日。倡导各大商场、购物中心同步开展停车费减免活动。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小标宋_GBK" w:cs="Times New Roman"/>
          <w:color w:val="auto"/>
          <w:sz w:val="44"/>
          <w:szCs w:val="44"/>
          <w:lang w:bidi="ar-SA"/>
        </w:rPr>
      </w:pPr>
      <w:r>
        <w:rPr>
          <w:rFonts w:hint="default" w:ascii="Times New Roman" w:hAnsi="Times New Roman" w:eastAsia="方正黑体_GBK" w:cs="Times New Roman"/>
          <w:spacing w:val="0"/>
          <w:kern w:val="0"/>
          <w:sz w:val="32"/>
          <w:szCs w:val="32"/>
        </w:rPr>
        <w:t>九、本举措自印发之日起实施，有效期至</w:t>
      </w:r>
      <w:r>
        <w:rPr>
          <w:rFonts w:hint="default" w:ascii="Times New Roman" w:hAnsi="Times New Roman" w:eastAsia="方正黑体_GBK" w:cs="Times New Roman"/>
          <w:spacing w:val="0"/>
          <w:kern w:val="0"/>
          <w:sz w:val="32"/>
          <w:szCs w:val="32"/>
        </w:rPr>
        <w:t>2023年6月30日</w:t>
      </w:r>
      <w:r>
        <w:rPr>
          <w:rFonts w:hint="default" w:ascii="Times New Roman" w:hAnsi="Times New Roman" w:eastAsia="方正黑体_GBK" w:cs="Times New Roman"/>
          <w:spacing w:val="0"/>
          <w:kern w:val="0"/>
          <w:sz w:val="32"/>
          <w:szCs w:val="32"/>
        </w:rPr>
        <w:t>。</w:t>
      </w:r>
      <w:r>
        <w:rPr>
          <w:rFonts w:hint="eastAsia" w:ascii="方正仿宋_GBK" w:hAnsi="方正仿宋_GBK" w:eastAsia="方正仿宋_GBK" w:cs="方正仿宋_GBK"/>
          <w:spacing w:val="0"/>
          <w:kern w:val="0"/>
          <w:sz w:val="32"/>
          <w:szCs w:val="32"/>
        </w:rPr>
        <w:t>本举措内政策类资金奖励和补贴，和区内其他政策有重复或冲突时，按照</w:t>
      </w:r>
      <w:r>
        <w:rPr>
          <w:rFonts w:hint="eastAsia" w:ascii="方正仿宋_GBK" w:hAnsi="方正仿宋_GBK" w:eastAsia="方正仿宋_GBK" w:cs="方正仿宋_GBK"/>
          <w:spacing w:val="0"/>
          <w:kern w:val="0"/>
          <w:sz w:val="32"/>
          <w:szCs w:val="32"/>
          <w:lang w:eastAsia="zh-CN"/>
        </w:rPr>
        <w:t>“</w:t>
      </w:r>
      <w:r>
        <w:rPr>
          <w:rFonts w:hint="eastAsia" w:ascii="方正仿宋_GBK" w:hAnsi="方正仿宋_GBK" w:eastAsia="方正仿宋_GBK" w:cs="方正仿宋_GBK"/>
          <w:spacing w:val="0"/>
          <w:kern w:val="0"/>
          <w:sz w:val="32"/>
          <w:szCs w:val="32"/>
        </w:rPr>
        <w:t>就高不重复</w:t>
      </w:r>
      <w:r>
        <w:rPr>
          <w:rFonts w:hint="eastAsia" w:ascii="方正仿宋_GBK" w:hAnsi="方正仿宋_GBK" w:eastAsia="方正仿宋_GBK" w:cs="方正仿宋_GBK"/>
          <w:spacing w:val="0"/>
          <w:kern w:val="0"/>
          <w:sz w:val="32"/>
          <w:szCs w:val="32"/>
          <w:lang w:eastAsia="zh-CN"/>
        </w:rPr>
        <w:t>”</w:t>
      </w:r>
      <w:r>
        <w:rPr>
          <w:rFonts w:hint="eastAsia" w:ascii="方正仿宋_GBK" w:hAnsi="方正仿宋_GBK" w:eastAsia="方正仿宋_GBK" w:cs="方正仿宋_GBK"/>
          <w:spacing w:val="0"/>
          <w:kern w:val="0"/>
          <w:sz w:val="32"/>
          <w:szCs w:val="32"/>
        </w:rPr>
        <w:t>原则执行。</w:t>
      </w:r>
    </w:p>
    <w:sectPr>
      <w:headerReference r:id="rId3" w:type="default"/>
      <w:footerReference r:id="rId4" w:type="default"/>
      <w:pgSz w:w="11906" w:h="16838"/>
      <w:pgMar w:top="1962" w:right="1474" w:bottom="1848" w:left="1587" w:header="851" w:footer="992" w:gutter="0"/>
      <w:paperSrc/>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LinTimes">
    <w:altName w:val="Segoe Print"/>
    <w:panose1 w:val="00000000000000000000"/>
    <w:charset w:val="00"/>
    <w:family w:val="auto"/>
    <w:pitch w:val="default"/>
    <w:sig w:usb0="00000000" w:usb1="00000000" w:usb2="00000008"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5550284"/>
    <w:rsid w:val="0E82210E"/>
    <w:rsid w:val="0FD15DC0"/>
    <w:rsid w:val="10A71497"/>
    <w:rsid w:val="16AC3237"/>
    <w:rsid w:val="18EC48BA"/>
    <w:rsid w:val="1ABC0598"/>
    <w:rsid w:val="38AE4D06"/>
    <w:rsid w:val="44D31042"/>
    <w:rsid w:val="45910F52"/>
    <w:rsid w:val="516556E7"/>
    <w:rsid w:val="520A441D"/>
    <w:rsid w:val="53645375"/>
    <w:rsid w:val="57E24855"/>
    <w:rsid w:val="5FA679F4"/>
    <w:rsid w:val="60240EB1"/>
    <w:rsid w:val="78002168"/>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4"/>
    <w:qFormat/>
    <w:uiPriority w:val="0"/>
    <w:pPr>
      <w:spacing w:after="120"/>
    </w:pPr>
    <w:rPr>
      <w:rFonts w:ascii="Calibri" w:hAnsi="Calibri"/>
    </w:rPr>
  </w:style>
  <w:style w:type="paragraph" w:styleId="4">
    <w:name w:val="Body Text First Indent"/>
    <w:basedOn w:val="3"/>
    <w:qFormat/>
    <w:uiPriority w:val="99"/>
    <w:pPr>
      <w:ind w:firstLine="420" w:firstLineChars="100"/>
    </w:pPr>
    <w:rPr>
      <w:rFonts w:ascii="Calibri" w:hAnsi="Calibri" w:eastAsia="宋体" w:cs="Times New Roman"/>
      <w:szCs w:val="24"/>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4">
    <w:name w:val="Title"/>
    <w:basedOn w:val="1"/>
    <w:next w:val="1"/>
    <w:link w:val="23"/>
    <w:qFormat/>
    <w:uiPriority w:val="0"/>
    <w:pPr>
      <w:spacing w:before="240" w:after="60"/>
      <w:jc w:val="center"/>
      <w:outlineLvl w:val="0"/>
    </w:pPr>
    <w:rPr>
      <w:rFonts w:ascii="Cambria" w:hAnsi="Cambria"/>
      <w:b/>
      <w:bCs/>
    </w:rPr>
  </w:style>
  <w:style w:type="character" w:styleId="16">
    <w:name w:val="Strong"/>
    <w:basedOn w:val="15"/>
    <w:qFormat/>
    <w:uiPriority w:val="0"/>
    <w:rPr>
      <w:b/>
      <w:bCs/>
    </w:rPr>
  </w:style>
  <w:style w:type="paragraph" w:customStyle="1" w:styleId="18">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8"/>
    <w:semiHidden/>
    <w:qFormat/>
    <w:uiPriority w:val="99"/>
    <w:rPr>
      <w:sz w:val="18"/>
      <w:szCs w:val="18"/>
    </w:rPr>
  </w:style>
  <w:style w:type="character" w:customStyle="1" w:styleId="21">
    <w:name w:val="正文文本缩进 Char"/>
    <w:basedOn w:val="15"/>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5"/>
    <w:link w:val="14"/>
    <w:qFormat/>
    <w:uiPriority w:val="0"/>
    <w:rPr>
      <w:rFonts w:ascii="Cambria" w:hAnsi="Cambria" w:eastAsia="宋体" w:cs="Times New Roman"/>
      <w:b/>
      <w:bCs/>
    </w:rPr>
  </w:style>
  <w:style w:type="character" w:customStyle="1" w:styleId="24">
    <w:name w:val="正文文本 Char"/>
    <w:basedOn w:val="15"/>
    <w:link w:val="3"/>
    <w:qFormat/>
    <w:uiPriority w:val="0"/>
    <w:rPr>
      <w:rFonts w:ascii="Calibri" w:hAnsi="Calibri" w:eastAsia="宋体" w:cs="Times New Roman"/>
    </w:rPr>
  </w:style>
  <w:style w:type="character" w:customStyle="1" w:styleId="25">
    <w:name w:val="批注框文本 Char"/>
    <w:basedOn w:val="15"/>
    <w:link w:val="7"/>
    <w:qFormat/>
    <w:uiPriority w:val="0"/>
    <w:rPr>
      <w:rFonts w:ascii="Times New Roman" w:hAnsi="Times New Roman" w:eastAsia="宋体" w:cs="Times New Roman"/>
      <w:sz w:val="18"/>
      <w:szCs w:val="18"/>
    </w:rPr>
  </w:style>
  <w:style w:type="character" w:customStyle="1" w:styleId="26">
    <w:name w:val="信息标题 Char"/>
    <w:basedOn w:val="15"/>
    <w:link w:val="2"/>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1189</Words>
  <Characters>1231</Characters>
  <Lines>68</Lines>
  <Paragraphs>19</Paragraphs>
  <ScaleCrop>false</ScaleCrop>
  <LinksUpToDate>false</LinksUpToDate>
  <CharactersWithSpaces>1274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2023-02-10T03:19:12Z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