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关于印发《渝中区促进算力经济高质量发展若干政策（试行）》的通知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57</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snapToGrid w:val="0"/>
          <w:color w:val="000000" w:themeColor="text1"/>
          <w:spacing w:val="0"/>
          <w:w w:val="100"/>
          <w:sz w:val="32"/>
          <w:szCs w:val="32"/>
          <w:lang w:eastAsia="zh-CN" w:bidi="ar-SA"/>
          <w14:textFill>
            <w14:solidFill>
              <w14:schemeClr w14:val="tx1"/>
            </w14:solidFill>
          </w14:textFill>
        </w:rPr>
        <w:t>区政府各部门、各管委会，各街道办事处，有关单位</w:t>
      </w:r>
      <w:r>
        <w:rPr>
          <w:rFonts w:hint="default" w:ascii="Times New Roman" w:hAnsi="Times New Roman" w:eastAsia="方正仿宋_GBK" w:cs="Times New Roman"/>
          <w:color w:val="000000" w:themeColor="text1"/>
          <w:spacing w:val="0"/>
          <w:w w:val="100"/>
          <w:sz w:val="32"/>
          <w:szCs w:val="32"/>
          <w:lang w:bidi="ar-SA"/>
          <w14:textFill>
            <w14:solidFill>
              <w14:schemeClr w14:val="tx1"/>
            </w14:solidFill>
          </w14:textFill>
        </w:rPr>
        <w:t>：</w:t>
      </w:r>
    </w:p>
    <w:p>
      <w:pPr>
        <w:keepNext w:val="0"/>
        <w:keepLines w:val="0"/>
        <w:pageBreakBefore w:val="0"/>
        <w:widowControl w:val="0"/>
        <w:tabs>
          <w:tab w:val="left" w:pos="7875"/>
        </w:tabs>
        <w:kinsoku/>
        <w:wordWrap/>
        <w:overflowPunct w:val="0"/>
        <w:topLinePunct w:val="0"/>
        <w:autoSpaceDE/>
        <w:autoSpaceDN/>
        <w:bidi w:val="0"/>
        <w:adjustRightInd w:val="0"/>
        <w:snapToGrid/>
        <w:spacing w:line="620" w:lineRule="exact"/>
        <w:ind w:firstLine="640" w:firstLineChars="200"/>
        <w:jc w:val="both"/>
        <w:textAlignment w:val="auto"/>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《渝中区促进算力经济高质量发展若干政策（试行）》已经区政府同意，现印发给你们，请认真</w:t>
      </w:r>
      <w:r>
        <w:rPr>
          <w:rFonts w:hint="eastAsia" w:eastAsia="方正仿宋_GBK" w:cs="Times New Roman"/>
          <w:color w:val="000000" w:themeColor="text1"/>
          <w:spacing w:val="0"/>
          <w:w w:val="100"/>
          <w:sz w:val="32"/>
          <w:szCs w:val="32"/>
          <w:lang w:val="en-US" w:eastAsia="zh-CN"/>
          <w14:textFill>
            <w14:solidFill>
              <w14:schemeClr w14:val="tx1"/>
            </w14:solidFill>
          </w14:textFill>
        </w:rPr>
        <w:t>贯彻执行</w:t>
      </w:r>
      <w:r>
        <w:rPr>
          <w:rFonts w:hint="default" w:ascii="Times New Roman" w:hAnsi="Times New Roman" w:eastAsia="方正仿宋_GBK" w:cs="Times New Roman"/>
          <w:color w:val="000000" w:themeColor="text1"/>
          <w:spacing w:val="0"/>
          <w:w w:val="10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highlight w:val="none"/>
          <w:lang w:val="en-US" w:eastAsia="zh-CN"/>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0" w:firstLineChars="0"/>
        <w:jc w:val="center"/>
        <w:textAlignment w:val="auto"/>
        <w:rPr>
          <w:rFonts w:hint="default" w:ascii="Times New Roman" w:hAnsi="Times New Roman" w:eastAsia="方正小标宋_GBK" w:cs="Times New Roman"/>
          <w:w w:val="100"/>
          <w:sz w:val="44"/>
          <w:szCs w:val="44"/>
          <w:highlight w:val="none"/>
          <w:lang w:val="en-US" w:eastAsia="zh-CN"/>
        </w:rPr>
      </w:pPr>
      <w:r>
        <w:rPr>
          <w:rFonts w:hint="default" w:ascii="Times New Roman" w:hAnsi="Times New Roman" w:eastAsia="方正小标宋_GBK" w:cs="Times New Roman"/>
          <w:w w:val="100"/>
          <w:sz w:val="44"/>
          <w:szCs w:val="44"/>
          <w:highlight w:val="none"/>
          <w:lang w:val="en-US" w:eastAsia="zh-CN"/>
        </w:rPr>
        <w:t>渝中区促进算力经济高质量发展</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rightChars="0" w:firstLine="0" w:firstLineChars="0"/>
        <w:jc w:val="center"/>
        <w:textAlignment w:val="auto"/>
        <w:rPr>
          <w:rFonts w:hint="default" w:ascii="Times New Roman" w:hAnsi="Times New Roman" w:eastAsia="方正小标宋_GBK" w:cs="Times New Roman"/>
          <w:w w:val="100"/>
          <w:sz w:val="44"/>
          <w:szCs w:val="44"/>
        </w:rPr>
      </w:pPr>
      <w:r>
        <w:rPr>
          <w:rFonts w:hint="default" w:ascii="Times New Roman" w:hAnsi="Times New Roman" w:eastAsia="方正小标宋_GBK" w:cs="Times New Roman"/>
          <w:w w:val="100"/>
          <w:sz w:val="44"/>
          <w:szCs w:val="44"/>
          <w:highlight w:val="none"/>
          <w:lang w:val="en-US" w:eastAsia="zh-CN"/>
        </w:rPr>
        <w:t>若干政策（</w:t>
      </w:r>
      <w:r>
        <w:rPr>
          <w:rFonts w:hint="default" w:ascii="Times New Roman" w:hAnsi="Times New Roman" w:eastAsia="方正小标宋_GBK" w:cs="Times New Roman"/>
          <w:w w:val="100"/>
          <w:sz w:val="44"/>
          <w:szCs w:val="44"/>
          <w:lang w:val="en-US" w:eastAsia="zh-CN"/>
        </w:rPr>
        <w:t>试行）</w:t>
      </w: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jc w:val="both"/>
        <w:textAlignment w:val="auto"/>
        <w:rPr>
          <w:rFonts w:hint="default" w:ascii="Times New Roman" w:hAnsi="Times New Roman" w:eastAsia="方正仿宋_GBK" w:cs="Times New Roman"/>
          <w:color w:val="auto"/>
          <w:w w:val="10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lang w:val="en-US" w:eastAsia="zh-CN"/>
        </w:rPr>
        <w:t>为深入实施国家算力产业发展战略，抢抓</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疆算入渝</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契机，全面贯彻落实《渝中区算力经济发展三年行动计划（2025—2027年）》，加快建成西部算电协同创新中心，夯实渝中区算力基础设施，加快算力应用推广，推动算力科技与产业融合创新，助推渝中区算力产业高质量发展，特制定本政策。</w:t>
      </w: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rPr>
          <w:rFonts w:hint="default" w:ascii="Times New Roman" w:hAnsi="Times New Roman" w:eastAsia="方正仿宋_GBK" w:cs="Times New Roman"/>
          <w:color w:val="auto"/>
          <w:w w:val="100"/>
          <w:sz w:val="32"/>
          <w:szCs w:val="32"/>
          <w:highlight w:val="none"/>
          <w:lang w:val="en-US" w:eastAsia="zh-CN"/>
        </w:rPr>
      </w:pPr>
      <w:r>
        <w:rPr>
          <w:rFonts w:hint="default" w:ascii="Times New Roman" w:hAnsi="Times New Roman" w:eastAsia="方正黑体_GBK" w:cs="Times New Roman"/>
          <w:color w:val="auto"/>
          <w:w w:val="100"/>
          <w:sz w:val="32"/>
          <w:szCs w:val="32"/>
          <w:highlight w:val="none"/>
          <w:lang w:val="en-US" w:eastAsia="zh-CN"/>
        </w:rPr>
        <w:t>第一条</w:t>
      </w:r>
      <w:r>
        <w:rPr>
          <w:rFonts w:hint="default" w:ascii="Times New Roman" w:hAnsi="Times New Roman" w:eastAsia="方正仿宋_GBK" w:cs="Times New Roman"/>
          <w:color w:val="auto"/>
          <w:w w:val="100"/>
          <w:sz w:val="32"/>
          <w:szCs w:val="32"/>
          <w:highlight w:val="none"/>
          <w:lang w:val="en-US" w:eastAsia="zh-CN"/>
        </w:rPr>
        <w:t xml:space="preserve"> 加大算力供给项目扶持力度。支持企业在渝中区自主投资建设先进算力基础设施、算力调度和运营等算力供给平台项目。根据项目的投资规模、就业贡献、营收规模、服务企业数量、算力资源规模等经综合评定后给予一次性不超过200万元的扶持。</w:t>
      </w: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rPr>
          <w:rFonts w:hint="default" w:ascii="Times New Roman" w:hAnsi="Times New Roman" w:eastAsia="方正仿宋_GBK" w:cs="Times New Roman"/>
          <w:color w:val="auto"/>
          <w:w w:val="100"/>
          <w:sz w:val="32"/>
          <w:szCs w:val="32"/>
          <w:highlight w:val="none"/>
          <w:lang w:val="en-US" w:eastAsia="zh-CN"/>
        </w:rPr>
      </w:pPr>
      <w:r>
        <w:rPr>
          <w:rFonts w:hint="default" w:ascii="Times New Roman" w:hAnsi="Times New Roman" w:eastAsia="方正黑体_GBK" w:cs="Times New Roman"/>
          <w:color w:val="auto"/>
          <w:w w:val="100"/>
          <w:sz w:val="32"/>
          <w:szCs w:val="32"/>
          <w:highlight w:val="none"/>
          <w:lang w:val="en-US" w:eastAsia="zh-CN"/>
        </w:rPr>
        <w:t>第二条</w:t>
      </w:r>
      <w:r>
        <w:rPr>
          <w:rFonts w:hint="default" w:ascii="Times New Roman" w:hAnsi="Times New Roman" w:eastAsia="方正仿宋_GBK" w:cs="Times New Roman"/>
          <w:color w:val="auto"/>
          <w:w w:val="100"/>
          <w:sz w:val="32"/>
          <w:szCs w:val="32"/>
          <w:highlight w:val="none"/>
          <w:lang w:val="en-US" w:eastAsia="zh-CN"/>
        </w:rPr>
        <w:t xml:space="preserve"> 鼓励算力技术攻关。支持企业开展算力关键技术研究，承接国家级、市级重点研发任务，加速形成重大科研成果。对符合政策规定的项目按国家、市级实际到账资助经费的10</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给予资助，扶持额度最高不超过100万元。对获得国家级荣誉或承担国家级试点任务的国产化算力项目，经综合评定后给予最高不超过20万元的扶持。</w:t>
      </w: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rPr>
          <w:rFonts w:hint="default" w:ascii="Times New Roman" w:hAnsi="Times New Roman" w:eastAsia="方正仿宋_GBK" w:cs="Times New Roman"/>
          <w:color w:val="auto"/>
          <w:w w:val="100"/>
          <w:sz w:val="32"/>
          <w:szCs w:val="32"/>
          <w:highlight w:val="none"/>
          <w:lang w:val="en-US" w:eastAsia="zh-CN"/>
        </w:rPr>
      </w:pPr>
      <w:r>
        <w:rPr>
          <w:rFonts w:hint="default" w:ascii="Times New Roman" w:hAnsi="Times New Roman" w:eastAsia="方正黑体_GBK" w:cs="Times New Roman"/>
          <w:color w:val="auto"/>
          <w:w w:val="100"/>
          <w:sz w:val="32"/>
          <w:szCs w:val="32"/>
          <w:highlight w:val="none"/>
          <w:lang w:val="en-US" w:eastAsia="zh-CN"/>
        </w:rPr>
        <w:t>第三条</w:t>
      </w:r>
      <w:r>
        <w:rPr>
          <w:rFonts w:hint="default" w:ascii="Times New Roman" w:hAnsi="Times New Roman" w:eastAsia="方正仿宋_GBK" w:cs="Times New Roman"/>
          <w:color w:val="auto"/>
          <w:w w:val="100"/>
          <w:sz w:val="32"/>
          <w:szCs w:val="32"/>
          <w:highlight w:val="none"/>
          <w:lang w:val="en-US" w:eastAsia="zh-CN"/>
        </w:rPr>
        <w:t xml:space="preserve"> 建立算力资源消纳补贴机制。支持企业、高校及科研机构使用经认定的公共算力服务平台提供的智算、超算算力资源用于人工智能研发、大数据分析、大模型开发等创新领域，根据其营收规模、投资规模、就业贡献等综合评定后给予不超过100万元的扶持。</w:t>
      </w: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rPr>
          <w:rFonts w:hint="default" w:ascii="Times New Roman" w:hAnsi="Times New Roman" w:eastAsia="方正仿宋_GBK" w:cs="Times New Roman"/>
          <w:color w:val="auto"/>
          <w:w w:val="100"/>
          <w:sz w:val="32"/>
          <w:szCs w:val="32"/>
          <w:highlight w:val="none"/>
          <w:lang w:val="en-US"/>
        </w:rPr>
      </w:pPr>
      <w:r>
        <w:rPr>
          <w:rFonts w:hint="default" w:ascii="Times New Roman" w:hAnsi="Times New Roman" w:eastAsia="方正黑体_GBK" w:cs="Times New Roman"/>
          <w:color w:val="auto"/>
          <w:w w:val="100"/>
          <w:sz w:val="32"/>
          <w:szCs w:val="32"/>
          <w:highlight w:val="none"/>
          <w:lang w:val="en-US" w:eastAsia="zh-CN"/>
        </w:rPr>
        <w:t>第四条</w:t>
      </w:r>
      <w:r>
        <w:rPr>
          <w:rFonts w:hint="default" w:ascii="Times New Roman" w:hAnsi="Times New Roman" w:eastAsia="方正仿宋_GBK" w:cs="Times New Roman"/>
          <w:color w:val="auto"/>
          <w:w w:val="100"/>
          <w:sz w:val="32"/>
          <w:szCs w:val="32"/>
          <w:highlight w:val="none"/>
          <w:lang w:val="en-US" w:eastAsia="zh-CN"/>
        </w:rPr>
        <w:t xml:space="preserve"> 推进算力赋能全市</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33618</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现代制造业集群，渝中</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4311</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现代化产业体系。支持企业、高校、科研机构使用算力资源，在四大生产性服务业、三大生活性服务业、现代建筑业及新兴产业集群方向打造</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AI+</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创新应用场景。鼓励政府机关、事业单位、国有企业和各类市场主体先行先试，建立</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AI+</w:t>
      </w:r>
      <w:r>
        <w:rPr>
          <w:rFonts w:hint="eastAsia" w:ascii="Times New Roman" w:hAnsi="Times New Roman" w:eastAsia="方正仿宋_GBK" w:cs="Times New Roman"/>
          <w:color w:val="auto"/>
          <w:w w:val="100"/>
          <w:sz w:val="32"/>
          <w:szCs w:val="32"/>
          <w:highlight w:val="none"/>
          <w:lang w:val="en-US" w:eastAsia="zh-CN"/>
        </w:rPr>
        <w:t>”</w:t>
      </w:r>
      <w:r>
        <w:rPr>
          <w:rFonts w:hint="default" w:ascii="Times New Roman" w:hAnsi="Times New Roman" w:eastAsia="方正仿宋_GBK" w:cs="Times New Roman"/>
          <w:color w:val="auto"/>
          <w:w w:val="100"/>
          <w:sz w:val="32"/>
          <w:szCs w:val="32"/>
          <w:highlight w:val="none"/>
          <w:lang w:val="en-US" w:eastAsia="zh-CN"/>
        </w:rPr>
        <w:t>技术应用场景项目库，对具有引领作用的标杆应用项目，经综合评定后给予扶持。</w:t>
      </w:r>
    </w:p>
    <w:p>
      <w:pPr>
        <w:keepNext w:val="0"/>
        <w:keepLines w:val="0"/>
        <w:pageBreakBefore w:val="0"/>
        <w:widowControl w:val="0"/>
        <w:kinsoku/>
        <w:wordWrap/>
        <w:overflowPunct w:val="0"/>
        <w:topLinePunct w:val="0"/>
        <w:autoSpaceDE/>
        <w:autoSpaceDN/>
        <w:bidi w:val="0"/>
        <w:adjustRightInd/>
        <w:snapToGrid/>
        <w:spacing w:line="620" w:lineRule="exact"/>
        <w:ind w:left="0" w:leftChars="0" w:right="0" w:rightChars="0" w:firstLine="640" w:firstLineChars="200"/>
        <w:jc w:val="both"/>
        <w:textAlignment w:val="auto"/>
        <w:rPr>
          <w:rFonts w:hint="default" w:ascii="Times New Roman" w:hAnsi="Times New Roman" w:cs="Times New Roman"/>
          <w:w w:val="100"/>
          <w:lang w:val="en-US" w:eastAsia="zh-CN"/>
        </w:rPr>
      </w:pPr>
      <w:r>
        <w:rPr>
          <w:rFonts w:hint="default" w:ascii="Times New Roman" w:hAnsi="Times New Roman" w:eastAsia="方正黑体_GBK" w:cs="Times New Roman"/>
          <w:color w:val="auto"/>
          <w:w w:val="100"/>
          <w:sz w:val="32"/>
          <w:szCs w:val="32"/>
          <w:highlight w:val="none"/>
          <w:lang w:val="en-US" w:eastAsia="zh-CN"/>
        </w:rPr>
        <w:t>第五条</w:t>
      </w:r>
      <w:r>
        <w:rPr>
          <w:rFonts w:hint="default" w:ascii="Times New Roman" w:hAnsi="Times New Roman" w:eastAsia="方正仿宋_GBK" w:cs="Times New Roman"/>
          <w:color w:val="auto"/>
          <w:w w:val="100"/>
          <w:sz w:val="32"/>
          <w:szCs w:val="32"/>
          <w:highlight w:val="none"/>
          <w:lang w:val="en-US" w:eastAsia="zh-CN"/>
        </w:rPr>
        <w:t xml:space="preserve"> 本政策为</w:t>
      </w:r>
      <w:r>
        <w:rPr>
          <w:rFonts w:hint="default" w:ascii="Times New Roman" w:hAnsi="Times New Roman" w:eastAsia="方正仿宋_GBK" w:cs="Times New Roman"/>
          <w:w w:val="100"/>
          <w:kern w:val="2"/>
          <w:sz w:val="32"/>
          <w:szCs w:val="32"/>
          <w:lang w:val="en-US" w:eastAsia="zh-CN" w:bidi="ar-SA"/>
        </w:rPr>
        <w:t>《渝中区</w:t>
      </w:r>
      <w:r>
        <w:rPr>
          <w:rFonts w:hint="eastAsia" w:ascii="Times New Roman" w:hAnsi="Times New Roman" w:eastAsia="方正仿宋_GBK" w:cs="Times New Roman"/>
          <w:w w:val="100"/>
          <w:kern w:val="2"/>
          <w:sz w:val="32"/>
          <w:szCs w:val="32"/>
          <w:lang w:val="en-US" w:eastAsia="zh-CN" w:bidi="ar-SA"/>
        </w:rPr>
        <w:t>促进</w:t>
      </w:r>
      <w:r>
        <w:rPr>
          <w:rFonts w:hint="default" w:ascii="Times New Roman" w:hAnsi="Times New Roman" w:eastAsia="方正仿宋_GBK" w:cs="Times New Roman"/>
          <w:w w:val="100"/>
          <w:kern w:val="2"/>
          <w:sz w:val="32"/>
          <w:szCs w:val="32"/>
          <w:lang w:val="en-US" w:eastAsia="zh-CN" w:bidi="ar-SA"/>
        </w:rPr>
        <w:t>软件和信息服务业</w:t>
      </w:r>
      <w:r>
        <w:rPr>
          <w:rFonts w:hint="eastAsia" w:ascii="Times New Roman" w:hAnsi="Times New Roman" w:eastAsia="方正仿宋_GBK" w:cs="Times New Roman"/>
          <w:w w:val="100"/>
          <w:kern w:val="2"/>
          <w:sz w:val="32"/>
          <w:szCs w:val="32"/>
          <w:lang w:val="en-US" w:eastAsia="zh-CN" w:bidi="ar-SA"/>
        </w:rPr>
        <w:t>高质量</w:t>
      </w:r>
      <w:r>
        <w:rPr>
          <w:rFonts w:hint="default" w:ascii="Times New Roman" w:hAnsi="Times New Roman" w:eastAsia="方正仿宋_GBK" w:cs="Times New Roman"/>
          <w:w w:val="100"/>
          <w:kern w:val="2"/>
          <w:sz w:val="32"/>
          <w:szCs w:val="32"/>
          <w:lang w:val="en-US" w:eastAsia="zh-CN" w:bidi="ar-SA"/>
        </w:rPr>
        <w:t>发</w:t>
      </w:r>
      <w:r>
        <w:rPr>
          <w:rFonts w:hint="eastAsia" w:ascii="Times New Roman" w:hAnsi="Times New Roman" w:eastAsia="方正仿宋_GBK" w:cs="Times New Roman"/>
          <w:w w:val="100"/>
          <w:kern w:val="2"/>
          <w:sz w:val="32"/>
          <w:szCs w:val="32"/>
          <w:lang w:val="en-US" w:eastAsia="zh-CN" w:bidi="ar-SA"/>
        </w:rPr>
        <w:t>展若干政策（试行）</w:t>
      </w:r>
      <w:r>
        <w:rPr>
          <w:rFonts w:hint="default" w:ascii="Times New Roman" w:hAnsi="Times New Roman" w:eastAsia="方正仿宋_GBK" w:cs="Times New Roman"/>
          <w:w w:val="100"/>
          <w:kern w:val="2"/>
          <w:sz w:val="32"/>
          <w:szCs w:val="32"/>
          <w:lang w:val="en-US" w:eastAsia="zh-CN" w:bidi="ar-SA"/>
        </w:rPr>
        <w:t>》关于算力供给与算力消纳的子政策，人才、载体等其他政策支持以</w:t>
      </w:r>
      <w:r>
        <w:rPr>
          <w:rFonts w:hint="eastAsia" w:ascii="Times New Roman" w:hAnsi="Times New Roman" w:eastAsia="方正仿宋_GBK" w:cs="Times New Roman"/>
          <w:w w:val="100"/>
          <w:kern w:val="2"/>
          <w:sz w:val="32"/>
          <w:szCs w:val="32"/>
          <w:lang w:val="en-US" w:eastAsia="zh-CN" w:bidi="ar-SA"/>
        </w:rPr>
        <w:t>上述软信政策</w:t>
      </w:r>
      <w:r>
        <w:rPr>
          <w:rFonts w:hint="default" w:ascii="Times New Roman" w:hAnsi="Times New Roman" w:eastAsia="方正仿宋_GBK" w:cs="Times New Roman"/>
          <w:w w:val="100"/>
          <w:kern w:val="2"/>
          <w:sz w:val="32"/>
          <w:szCs w:val="32"/>
          <w:lang w:val="en-US" w:eastAsia="zh-CN" w:bidi="ar-SA"/>
        </w:rPr>
        <w:t>为准。</w:t>
      </w:r>
      <w:r>
        <w:rPr>
          <w:rFonts w:hint="default" w:ascii="Times New Roman" w:hAnsi="Times New Roman" w:eastAsia="方正仿宋_GBK" w:cs="Times New Roman"/>
          <w:w w:val="100"/>
          <w:kern w:val="2"/>
          <w:sz w:val="32"/>
          <w:szCs w:val="32"/>
          <w:highlight w:val="none"/>
          <w:lang w:val="en-US" w:eastAsia="zh-CN" w:bidi="ar-SA"/>
        </w:rPr>
        <w:t>本政策自公布之日起施行。本政策实行申报认定制，申报认定工作按年度开展，区大数据发展局应每年明确申报指南及相关规则。申报主体需基于上年度经营发展情况提交申报材料，经有关部门综合审核认定后予以兑现。申报政策的企业，同一项目同时满足本政策多个条款或渝中区其他扶持政策扶持条件的，按照</w:t>
      </w:r>
      <w:r>
        <w:rPr>
          <w:rFonts w:hint="eastAsia" w:ascii="Times New Roman" w:hAnsi="Times New Roman" w:eastAsia="方正仿宋_GBK" w:cs="Times New Roman"/>
          <w:w w:val="100"/>
          <w:kern w:val="2"/>
          <w:sz w:val="32"/>
          <w:szCs w:val="32"/>
          <w:highlight w:val="none"/>
          <w:lang w:val="en-US" w:eastAsia="zh-CN" w:bidi="ar-SA"/>
        </w:rPr>
        <w:t>“</w:t>
      </w:r>
      <w:r>
        <w:rPr>
          <w:rFonts w:hint="default" w:ascii="Times New Roman" w:hAnsi="Times New Roman" w:eastAsia="方正仿宋_GBK" w:cs="Times New Roman"/>
          <w:w w:val="100"/>
          <w:kern w:val="2"/>
          <w:sz w:val="32"/>
          <w:szCs w:val="32"/>
          <w:highlight w:val="none"/>
          <w:lang w:val="en-US" w:eastAsia="zh-CN" w:bidi="ar-SA"/>
        </w:rPr>
        <w:t>就高不重复</w:t>
      </w:r>
      <w:r>
        <w:rPr>
          <w:rFonts w:hint="eastAsia" w:ascii="Times New Roman" w:hAnsi="Times New Roman" w:eastAsia="方正仿宋_GBK" w:cs="Times New Roman"/>
          <w:w w:val="100"/>
          <w:kern w:val="2"/>
          <w:sz w:val="32"/>
          <w:szCs w:val="32"/>
          <w:highlight w:val="none"/>
          <w:lang w:val="en-US" w:eastAsia="zh-CN" w:bidi="ar-SA"/>
        </w:rPr>
        <w:t>”</w:t>
      </w:r>
      <w:r>
        <w:rPr>
          <w:rFonts w:hint="default" w:ascii="Times New Roman" w:hAnsi="Times New Roman" w:eastAsia="方正仿宋_GBK" w:cs="Times New Roman"/>
          <w:w w:val="100"/>
          <w:kern w:val="2"/>
          <w:sz w:val="32"/>
          <w:szCs w:val="32"/>
          <w:highlight w:val="none"/>
          <w:lang w:val="en-US" w:eastAsia="zh-CN" w:bidi="ar-SA"/>
        </w:rPr>
        <w:t>原则执行。</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隶书_GBK">
    <w:panose1 w:val="03000509000000000000"/>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Noto Sans Syriac Eastern">
    <w:altName w:val="宋体"/>
    <w:panose1 w:val="02040503050306020203"/>
    <w:charset w:val="86"/>
    <w:family w:val="auto"/>
    <w:pitch w:val="default"/>
    <w:sig w:usb0="00000000" w:usb1="00000000" w:usb2="00000080" w:usb3="00000000" w:csb0="203E0161" w:csb1="D7FF0000"/>
  </w:font>
  <w:font w:name="DejaVu Sans">
    <w:altName w:val="Segoe Print"/>
    <w:panose1 w:val="020B0606030804020204"/>
    <w:charset w:val="00"/>
    <w:family w:val="auto"/>
    <w:pitch w:val="default"/>
    <w:sig w:usb0="00000000" w:usb1="00000000"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4788" w:leftChars="2280" w:firstLine="6400" w:firstLineChars="2000"/>
      <w:rPr>
        <w:sz w:val="32"/>
      </w:rPr>
    </w:pPr>
  </w:p>
  <w:p>
    <w:pPr>
      <w:pStyle w:val="13"/>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13"/>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466D2A"/>
    <w:rsid w:val="22BB4BBB"/>
    <w:rsid w:val="25EB1AF4"/>
    <w:rsid w:val="28B12CB8"/>
    <w:rsid w:val="29036482"/>
    <w:rsid w:val="2DD05FE1"/>
    <w:rsid w:val="2EAE3447"/>
    <w:rsid w:val="31A15F24"/>
    <w:rsid w:val="36197A9F"/>
    <w:rsid w:val="36FB1DF0"/>
    <w:rsid w:val="3893700E"/>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97A3843"/>
    <w:rsid w:val="4B62462D"/>
    <w:rsid w:val="4BC77339"/>
    <w:rsid w:val="4BFF3ECF"/>
    <w:rsid w:val="4C9236C5"/>
    <w:rsid w:val="4E0C2748"/>
    <w:rsid w:val="4E250A85"/>
    <w:rsid w:val="4FC706E9"/>
    <w:rsid w:val="4FFD4925"/>
    <w:rsid w:val="505C172E"/>
    <w:rsid w:val="506405EA"/>
    <w:rsid w:val="52441F2D"/>
    <w:rsid w:val="52F46F0B"/>
    <w:rsid w:val="532B6A10"/>
    <w:rsid w:val="539E4E99"/>
    <w:rsid w:val="53D8014D"/>
    <w:rsid w:val="54261C93"/>
    <w:rsid w:val="550C209A"/>
    <w:rsid w:val="55E064E0"/>
    <w:rsid w:val="572C6D10"/>
    <w:rsid w:val="5B005C27"/>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6F594875"/>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unhideWhenUsed/>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4"/>
    <w:qFormat/>
    <w:uiPriority w:val="0"/>
    <w:pPr>
      <w:spacing w:after="120"/>
    </w:pPr>
    <w:rPr>
      <w:rFonts w:ascii="等线" w:hAnsi="等线" w:eastAsia="等线"/>
      <w:szCs w:val="22"/>
    </w:rPr>
  </w:style>
  <w:style w:type="paragraph" w:styleId="4">
    <w:name w:val="index 7"/>
    <w:basedOn w:val="1"/>
    <w:next w:val="1"/>
    <w:qFormat/>
    <w:uiPriority w:val="0"/>
    <w:pPr>
      <w:ind w:left="2520"/>
    </w:pPr>
  </w:style>
  <w:style w:type="paragraph" w:styleId="7">
    <w:name w:val="Body Text First Indent"/>
    <w:basedOn w:val="3"/>
    <w:next w:val="1"/>
    <w:uiPriority w:val="0"/>
    <w:pPr>
      <w:ind w:firstLine="100" w:firstLineChars="100"/>
    </w:pPr>
  </w:style>
  <w:style w:type="paragraph" w:styleId="8">
    <w:name w:val="annotation text"/>
    <w:basedOn w:val="1"/>
    <w:qFormat/>
    <w:uiPriority w:val="0"/>
    <w:pPr>
      <w:jc w:val="left"/>
    </w:pPr>
  </w:style>
  <w:style w:type="paragraph" w:styleId="9">
    <w:name w:val="Body Text Indent"/>
    <w:basedOn w:val="1"/>
    <w:uiPriority w:val="0"/>
    <w:pPr>
      <w:ind w:firstLine="632" w:firstLineChars="200"/>
    </w:pPr>
    <w:rPr>
      <w:rFonts w:ascii="Times" w:hAnsi="Times" w:eastAsia="方正黑体_GBK"/>
      <w:szCs w:val="32"/>
    </w:rPr>
  </w:style>
  <w:style w:type="paragraph" w:styleId="10">
    <w:name w:val="Body Text Indent 2"/>
    <w:next w:val="1"/>
    <w:uiPriority w:val="0"/>
    <w:pPr>
      <w:widowControl w:val="0"/>
      <w:spacing w:after="120" w:afterLines="0" w:afterAutospacing="0" w:line="480" w:lineRule="auto"/>
      <w:ind w:left="420" w:leftChars="200"/>
      <w:jc w:val="both"/>
    </w:pPr>
    <w:rPr>
      <w:rFonts w:ascii="仿宋_GB2312" w:hAnsi="仿宋_GB2312" w:eastAsia="仿宋_GB2312" w:cs="Times New Roman"/>
      <w:kern w:val="2"/>
      <w:sz w:val="32"/>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9"/>
    <w:qFormat/>
    <w:uiPriority w:val="0"/>
    <w:pPr>
      <w:spacing w:after="0"/>
      <w:ind w:firstLine="420" w:firstLineChars="200"/>
    </w:pPr>
    <w:rPr>
      <w:rFonts w:ascii="Calibri" w:hAnsi="Calibri" w:eastAsia="宋体" w:cs="Times New Roman"/>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bCs/>
    </w:rPr>
  </w:style>
  <w:style w:type="paragraph" w:customStyle="1" w:styleId="18">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9">
    <w:name w:val="p0"/>
    <w:basedOn w:val="1"/>
    <w:qFormat/>
    <w:uiPriority w:val="0"/>
    <w:pPr>
      <w:widowControl/>
    </w:pPr>
    <w:rPr>
      <w:rFonts w:ascii="Calibri" w:hAnsi="Calibri" w:eastAsia="宋体" w:cs="宋体"/>
      <w:kern w:val="0"/>
      <w:szCs w:val="32"/>
    </w:rPr>
  </w:style>
  <w:style w:type="paragraph" w:customStyle="1" w:styleId="20">
    <w:name w:val="样式 1 小三"/>
    <w:qFormat/>
    <w:uiPriority w:val="0"/>
    <w:pPr>
      <w:widowControl w:val="0"/>
      <w:jc w:val="both"/>
    </w:pPr>
    <w:rPr>
      <w:rFonts w:ascii="Times New Roman" w:hAnsi="Times New Roman"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2025-06-24T06:43:00Z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