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bidi w:val="0"/>
        <w:spacing w:line="600" w:lineRule="atLeast"/>
        <w:ind w:left="0" w:leftChars="0" w:right="0" w:rightChars="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eastAsia="zh-CN"/>
        </w:rPr>
      </w:pPr>
    </w:p>
    <w:p>
      <w:pPr>
        <w:keepNext w:val="0"/>
        <w:keepLines w:val="0"/>
        <w:pageBreakBefore w:val="0"/>
        <w:kinsoku/>
        <w:overflowPunct/>
        <w:topLinePunct w:val="0"/>
        <w:bidi w:val="0"/>
        <w:spacing w:line="600" w:lineRule="atLeast"/>
        <w:ind w:left="0" w:leftChars="0" w:right="0" w:rightChars="0"/>
        <w:jc w:val="center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highlight w:val="none"/>
          <w:lang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_GBK" w:cs="Times New Roman"/>
          <w:color w:val="auto"/>
          <w:spacing w:val="0"/>
          <w:sz w:val="44"/>
          <w:szCs w:val="44"/>
          <w:highlight w:val="none"/>
          <w:lang w:eastAsia="zh-CN"/>
        </w:rPr>
      </w:pPr>
      <w:r>
        <w:rPr>
          <w:rFonts w:hint="default" w:ascii="Times New Roman" w:hAnsi="Times New Roman" w:eastAsia="方正小标宋_GBK" w:cs="Times New Roman"/>
          <w:color w:val="auto"/>
          <w:spacing w:val="0"/>
          <w:sz w:val="44"/>
          <w:szCs w:val="44"/>
          <w:highlight w:val="none"/>
          <w:lang w:eastAsia="zh-CN"/>
        </w:rPr>
        <w:t>重庆市渝中区人民政府办公室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_GBK" w:cs="Times New Roman"/>
          <w:color w:val="000000"/>
          <w:sz w:val="44"/>
          <w:szCs w:val="44"/>
          <w:highlight w:val="none"/>
        </w:rPr>
      </w:pPr>
      <w:r>
        <w:rPr>
          <w:rFonts w:hint="default" w:ascii="Times New Roman" w:hAnsi="Times New Roman" w:eastAsia="方正小标宋_GBK" w:cs="Times New Roman"/>
          <w:color w:val="auto"/>
          <w:spacing w:val="0"/>
          <w:sz w:val="44"/>
          <w:szCs w:val="44"/>
          <w:highlight w:val="none"/>
          <w:lang w:eastAsia="zh-CN"/>
        </w:rPr>
        <w:t>关于印发《渝中区促进现代金融业高质量发展若干政策（试行）》的通知</w:t>
      </w:r>
    </w:p>
    <w:p>
      <w:pPr>
        <w:keepNext w:val="0"/>
        <w:keepLines w:val="0"/>
        <w:pageBreakBefore w:val="0"/>
        <w:kinsoku/>
        <w:overflowPunct/>
        <w:topLinePunct w:val="0"/>
        <w:bidi w:val="0"/>
        <w:spacing w:line="600" w:lineRule="atLeast"/>
        <w:ind w:left="0" w:leftChars="0" w:right="0" w:rightChars="0"/>
        <w:jc w:val="center"/>
        <w:textAlignment w:val="auto"/>
        <w:rPr>
          <w:rFonts w:hint="eastAsia" w:ascii="宋体" w:hAnsi="宋体" w:eastAsia="宋体" w:cs="宋体"/>
          <w:i w:val="0"/>
          <w:caps w:val="0"/>
          <w:color w:val="auto"/>
          <w:spacing w:val="0"/>
          <w:sz w:val="44"/>
          <w:szCs w:val="44"/>
          <w:highlight w:val="none"/>
          <w:shd w:val="clear" w:fill="FFFFFF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000000" w:themeColor="text1"/>
          <w:spacing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渝中府办〔2025〕</w:t>
      </w:r>
      <w:r>
        <w:rPr>
          <w:rFonts w:hint="eastAsia" w:ascii="Times New Roman" w:hAnsi="Times New Roman" w:eastAsia="方正仿宋_GBK" w:cs="Times New Roman"/>
          <w:color w:val="000000" w:themeColor="text1"/>
          <w:spacing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47</w:t>
      </w:r>
      <w:r>
        <w:rPr>
          <w:rFonts w:hint="default" w:ascii="Times New Roman" w:hAnsi="Times New Roman" w:eastAsia="方正仿宋_GBK" w:cs="Times New Roman"/>
          <w:color w:val="000000" w:themeColor="text1"/>
          <w:spacing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jc w:val="both"/>
        <w:textAlignment w:val="auto"/>
        <w:rPr>
          <w:rFonts w:hint="default" w:ascii="Times New Roman" w:hAnsi="Times New Roman" w:eastAsia="方正仿宋_GBK" w:cs="Times New Roman"/>
          <w:snapToGrid w:val="0"/>
          <w:color w:val="000000" w:themeColor="text1"/>
          <w:spacing w:val="0"/>
          <w:w w:val="10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20" w:lineRule="exact"/>
        <w:jc w:val="both"/>
        <w:textAlignment w:val="auto"/>
        <w:rPr>
          <w:rFonts w:hint="default" w:ascii="Times New Roman" w:hAnsi="Times New Roman" w:eastAsia="方正仿宋_GBK" w:cs="Times New Roman"/>
          <w:color w:val="000000" w:themeColor="text1"/>
          <w:spacing w:val="0"/>
          <w:w w:val="10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snapToGrid w:val="0"/>
          <w:color w:val="000000" w:themeColor="text1"/>
          <w:spacing w:val="0"/>
          <w:w w:val="100"/>
          <w:sz w:val="32"/>
          <w:szCs w:val="32"/>
          <w:lang w:eastAsia="zh-CN" w:bidi="ar-SA"/>
          <w14:textFill>
            <w14:solidFill>
              <w14:schemeClr w14:val="tx1"/>
            </w14:solidFill>
          </w14:textFill>
        </w:rPr>
        <w:t>区政府各部门、各管委会，各街道办事处，有关单位</w:t>
      </w:r>
      <w:r>
        <w:rPr>
          <w:rFonts w:hint="default" w:ascii="Times New Roman" w:hAnsi="Times New Roman" w:eastAsia="方正仿宋_GBK" w:cs="Times New Roman"/>
          <w:color w:val="000000" w:themeColor="text1"/>
          <w:spacing w:val="0"/>
          <w:w w:val="100"/>
          <w:sz w:val="32"/>
          <w:szCs w:val="32"/>
          <w:lang w:bidi="ar-SA"/>
          <w14:textFill>
            <w14:solidFill>
              <w14:schemeClr w14:val="tx1"/>
            </w14:solidFill>
          </w14:textFill>
        </w:rPr>
        <w:t>：</w:t>
      </w:r>
    </w:p>
    <w:p>
      <w:pPr>
        <w:keepNext w:val="0"/>
        <w:keepLines w:val="0"/>
        <w:pageBreakBefore w:val="0"/>
        <w:widowControl w:val="0"/>
        <w:tabs>
          <w:tab w:val="left" w:pos="7875"/>
        </w:tabs>
        <w:kinsoku/>
        <w:wordWrap/>
        <w:overflowPunct w:val="0"/>
        <w:topLinePunct w:val="0"/>
        <w:autoSpaceDE/>
        <w:autoSpaceDN/>
        <w:bidi w:val="0"/>
        <w:adjustRightInd w:val="0"/>
        <w:snapToGrid/>
        <w:spacing w:line="62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 w:themeColor="text1"/>
          <w:spacing w:val="0"/>
          <w:w w:val="10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color w:val="000000" w:themeColor="text1"/>
          <w:spacing w:val="0"/>
          <w:w w:val="100"/>
          <w:sz w:val="32"/>
          <w:szCs w:val="32"/>
          <w14:textFill>
            <w14:solidFill>
              <w14:schemeClr w14:val="tx1"/>
            </w14:solidFill>
          </w14:textFill>
        </w:rPr>
        <w:t>《渝中区促进现代金融业高质量发展若干政策（试行）》已经区政府同意，现印发给你们，请认真</w:t>
      </w:r>
      <w:r>
        <w:rPr>
          <w:rFonts w:hint="eastAsia" w:eastAsia="方正仿宋_GBK" w:cs="Times New Roman"/>
          <w:color w:val="000000" w:themeColor="text1"/>
          <w:spacing w:val="0"/>
          <w:w w:val="10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贯彻执行</w:t>
      </w:r>
      <w:r>
        <w:rPr>
          <w:rFonts w:hint="default" w:ascii="Times New Roman" w:hAnsi="Times New Roman" w:eastAsia="方正仿宋_GBK" w:cs="Times New Roman"/>
          <w:color w:val="000000" w:themeColor="text1"/>
          <w:spacing w:val="0"/>
          <w:w w:val="100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left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20" w:lineRule="exact"/>
        <w:jc w:val="right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重庆市渝中区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eastAsia="zh-CN"/>
        </w:rPr>
        <w:t>人民政府办公室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20" w:lineRule="exact"/>
        <w:ind w:firstLine="5033" w:firstLineChars="1573"/>
        <w:jc w:val="left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202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年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月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27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日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jc w:val="right"/>
        <w:textAlignment w:val="auto"/>
        <w:outlineLvl w:val="9"/>
        <w:rPr>
          <w:rFonts w:hint="eastAsia" w:ascii="方正仿宋_GBK" w:hAnsi="方正仿宋_GBK" w:eastAsia="方正仿宋_GBK" w:cs="方正仿宋_GBK"/>
          <w:kern w:val="0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Fonts w:hint="default" w:ascii="方正仿宋_GBK" w:hAnsi="方正仿宋_GBK" w:eastAsia="方正仿宋_GBK" w:cs="方正仿宋_GBK"/>
          <w:kern w:val="0"/>
          <w:sz w:val="32"/>
          <w:szCs w:val="32"/>
          <w:highlight w:val="none"/>
          <w:shd w:val="clear" w:color="auto" w:fill="FFFFFF"/>
          <w:lang w:eastAsia="zh-CN" w:bidi="ar-SA"/>
        </w:rPr>
        <w:t xml:space="preserve">  </w:t>
      </w: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highlight w:val="none"/>
          <w:shd w:val="clear" w:color="auto" w:fill="FFFFFF"/>
          <w:lang w:val="en-US" w:eastAsia="zh-CN" w:bidi="ar-SA"/>
        </w:rPr>
        <w:t xml:space="preserve"> 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after="0"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kern w:val="0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highlight w:val="none"/>
          <w:shd w:val="clear" w:color="auto" w:fill="FFFFFF"/>
          <w:lang w:val="en-US" w:eastAsia="zh-CN" w:bidi="ar-SA"/>
        </w:rPr>
        <w:t>（此件公开发布）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after="0"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kern w:val="0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highlight w:val="none"/>
          <w:shd w:val="clear" w:color="auto" w:fill="FFFFFF"/>
          <w:lang w:val="en-US" w:eastAsia="zh-CN" w:bidi="ar-SA"/>
        </w:rPr>
        <w:br w:type="page"/>
      </w:r>
    </w:p>
    <w:p>
      <w:pPr>
        <w:pStyle w:val="14"/>
        <w:rPr>
          <w:rFonts w:hint="eastAsia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after="0" w:line="620" w:lineRule="exact"/>
        <w:jc w:val="center"/>
        <w:textAlignment w:val="auto"/>
        <w:rPr>
          <w:rFonts w:hint="default" w:ascii="Times New Roman" w:hAnsi="Times New Roman" w:eastAsia="方正小标宋_GBK" w:cs="Times New Roman"/>
          <w:color w:val="auto"/>
          <w:kern w:val="2"/>
          <w:sz w:val="44"/>
          <w:szCs w:val="44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after="0" w:line="620" w:lineRule="exact"/>
        <w:jc w:val="center"/>
        <w:textAlignment w:val="auto"/>
        <w:rPr>
          <w:rFonts w:hint="default" w:ascii="Times New Roman" w:hAnsi="Times New Roman" w:eastAsia="方正小标宋_GBK" w:cs="Times New Roman"/>
          <w:color w:val="auto"/>
          <w:kern w:val="2"/>
          <w:sz w:val="44"/>
          <w:szCs w:val="44"/>
          <w:highlight w:val="none"/>
        </w:rPr>
      </w:pPr>
    </w:p>
    <w:p>
      <w:pPr>
        <w:pStyle w:val="1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_GBK" w:cs="Times New Roman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渝中区促进现代金融业高质量发展</w:t>
      </w:r>
    </w:p>
    <w:p>
      <w:pPr>
        <w:pStyle w:val="1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_GBK" w:cs="Times New Roman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若干政策（试行）</w:t>
      </w:r>
    </w:p>
    <w:p>
      <w:pPr>
        <w:pStyle w:val="1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ind w:firstLine="0" w:firstLineChars="0"/>
        <w:jc w:val="center"/>
        <w:textAlignment w:val="auto"/>
        <w:rPr>
          <w:rFonts w:hint="default" w:ascii="Times New Roman" w:hAnsi="Times New Roman" w:eastAsia="方正楷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pStyle w:val="14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spacing w:line="62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333333"/>
          <w:kern w:val="2"/>
          <w:sz w:val="32"/>
          <w:szCs w:val="32"/>
          <w:shd w:val="clear" w:color="auto" w:fill="FFFFFF"/>
          <w:lang w:eastAsia="zh-CN"/>
        </w:rPr>
      </w:pPr>
      <w:r>
        <w:rPr>
          <w:rFonts w:hint="default" w:ascii="Times New Roman" w:hAnsi="Times New Roman" w:eastAsia="方正仿宋_GBK" w:cs="Times New Roman"/>
          <w:color w:val="333333"/>
          <w:kern w:val="2"/>
          <w:sz w:val="32"/>
          <w:szCs w:val="32"/>
          <w:shd w:val="clear" w:color="auto" w:fill="FFFFFF"/>
        </w:rPr>
        <w:t>为</w:t>
      </w:r>
      <w:r>
        <w:rPr>
          <w:rFonts w:hint="default" w:ascii="Times New Roman" w:hAnsi="Times New Roman" w:eastAsia="方正仿宋_GBK" w:cs="Times New Roman"/>
          <w:color w:val="333333"/>
          <w:kern w:val="2"/>
          <w:sz w:val="32"/>
          <w:szCs w:val="32"/>
          <w:shd w:val="clear" w:color="auto" w:fill="FFFFFF"/>
          <w:lang w:eastAsia="zh-CN"/>
        </w:rPr>
        <w:t>充分贯彻落实</w:t>
      </w:r>
      <w:r>
        <w:rPr>
          <w:rFonts w:hint="default" w:ascii="Times New Roman" w:hAnsi="Times New Roman" w:eastAsia="方正仿宋_GBK" w:cs="Times New Roman"/>
          <w:color w:val="333333"/>
          <w:kern w:val="2"/>
          <w:sz w:val="32"/>
          <w:szCs w:val="32"/>
          <w:shd w:val="clear" w:color="auto" w:fill="FFFFFF"/>
        </w:rPr>
        <w:t>习近平总书记</w:t>
      </w:r>
      <w:r>
        <w:rPr>
          <w:rFonts w:hint="default" w:ascii="Times New Roman" w:hAnsi="Times New Roman" w:eastAsia="方正仿宋_GBK" w:cs="Times New Roman"/>
          <w:color w:val="333333"/>
          <w:kern w:val="2"/>
          <w:sz w:val="32"/>
          <w:szCs w:val="32"/>
          <w:shd w:val="clear" w:color="auto" w:fill="FFFFFF"/>
          <w:lang w:eastAsia="zh-CN"/>
        </w:rPr>
        <w:t>赋予重庆</w:t>
      </w:r>
      <w:r>
        <w:rPr>
          <w:rFonts w:hint="default" w:ascii="Times New Roman" w:hAnsi="Times New Roman" w:eastAsia="方正仿宋_GBK" w:cs="Times New Roman"/>
          <w:color w:val="333333"/>
          <w:kern w:val="2"/>
          <w:sz w:val="32"/>
          <w:szCs w:val="32"/>
          <w:shd w:val="clear" w:color="auto" w:fill="FFFFFF"/>
        </w:rPr>
        <w:t>建设西部金融中心</w:t>
      </w:r>
      <w:r>
        <w:rPr>
          <w:rFonts w:hint="default" w:ascii="Times New Roman" w:hAnsi="Times New Roman" w:eastAsia="方正仿宋_GBK" w:cs="Times New Roman"/>
          <w:color w:val="333333"/>
          <w:kern w:val="2"/>
          <w:sz w:val="32"/>
          <w:szCs w:val="32"/>
          <w:shd w:val="clear" w:color="auto" w:fill="FFFFFF"/>
          <w:lang w:eastAsia="zh-CN"/>
        </w:rPr>
        <w:t>的重要部署，</w:t>
      </w:r>
      <w:r>
        <w:rPr>
          <w:rFonts w:hint="default" w:ascii="Times New Roman" w:hAnsi="Times New Roman" w:eastAsia="方正仿宋_GBK" w:cs="Times New Roman"/>
          <w:color w:val="333333"/>
          <w:kern w:val="2"/>
          <w:sz w:val="32"/>
          <w:szCs w:val="32"/>
          <w:shd w:val="clear" w:color="auto" w:fill="FFFFFF"/>
        </w:rPr>
        <w:t>深入落实</w:t>
      </w:r>
      <w:r>
        <w:rPr>
          <w:rFonts w:hint="default" w:ascii="Times New Roman" w:hAnsi="Times New Roman" w:eastAsia="方正仿宋_GBK" w:cs="Times New Roman"/>
          <w:color w:val="333333"/>
          <w:kern w:val="2"/>
          <w:sz w:val="32"/>
          <w:szCs w:val="32"/>
          <w:shd w:val="clear" w:color="auto" w:fill="FFFFFF"/>
          <w:lang w:eastAsia="zh-CN"/>
        </w:rPr>
        <w:t>全市</w:t>
      </w:r>
      <w:r>
        <w:rPr>
          <w:rFonts w:hint="eastAsia" w:ascii="Times New Roman" w:hAnsi="Times New Roman" w:eastAsia="方正仿宋_GBK" w:cs="Times New Roman"/>
          <w:color w:val="000000" w:themeColor="text1"/>
          <w:kern w:val="2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default" w:ascii="Times New Roman" w:hAnsi="Times New Roman" w:eastAsia="方正仿宋_GBK" w:cs="Times New Roman"/>
          <w:color w:val="333333"/>
          <w:kern w:val="2"/>
          <w:sz w:val="32"/>
          <w:szCs w:val="32"/>
          <w:shd w:val="clear" w:color="auto" w:fill="FFFFFF"/>
        </w:rPr>
        <w:t>智融惠畅</w:t>
      </w:r>
      <w:r>
        <w:rPr>
          <w:rFonts w:hint="eastAsia" w:ascii="Times New Roman" w:hAnsi="Times New Roman" w:eastAsia="方正仿宋_GBK" w:cs="Times New Roman"/>
          <w:color w:val="000000" w:themeColor="text1"/>
          <w:kern w:val="2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default" w:ascii="Times New Roman" w:hAnsi="Times New Roman" w:eastAsia="方正仿宋_GBK" w:cs="Times New Roman"/>
          <w:color w:val="333333"/>
          <w:kern w:val="2"/>
          <w:sz w:val="32"/>
          <w:szCs w:val="32"/>
          <w:shd w:val="clear" w:color="auto" w:fill="FFFFFF"/>
        </w:rPr>
        <w:t>工程，</w:t>
      </w:r>
      <w:r>
        <w:rPr>
          <w:rFonts w:hint="default" w:ascii="Times New Roman" w:hAnsi="Times New Roman" w:eastAsia="方正仿宋_GBK" w:cs="Times New Roman"/>
          <w:color w:val="333333"/>
          <w:kern w:val="2"/>
          <w:sz w:val="32"/>
          <w:szCs w:val="32"/>
          <w:shd w:val="clear" w:color="auto" w:fill="FFFFFF"/>
          <w:lang w:eastAsia="zh-CN"/>
        </w:rPr>
        <w:t>奋力书写</w:t>
      </w:r>
      <w:r>
        <w:rPr>
          <w:rFonts w:hint="default" w:ascii="Times New Roman" w:hAnsi="Times New Roman" w:eastAsia="方正仿宋_GBK" w:cs="Times New Roman"/>
          <w:color w:val="333333"/>
          <w:kern w:val="2"/>
          <w:sz w:val="32"/>
          <w:szCs w:val="32"/>
          <w:shd w:val="clear" w:color="auto" w:fill="FFFFFF"/>
        </w:rPr>
        <w:t>金融</w:t>
      </w:r>
      <w:r>
        <w:rPr>
          <w:rFonts w:hint="eastAsia" w:ascii="Times New Roman" w:hAnsi="Times New Roman" w:eastAsia="方正仿宋_GBK" w:cs="Times New Roman"/>
          <w:color w:val="000000" w:themeColor="text1"/>
          <w:kern w:val="2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default" w:ascii="Times New Roman" w:hAnsi="Times New Roman" w:eastAsia="方正仿宋_GBK" w:cs="Times New Roman"/>
          <w:color w:val="333333"/>
          <w:kern w:val="2"/>
          <w:sz w:val="32"/>
          <w:szCs w:val="32"/>
          <w:shd w:val="clear" w:color="auto" w:fill="FFFFFF"/>
        </w:rPr>
        <w:t>五篇大文章</w:t>
      </w:r>
      <w:r>
        <w:rPr>
          <w:rFonts w:hint="eastAsia" w:ascii="Times New Roman" w:hAnsi="Times New Roman" w:eastAsia="方正仿宋_GBK" w:cs="Times New Roman"/>
          <w:color w:val="000000" w:themeColor="text1"/>
          <w:kern w:val="2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default" w:ascii="Times New Roman" w:hAnsi="Times New Roman" w:eastAsia="方正仿宋_GBK" w:cs="Times New Roman"/>
          <w:color w:val="333333"/>
          <w:kern w:val="2"/>
          <w:sz w:val="32"/>
          <w:szCs w:val="32"/>
          <w:shd w:val="clear" w:color="auto" w:fill="FFFFFF"/>
        </w:rPr>
        <w:t>，</w:t>
      </w:r>
      <w:r>
        <w:rPr>
          <w:rFonts w:hint="default" w:ascii="Times New Roman" w:hAnsi="Times New Roman" w:eastAsia="方正仿宋_GBK" w:cs="Times New Roman"/>
          <w:color w:val="333333"/>
          <w:kern w:val="2"/>
          <w:sz w:val="32"/>
          <w:szCs w:val="32"/>
          <w:shd w:val="clear" w:color="auto" w:fill="FFFFFF"/>
          <w:lang w:eastAsia="zh-CN"/>
        </w:rPr>
        <w:t>加快</w:t>
      </w:r>
      <w:r>
        <w:rPr>
          <w:rFonts w:hint="default" w:ascii="Times New Roman" w:hAnsi="Times New Roman" w:eastAsia="方正仿宋_GBK" w:cs="Times New Roman"/>
          <w:color w:val="333333"/>
          <w:kern w:val="2"/>
          <w:sz w:val="32"/>
          <w:szCs w:val="32"/>
          <w:shd w:val="clear" w:color="auto" w:fill="FFFFFF"/>
        </w:rPr>
        <w:t>打造西部金融中心主承载区，</w:t>
      </w:r>
      <w:r>
        <w:rPr>
          <w:rFonts w:hint="default" w:ascii="Times New Roman" w:hAnsi="Times New Roman" w:eastAsia="方正仿宋_GBK" w:cs="Times New Roman"/>
          <w:color w:val="333333"/>
          <w:kern w:val="2"/>
          <w:sz w:val="32"/>
          <w:szCs w:val="32"/>
          <w:shd w:val="clear" w:color="auto" w:fill="FFFFFF"/>
          <w:lang w:eastAsia="zh-CN"/>
        </w:rPr>
        <w:t>全力</w:t>
      </w:r>
      <w:r>
        <w:rPr>
          <w:rFonts w:hint="default" w:ascii="Times New Roman" w:hAnsi="Times New Roman" w:eastAsia="方正仿宋_GBK" w:cs="Times New Roman"/>
          <w:color w:val="333333"/>
          <w:kern w:val="2"/>
          <w:sz w:val="32"/>
          <w:szCs w:val="32"/>
          <w:shd w:val="clear" w:color="auto" w:fill="FFFFFF"/>
        </w:rPr>
        <w:t>推动</w:t>
      </w:r>
      <w:r>
        <w:rPr>
          <w:rFonts w:hint="default" w:ascii="Times New Roman" w:hAnsi="Times New Roman" w:eastAsia="方正仿宋_GBK" w:cs="Times New Roman"/>
          <w:color w:val="333333"/>
          <w:kern w:val="2"/>
          <w:sz w:val="32"/>
          <w:szCs w:val="32"/>
          <w:shd w:val="clear" w:color="auto" w:fill="FFFFFF"/>
          <w:lang w:eastAsia="zh-CN"/>
        </w:rPr>
        <w:t>渝中区</w:t>
      </w:r>
      <w:r>
        <w:rPr>
          <w:rFonts w:hint="default" w:ascii="Times New Roman" w:hAnsi="Times New Roman" w:eastAsia="方正仿宋_GBK" w:cs="Times New Roman"/>
          <w:color w:val="333333"/>
          <w:kern w:val="2"/>
          <w:sz w:val="32"/>
          <w:szCs w:val="32"/>
          <w:shd w:val="clear" w:color="auto" w:fill="FFFFFF"/>
        </w:rPr>
        <w:t>金融业高质量发展</w:t>
      </w:r>
      <w:r>
        <w:rPr>
          <w:rFonts w:hint="default" w:ascii="Times New Roman" w:hAnsi="Times New Roman" w:eastAsia="方正仿宋_GBK" w:cs="Times New Roman"/>
          <w:color w:val="333333"/>
          <w:kern w:val="2"/>
          <w:sz w:val="32"/>
          <w:szCs w:val="32"/>
          <w:shd w:val="clear" w:color="auto" w:fill="FFFFFF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color w:val="333333"/>
          <w:kern w:val="2"/>
          <w:sz w:val="32"/>
          <w:szCs w:val="32"/>
          <w:shd w:val="clear" w:color="auto" w:fill="FFFFFF"/>
        </w:rPr>
        <w:t>结合本区实际，制定本</w:t>
      </w:r>
      <w:r>
        <w:rPr>
          <w:rFonts w:hint="default" w:ascii="Times New Roman" w:hAnsi="Times New Roman" w:eastAsia="方正仿宋_GBK" w:cs="Times New Roman"/>
          <w:color w:val="333333"/>
          <w:kern w:val="2"/>
          <w:sz w:val="32"/>
          <w:szCs w:val="32"/>
          <w:shd w:val="clear" w:color="auto" w:fill="FFFFFF"/>
          <w:lang w:eastAsia="zh-CN"/>
        </w:rPr>
        <w:t>政策。</w:t>
      </w:r>
    </w:p>
    <w:p>
      <w:pPr>
        <w:keepNext w:val="0"/>
        <w:keepLines w:val="0"/>
        <w:pageBreakBefore w:val="0"/>
        <w:numPr>
          <w:ilvl w:val="0"/>
          <w:numId w:val="0"/>
        </w:numPr>
        <w:pBdr>
          <w:left w:val="none" w:color="auto" w:sz="0" w:space="2"/>
          <w:bottom w:val="none" w:color="auto" w:sz="0" w:space="10"/>
        </w:pBdr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62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333333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方正黑体_GBK" w:cs="Times New Roman"/>
          <w:color w:val="000000" w:themeColor="text1"/>
          <w:kern w:val="2"/>
          <w:sz w:val="32"/>
          <w:szCs w:val="32"/>
          <w:shd w:val="clear"/>
          <w:lang w:val="en-US" w:eastAsia="zh-CN" w:bidi="ar-SA"/>
          <w14:textFill>
            <w14:solidFill>
              <w14:schemeClr w14:val="tx1"/>
            </w14:solidFill>
          </w14:textFill>
        </w:rPr>
        <w:t xml:space="preserve">第一条  </w:t>
      </w:r>
      <w:r>
        <w:rPr>
          <w:rFonts w:hint="default" w:ascii="Times New Roman" w:hAnsi="Times New Roman" w:eastAsia="方正黑体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适用范围。</w:t>
      </w:r>
      <w:r>
        <w:rPr>
          <w:rFonts w:hint="default" w:ascii="Times New Roman" w:hAnsi="Times New Roman" w:eastAsia="方正仿宋_GBK" w:cs="Times New Roman"/>
          <w:color w:val="333333"/>
          <w:sz w:val="32"/>
          <w:szCs w:val="32"/>
          <w:shd w:val="clear" w:color="auto" w:fill="FFFFFF"/>
        </w:rPr>
        <w:t>本</w:t>
      </w:r>
      <w:r>
        <w:rPr>
          <w:rFonts w:hint="default" w:eastAsia="方正仿宋_GBK" w:cs="Times New Roman"/>
          <w:color w:val="333333"/>
          <w:sz w:val="32"/>
          <w:szCs w:val="32"/>
          <w:shd w:val="clear" w:color="auto" w:fill="FFFFFF"/>
          <w:lang w:val="en-US" w:eastAsia="zh-CN"/>
        </w:rPr>
        <w:t>政策</w:t>
      </w:r>
      <w:r>
        <w:rPr>
          <w:rFonts w:hint="default" w:ascii="Times New Roman" w:hAnsi="Times New Roman" w:eastAsia="方正仿宋_GBK" w:cs="Times New Roman"/>
          <w:color w:val="333333"/>
          <w:sz w:val="32"/>
          <w:szCs w:val="32"/>
          <w:shd w:val="clear" w:color="auto" w:fill="FFFFFF"/>
        </w:rPr>
        <w:t>适用于在本区的银行</w:t>
      </w:r>
      <w:r>
        <w:rPr>
          <w:rFonts w:hint="default" w:ascii="Times New Roman" w:hAnsi="Times New Roman" w:eastAsia="方正仿宋_GBK" w:cs="Times New Roman"/>
          <w:color w:val="333333"/>
          <w:sz w:val="32"/>
          <w:szCs w:val="32"/>
          <w:shd w:val="clear" w:color="auto" w:fill="FFFFFF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color w:val="333333"/>
          <w:sz w:val="32"/>
          <w:szCs w:val="32"/>
          <w:shd w:val="clear" w:color="auto" w:fill="FFFFFF"/>
        </w:rPr>
        <w:t>保险、证券等纳入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default" w:ascii="Times New Roman" w:hAnsi="Times New Roman" w:eastAsia="方正仿宋_GBK" w:cs="Times New Roman"/>
          <w:color w:val="333333"/>
          <w:sz w:val="32"/>
          <w:szCs w:val="32"/>
          <w:shd w:val="clear" w:color="auto" w:fill="FFFFFF"/>
        </w:rPr>
        <w:t>一行</w:t>
      </w:r>
      <w:r>
        <w:rPr>
          <w:rFonts w:hint="default" w:ascii="Times New Roman" w:hAnsi="Times New Roman" w:eastAsia="方正仿宋_GBK" w:cs="Times New Roman"/>
          <w:color w:val="333333"/>
          <w:sz w:val="32"/>
          <w:szCs w:val="32"/>
          <w:shd w:val="clear" w:color="auto" w:fill="FFFFFF"/>
          <w:lang w:val="en-US" w:eastAsia="zh-CN"/>
        </w:rPr>
        <w:t>一局一</w:t>
      </w:r>
      <w:r>
        <w:rPr>
          <w:rFonts w:hint="default" w:ascii="Times New Roman" w:hAnsi="Times New Roman" w:eastAsia="方正仿宋_GBK" w:cs="Times New Roman"/>
          <w:color w:val="333333"/>
          <w:sz w:val="32"/>
          <w:szCs w:val="32"/>
          <w:shd w:val="clear" w:color="auto" w:fill="FFFFFF"/>
        </w:rPr>
        <w:t>会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default" w:ascii="Times New Roman" w:hAnsi="Times New Roman" w:eastAsia="方正仿宋_GBK" w:cs="Times New Roman"/>
          <w:color w:val="333333"/>
          <w:sz w:val="32"/>
          <w:szCs w:val="32"/>
          <w:shd w:val="clear" w:color="auto" w:fill="FFFFFF"/>
        </w:rPr>
        <w:t>监管的各类持牌金融机构</w:t>
      </w:r>
      <w:r>
        <w:rPr>
          <w:rFonts w:hint="default" w:ascii="Times New Roman" w:hAnsi="Times New Roman" w:eastAsia="方正仿宋_GBK" w:cs="Times New Roman"/>
          <w:color w:val="333333"/>
          <w:sz w:val="32"/>
          <w:szCs w:val="32"/>
          <w:shd w:val="clear" w:color="auto" w:fill="FFFFFF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color w:val="333333"/>
          <w:sz w:val="32"/>
          <w:szCs w:val="32"/>
          <w:shd w:val="clear" w:color="auto" w:fill="FFFFFF"/>
        </w:rPr>
        <w:t>符合《重庆市地方金融监督管理条例》相关规定的地方金融组织</w:t>
      </w:r>
      <w:r>
        <w:rPr>
          <w:rFonts w:hint="default" w:ascii="Times New Roman" w:hAnsi="Times New Roman" w:eastAsia="方正仿宋_GBK" w:cs="Times New Roman"/>
          <w:color w:val="333333"/>
          <w:sz w:val="32"/>
          <w:szCs w:val="32"/>
          <w:shd w:val="clear" w:color="auto" w:fill="FFFFFF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color w:val="333333"/>
          <w:sz w:val="32"/>
          <w:szCs w:val="32"/>
          <w:shd w:val="clear" w:color="auto" w:fill="FFFFFF"/>
          <w:lang w:val="en-US" w:eastAsia="zh-CN"/>
        </w:rPr>
        <w:t>以及金融行业协会</w:t>
      </w:r>
      <w:r>
        <w:rPr>
          <w:rFonts w:hint="default" w:ascii="Times New Roman" w:hAnsi="Times New Roman" w:eastAsia="方正仿宋_GBK" w:cs="Times New Roman"/>
          <w:color w:val="333333"/>
          <w:sz w:val="32"/>
          <w:szCs w:val="32"/>
          <w:shd w:val="clear" w:color="auto" w:fill="FFFFFF"/>
        </w:rPr>
        <w:t>。相关主体须符合</w:t>
      </w:r>
      <w:r>
        <w:rPr>
          <w:rFonts w:hint="default" w:ascii="Times New Roman" w:hAnsi="Times New Roman" w:eastAsia="方正仿宋_GBK" w:cs="Times New Roman"/>
          <w:color w:val="333333"/>
          <w:sz w:val="32"/>
          <w:szCs w:val="32"/>
          <w:shd w:val="clear" w:color="auto" w:fill="FFFFFF"/>
          <w:lang w:eastAsia="zh-CN"/>
        </w:rPr>
        <w:t>渝中</w:t>
      </w:r>
      <w:r>
        <w:rPr>
          <w:rFonts w:hint="default" w:ascii="Times New Roman" w:hAnsi="Times New Roman" w:eastAsia="方正仿宋_GBK" w:cs="Times New Roman"/>
          <w:color w:val="333333"/>
          <w:sz w:val="32"/>
          <w:szCs w:val="32"/>
          <w:shd w:val="clear" w:color="auto" w:fill="FFFFFF"/>
        </w:rPr>
        <w:t>区产业发展导向，经营状况良好，无严重违法失信行为。</w:t>
      </w:r>
    </w:p>
    <w:p>
      <w:pPr>
        <w:keepNext w:val="0"/>
        <w:keepLines w:val="0"/>
        <w:pageBreakBefore w:val="0"/>
        <w:numPr>
          <w:ilvl w:val="-1"/>
          <w:numId w:val="0"/>
        </w:numPr>
        <w:pBdr>
          <w:left w:val="none" w:color="auto" w:sz="0" w:space="2"/>
          <w:bottom w:val="none" w:color="auto" w:sz="0" w:space="10"/>
        </w:pBdr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620" w:lineRule="exact"/>
        <w:ind w:firstLine="640" w:firstLineChars="200"/>
        <w:jc w:val="both"/>
        <w:textAlignment w:val="auto"/>
        <w:rPr>
          <w:rFonts w:ascii="Times New Roman" w:hAnsi="Times New Roman" w:eastAsia="方正黑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黑体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第二条</w:t>
      </w:r>
      <w:r>
        <w:rPr>
          <w:rFonts w:hint="default" w:ascii="Times New Roman" w:hAnsi="Times New Roman" w:eastAsia="方正黑体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eastAsia="方正黑体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支持金融机构集聚发展。</w:t>
      </w:r>
      <w:r>
        <w:rPr>
          <w:rFonts w:hint="default" w:ascii="Times New Roman" w:hAnsi="Times New Roman" w:eastAsia="方正仿宋_GBK" w:cs="Times New Roman"/>
          <w:color w:val="333333"/>
          <w:sz w:val="32"/>
          <w:szCs w:val="32"/>
          <w:highlight w:val="none"/>
          <w:shd w:val="clear" w:color="auto" w:fill="FFFFFF"/>
        </w:rPr>
        <w:t>鼓励境内外持牌金融机构设立法人</w:t>
      </w:r>
      <w:r>
        <w:rPr>
          <w:rFonts w:hint="default" w:ascii="Times New Roman" w:hAnsi="Times New Roman" w:eastAsia="方正仿宋_GBK" w:cs="Times New Roman"/>
          <w:color w:val="333333"/>
          <w:sz w:val="32"/>
          <w:szCs w:val="32"/>
          <w:highlight w:val="none"/>
          <w:shd w:val="clear" w:color="auto" w:fill="FFFFFF"/>
          <w:lang w:eastAsia="zh-CN"/>
        </w:rPr>
        <w:t>总部</w:t>
      </w:r>
      <w:r>
        <w:rPr>
          <w:rFonts w:hint="default" w:ascii="Times New Roman" w:hAnsi="Times New Roman" w:eastAsia="方正仿宋_GBK" w:cs="Times New Roman"/>
          <w:color w:val="333333"/>
          <w:sz w:val="32"/>
          <w:szCs w:val="32"/>
          <w:highlight w:val="none"/>
          <w:shd w:val="clear" w:color="auto" w:fill="FFFFFF"/>
        </w:rPr>
        <w:t>、</w:t>
      </w:r>
      <w:r>
        <w:rPr>
          <w:rFonts w:hint="default" w:ascii="Times New Roman" w:hAnsi="Times New Roman" w:eastAsia="方正仿宋_GBK" w:cs="Times New Roman"/>
          <w:color w:val="333333"/>
          <w:sz w:val="32"/>
          <w:szCs w:val="32"/>
          <w:highlight w:val="none"/>
          <w:shd w:val="clear" w:color="auto" w:fill="FFFFFF"/>
          <w:lang w:eastAsia="zh-CN"/>
        </w:rPr>
        <w:t>地区</w:t>
      </w:r>
      <w:r>
        <w:rPr>
          <w:rFonts w:hint="default" w:ascii="Times New Roman" w:hAnsi="Times New Roman" w:eastAsia="方正仿宋_GBK" w:cs="Times New Roman"/>
          <w:color w:val="333333"/>
          <w:sz w:val="32"/>
          <w:szCs w:val="32"/>
          <w:highlight w:val="none"/>
          <w:shd w:val="clear" w:color="auto" w:fill="FFFFFF"/>
        </w:rPr>
        <w:t>总部、</w:t>
      </w:r>
      <w:r>
        <w:rPr>
          <w:rFonts w:hint="default" w:ascii="Times New Roman" w:hAnsi="Times New Roman" w:eastAsia="方正仿宋_GBK" w:cs="Times New Roman"/>
          <w:color w:val="333333"/>
          <w:sz w:val="32"/>
          <w:szCs w:val="32"/>
          <w:highlight w:val="none"/>
          <w:shd w:val="clear" w:color="auto" w:fill="FFFFFF"/>
          <w:lang w:eastAsia="zh-CN"/>
        </w:rPr>
        <w:t>市级</w:t>
      </w:r>
      <w:r>
        <w:rPr>
          <w:rFonts w:hint="default" w:ascii="Times New Roman" w:hAnsi="Times New Roman" w:eastAsia="方正仿宋_GBK" w:cs="Times New Roman"/>
          <w:color w:val="333333"/>
          <w:sz w:val="32"/>
          <w:szCs w:val="32"/>
          <w:highlight w:val="none"/>
          <w:shd w:val="clear" w:color="auto" w:fill="FFFFFF"/>
        </w:rPr>
        <w:t>机构。对各类优质金融机构，经综合认定给予</w:t>
      </w:r>
      <w:r>
        <w:rPr>
          <w:rFonts w:hint="default" w:ascii="Times New Roman" w:hAnsi="Times New Roman" w:eastAsia="方正仿宋_GBK" w:cs="Times New Roman"/>
          <w:color w:val="333333"/>
          <w:sz w:val="32"/>
          <w:szCs w:val="32"/>
          <w:highlight w:val="none"/>
          <w:shd w:val="clear" w:color="auto" w:fill="FFFFFF"/>
          <w:lang w:val="en-US" w:eastAsia="zh-CN"/>
        </w:rPr>
        <w:t>最高1000</w:t>
      </w:r>
      <w:r>
        <w:rPr>
          <w:rFonts w:hint="default" w:ascii="Times New Roman" w:hAnsi="Times New Roman" w:eastAsia="方正仿宋_GBK" w:cs="Times New Roman"/>
          <w:color w:val="333333"/>
          <w:sz w:val="32"/>
          <w:szCs w:val="32"/>
          <w:highlight w:val="none"/>
          <w:shd w:val="clear" w:color="auto" w:fill="FFFFFF"/>
        </w:rPr>
        <w:t>万元的</w:t>
      </w:r>
      <w:r>
        <w:rPr>
          <w:rFonts w:hint="default" w:ascii="Times New Roman" w:hAnsi="Times New Roman" w:eastAsia="方正仿宋_GBK" w:cs="Times New Roman"/>
          <w:color w:val="333333"/>
          <w:sz w:val="32"/>
          <w:szCs w:val="32"/>
          <w:highlight w:val="none"/>
          <w:shd w:val="clear" w:color="auto" w:fill="FFFFFF"/>
          <w:lang w:eastAsia="zh-CN"/>
        </w:rPr>
        <w:t>扶持</w:t>
      </w:r>
      <w:r>
        <w:rPr>
          <w:rFonts w:hint="default" w:ascii="Times New Roman" w:hAnsi="Times New Roman" w:eastAsia="方正仿宋_GBK" w:cs="Times New Roman"/>
          <w:color w:val="333333"/>
          <w:sz w:val="32"/>
          <w:szCs w:val="32"/>
          <w:highlight w:val="none"/>
          <w:shd w:val="clear" w:color="auto" w:fill="FFFFFF"/>
        </w:rPr>
        <w:t>。</w:t>
      </w:r>
    </w:p>
    <w:p>
      <w:pPr>
        <w:keepNext w:val="0"/>
        <w:keepLines w:val="0"/>
        <w:pageBreakBefore w:val="0"/>
        <w:pBdr>
          <w:left w:val="none" w:color="auto" w:sz="0" w:space="2"/>
          <w:bottom w:val="none" w:color="auto" w:sz="0" w:space="10"/>
        </w:pBdr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62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黑体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第三条  支持</w:t>
      </w:r>
      <w:r>
        <w:rPr>
          <w:rFonts w:hint="default" w:ascii="Times New Roman" w:hAnsi="Times New Roman" w:eastAsia="方正黑体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设立</w:t>
      </w:r>
      <w:r>
        <w:rPr>
          <w:rFonts w:hint="default" w:ascii="Times New Roman" w:hAnsi="Times New Roman" w:eastAsia="方正黑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行业自律组织。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鼓励具备条件的市场主体发起设立行业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联盟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协会、联合会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等行业自律组织，促进行业持续、快速、健康发展。对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国家、省（直辖市）级行业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自律组织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入驻我区并实际运行的，前3年每年给予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最高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万元的运行补贴。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全球、全国知名高校学院来渝中设立金融相关分院或研究院，经综合认定，可参照行业协会予以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扶持）</w:t>
      </w:r>
    </w:p>
    <w:p>
      <w:pPr>
        <w:keepNext w:val="0"/>
        <w:keepLines w:val="0"/>
        <w:pageBreakBefore w:val="0"/>
        <w:pBdr>
          <w:left w:val="none" w:color="auto" w:sz="0" w:space="2"/>
          <w:bottom w:val="none" w:color="auto" w:sz="0" w:space="10"/>
        </w:pBdr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620" w:lineRule="exact"/>
        <w:ind w:firstLine="640" w:firstLineChars="200"/>
        <w:textAlignment w:val="auto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黑体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第四条  </w:t>
      </w:r>
      <w:r>
        <w:rPr>
          <w:rFonts w:hint="default" w:ascii="Times New Roman" w:hAnsi="Times New Roman" w:eastAsia="方正黑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支持提升金融产业能级</w:t>
      </w:r>
      <w:r>
        <w:rPr>
          <w:rFonts w:hint="default" w:ascii="Times New Roman" w:hAnsi="Times New Roman" w:eastAsia="方正黑体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支持区内存量银行（含金融租赁、消费金融等）、保险、证券、期货等机构提规模、拓发展。对纳入行业监管部门统计口径的金融机构，根据归口渝中区的重点业务数据的规模及增速，经综合认定给予最高1000万元扶持。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经认定的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地方金融组织和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其他金融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企业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给予最高100万元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扶持。</w:t>
      </w:r>
    </w:p>
    <w:p>
      <w:pPr>
        <w:keepNext w:val="0"/>
        <w:keepLines w:val="0"/>
        <w:pageBreakBefore w:val="0"/>
        <w:pBdr>
          <w:left w:val="none" w:color="auto" w:sz="0" w:space="2"/>
          <w:bottom w:val="none" w:color="auto" w:sz="0" w:space="10"/>
        </w:pBdr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620" w:lineRule="exact"/>
        <w:ind w:firstLine="640" w:firstLineChars="200"/>
        <w:textAlignment w:val="auto"/>
        <w:rPr>
          <w:rFonts w:hint="default" w:ascii="Times New Roman" w:hAnsi="Times New Roman" w:eastAsia="方正黑体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黑体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第</w:t>
      </w:r>
      <w:r>
        <w:rPr>
          <w:rFonts w:hint="default" w:ascii="Times New Roman" w:hAnsi="Times New Roman" w:eastAsia="方正黑体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五</w:t>
      </w:r>
      <w:r>
        <w:rPr>
          <w:rFonts w:hint="default" w:ascii="Times New Roman" w:hAnsi="Times New Roman" w:eastAsia="方正黑体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条</w:t>
      </w:r>
      <w:r>
        <w:rPr>
          <w:rFonts w:hint="default" w:ascii="Times New Roman" w:hAnsi="Times New Roman" w:eastAsia="方正黑体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ascii="Times New Roman" w:hAnsi="Times New Roman" w:eastAsia="方正黑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支持绿色金融机构改革创新</w:t>
      </w:r>
      <w:r>
        <w:rPr>
          <w:rFonts w:hint="default" w:ascii="Times New Roman" w:hAnsi="Times New Roman" w:eastAsia="方正黑体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pBdr>
          <w:left w:val="none" w:color="auto" w:sz="0" w:space="2"/>
          <w:bottom w:val="none" w:color="auto" w:sz="0" w:space="10"/>
        </w:pBdr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620" w:lineRule="exact"/>
        <w:ind w:firstLine="640" w:firstLineChars="200"/>
        <w:textAlignment w:val="auto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楷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</w:t>
      </w:r>
      <w:r>
        <w:rPr>
          <w:rFonts w:hint="default" w:ascii="Times New Roman" w:hAnsi="Times New Roman" w:eastAsia="方正楷体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发展</w:t>
      </w:r>
      <w:r>
        <w:rPr>
          <w:rFonts w:ascii="Times New Roman" w:hAnsi="Times New Roman" w:eastAsia="方正楷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绿色金融机构。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对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2023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年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以来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新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引进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的银行、保险等全国性和区域性绿色金融中心、绿色金融事业部、绿色分支机构，经认定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每家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给予最高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100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扶持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pBdr>
          <w:left w:val="none" w:color="auto" w:sz="0" w:space="2"/>
          <w:bottom w:val="none" w:color="auto" w:sz="0" w:space="10"/>
        </w:pBdr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620" w:lineRule="exact"/>
        <w:ind w:firstLine="640" w:firstLineChars="200"/>
        <w:textAlignment w:val="auto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楷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</w:t>
      </w:r>
      <w:r>
        <w:rPr>
          <w:rFonts w:hint="default" w:ascii="Times New Roman" w:hAnsi="Times New Roman" w:eastAsia="方正楷体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做大</w:t>
      </w:r>
      <w:r>
        <w:rPr>
          <w:rFonts w:ascii="Times New Roman" w:hAnsi="Times New Roman" w:eastAsia="方正楷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绿色贷款</w:t>
      </w:r>
      <w:r>
        <w:rPr>
          <w:rFonts w:hint="default" w:ascii="Times New Roman" w:hAnsi="Times New Roman" w:eastAsia="方正楷体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规模</w:t>
      </w:r>
      <w:r>
        <w:rPr>
          <w:rFonts w:ascii="Times New Roman" w:hAnsi="Times New Roman" w:eastAsia="方正楷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对区内年度新增绿色贷款余额达1亿元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及以上的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金融机构总部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和分支机构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经认定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给予绿色贷款余额增量不超过0.1%的补贴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最高1000万元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pBdr>
          <w:left w:val="none" w:color="auto" w:sz="0" w:space="2"/>
          <w:bottom w:val="none" w:color="auto" w:sz="0" w:space="10"/>
        </w:pBdr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620" w:lineRule="exact"/>
        <w:ind w:firstLine="640" w:firstLineChars="200"/>
        <w:textAlignment w:val="auto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楷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（三）</w:t>
      </w:r>
      <w:r>
        <w:rPr>
          <w:rFonts w:hint="default" w:ascii="Times New Roman" w:hAnsi="Times New Roman" w:eastAsia="方正楷体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拓展</w:t>
      </w:r>
      <w:r>
        <w:rPr>
          <w:rFonts w:ascii="Times New Roman" w:hAnsi="Times New Roman" w:eastAsia="方正楷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绿色债券</w:t>
      </w:r>
      <w:r>
        <w:rPr>
          <w:rFonts w:hint="default" w:ascii="Times New Roman" w:hAnsi="Times New Roman" w:eastAsia="方正楷体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融资</w:t>
      </w:r>
      <w:r>
        <w:rPr>
          <w:rFonts w:ascii="Times New Roman" w:hAnsi="Times New Roman" w:eastAsia="方正楷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对在国内债券市场成功发行绿色债券，或境外资本市场发行绿色债券并调回渝中使用的区内非金融企业（在渝中区银行开设账户并存放资金），按照年度实际支付利息的20%进行贴息，贴息期限不超过3年，单只债券累计贴息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最高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100万元。</w:t>
      </w:r>
    </w:p>
    <w:p>
      <w:pPr>
        <w:keepNext w:val="0"/>
        <w:keepLines w:val="0"/>
        <w:pageBreakBefore w:val="0"/>
        <w:pBdr>
          <w:left w:val="none" w:color="auto" w:sz="0" w:space="2"/>
          <w:bottom w:val="none" w:color="auto" w:sz="0" w:space="10"/>
        </w:pBdr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620" w:lineRule="exact"/>
        <w:ind w:firstLine="640" w:firstLineChars="200"/>
        <w:textAlignment w:val="auto"/>
        <w:rPr>
          <w:rFonts w:hint="default" w:ascii="Times New Roman" w:hAnsi="Times New Roman" w:eastAsia="方正黑体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黑体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第</w:t>
      </w:r>
      <w:r>
        <w:rPr>
          <w:rFonts w:hint="default" w:ascii="Times New Roman" w:hAnsi="Times New Roman" w:eastAsia="方正黑体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六</w:t>
      </w:r>
      <w:r>
        <w:rPr>
          <w:rFonts w:hint="default" w:ascii="Times New Roman" w:hAnsi="Times New Roman" w:eastAsia="方正黑体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条</w:t>
      </w:r>
      <w:r>
        <w:rPr>
          <w:rFonts w:hint="default" w:ascii="Times New Roman" w:hAnsi="Times New Roman" w:eastAsia="方正黑体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ascii="Times New Roman" w:hAnsi="Times New Roman" w:eastAsia="方正黑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支持金融科技应用发展</w:t>
      </w:r>
      <w:r>
        <w:rPr>
          <w:rFonts w:hint="default" w:ascii="Times New Roman" w:hAnsi="Times New Roman" w:eastAsia="方正黑体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pBdr>
          <w:left w:val="none" w:color="auto" w:sz="0" w:space="2"/>
          <w:bottom w:val="none" w:color="auto" w:sz="0" w:space="10"/>
        </w:pBdr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620" w:lineRule="exact"/>
        <w:ind w:firstLine="640" w:firstLineChars="200"/>
        <w:textAlignment w:val="auto"/>
        <w:rPr>
          <w:rFonts w:ascii="Times New Roman" w:hAnsi="Times New Roman" w:eastAsia="方正仿宋_GBK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楷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（一）</w:t>
      </w:r>
      <w:r>
        <w:rPr>
          <w:rFonts w:ascii="Times New Roman" w:hAnsi="Times New Roman" w:eastAsia="方正楷体_GBK" w:cs="Times New Roman"/>
          <w:color w:val="000000" w:themeColor="text1"/>
          <w:kern w:val="2"/>
          <w:sz w:val="32"/>
          <w:szCs w:val="32"/>
          <w14:textFill>
            <w14:solidFill>
              <w14:schemeClr w14:val="tx1"/>
            </w14:solidFill>
          </w14:textFill>
        </w:rPr>
        <w:t>鼓励金融机构设立科技</w:t>
      </w:r>
      <w:r>
        <w:rPr>
          <w:rFonts w:hint="default" w:ascii="Times New Roman" w:hAnsi="Times New Roman" w:eastAsia="方正楷体_GBK" w:cs="Times New Roman"/>
          <w:color w:val="000000" w:themeColor="text1"/>
          <w:kern w:val="2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主体。</w:t>
      </w:r>
      <w:r>
        <w:rPr>
          <w:rFonts w:ascii="Times New Roman" w:hAnsi="Times New Roman" w:eastAsia="方正仿宋_GBK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对新设立的银行或保险科技</w:t>
      </w:r>
      <w:r>
        <w:rPr>
          <w:rFonts w:hint="default" w:ascii="Times New Roman" w:hAnsi="Times New Roman" w:eastAsia="方正仿宋_GBK" w:cs="Times New Roman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机构</w:t>
      </w:r>
      <w:r>
        <w:rPr>
          <w:rFonts w:ascii="Times New Roman" w:hAnsi="Times New Roman" w:eastAsia="方正仿宋_GBK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方正仿宋_GBK" w:cs="Times New Roman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经认定每家</w:t>
      </w:r>
      <w:r>
        <w:rPr>
          <w:rFonts w:hint="default" w:ascii="Times New Roman" w:hAnsi="Times New Roman" w:eastAsia="方正仿宋_GBK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给予最高</w:t>
      </w:r>
      <w:r>
        <w:rPr>
          <w:rFonts w:ascii="Times New Roman" w:hAnsi="Times New Roman" w:eastAsia="方正仿宋_GBK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50万元</w:t>
      </w:r>
      <w:r>
        <w:rPr>
          <w:rFonts w:hint="default" w:ascii="Times New Roman" w:hAnsi="Times New Roman" w:eastAsia="方正仿宋_GBK" w:cs="Times New Roman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扶持</w:t>
      </w:r>
      <w:r>
        <w:rPr>
          <w:rFonts w:ascii="Times New Roman" w:hAnsi="Times New Roman" w:eastAsia="方正仿宋_GBK" w:cs="Times New Roman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pBdr>
          <w:left w:val="none" w:color="auto" w:sz="0" w:space="2"/>
          <w:bottom w:val="none" w:color="auto" w:sz="0" w:space="10"/>
        </w:pBdr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620" w:lineRule="exact"/>
        <w:ind w:firstLine="640" w:firstLineChars="200"/>
        <w:textAlignment w:val="auto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方正楷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（二）</w:t>
      </w:r>
      <w:r>
        <w:rPr>
          <w:rFonts w:hint="default" w:ascii="Times New Roman" w:hAnsi="Times New Roman" w:eastAsia="方正楷体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鼓励</w:t>
      </w:r>
      <w:r>
        <w:rPr>
          <w:rFonts w:ascii="Times New Roman" w:hAnsi="Times New Roman" w:eastAsia="方正楷体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金融科技成果转化。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对获得市级以上科技奖并实施应用场景转化的金融科技成果，经认定，按照国家级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最高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100万元、市级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最高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50万元给予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扶持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pBdr>
          <w:left w:val="none" w:color="auto" w:sz="0" w:space="2"/>
          <w:bottom w:val="none" w:color="auto" w:sz="0" w:space="10"/>
        </w:pBdr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620" w:lineRule="exact"/>
        <w:ind w:firstLine="640" w:firstLineChars="200"/>
        <w:textAlignment w:val="auto"/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黑体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第</w:t>
      </w:r>
      <w:r>
        <w:rPr>
          <w:rFonts w:hint="default" w:ascii="Times New Roman" w:hAnsi="Times New Roman" w:eastAsia="方正黑体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七</w:t>
      </w:r>
      <w:r>
        <w:rPr>
          <w:rFonts w:hint="default" w:ascii="Times New Roman" w:hAnsi="Times New Roman" w:eastAsia="方正黑体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条</w:t>
      </w:r>
      <w:r>
        <w:rPr>
          <w:rFonts w:hint="default" w:ascii="Times New Roman" w:hAnsi="Times New Roman" w:eastAsia="方正黑体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支持金融机构创新业务发展。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鼓励金融租赁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公司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开展航空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航运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及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配套租赁服务，对其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直接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采购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或通过SPV（特殊目的公司）采购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的飞机、船舶累计金额达到1亿元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及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以上，给予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不超过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10%补贴，最高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000万元。</w:t>
      </w:r>
    </w:p>
    <w:p>
      <w:pPr>
        <w:keepNext w:val="0"/>
        <w:keepLines w:val="0"/>
        <w:pageBreakBefore w:val="0"/>
        <w:pBdr>
          <w:left w:val="none" w:color="auto" w:sz="0" w:space="2"/>
          <w:bottom w:val="none" w:color="auto" w:sz="0" w:space="10"/>
        </w:pBdr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62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黑体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第</w:t>
      </w:r>
      <w:r>
        <w:rPr>
          <w:rFonts w:hint="default" w:eastAsia="方正黑体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八</w:t>
      </w:r>
      <w:r>
        <w:rPr>
          <w:rFonts w:hint="default" w:ascii="Times New Roman" w:hAnsi="Times New Roman" w:eastAsia="方正黑体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条</w:t>
      </w:r>
      <w:r>
        <w:rPr>
          <w:rFonts w:hint="default" w:eastAsia="方正黑体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支持企业降低融资成本。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对符合条件的企业，按其融资成本予以一定比例的贴息补贴，具体由各行业主管部门根据行业扶持政策相关规定执行。</w:t>
      </w:r>
    </w:p>
    <w:p>
      <w:pPr>
        <w:keepNext w:val="0"/>
        <w:keepLines w:val="0"/>
        <w:pageBreakBefore w:val="0"/>
        <w:pBdr>
          <w:left w:val="none" w:color="auto" w:sz="0" w:space="2"/>
          <w:bottom w:val="none" w:color="auto" w:sz="0" w:space="10"/>
        </w:pBdr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62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黑体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第</w:t>
      </w:r>
      <w:r>
        <w:rPr>
          <w:rFonts w:hint="default" w:eastAsia="方正黑体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九</w:t>
      </w:r>
      <w:r>
        <w:rPr>
          <w:rFonts w:hint="default" w:ascii="Times New Roman" w:hAnsi="Times New Roman" w:eastAsia="方正黑体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条</w:t>
      </w:r>
      <w:r>
        <w:rPr>
          <w:rFonts w:hint="default" w:ascii="Times New Roman" w:hAnsi="Times New Roman" w:eastAsia="方正黑体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eastAsia="方正黑体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方正黑体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加强保障服务。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对经认定金融机构高管人员，</w:t>
      </w:r>
      <w:r>
        <w:rPr>
          <w:rFonts w:hint="default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参照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有关政策提供</w:t>
      </w:r>
      <w:r>
        <w:rPr>
          <w:rFonts w:hint="default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保障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服务。</w:t>
      </w:r>
    </w:p>
    <w:p>
      <w:pPr>
        <w:keepNext w:val="0"/>
        <w:keepLines w:val="0"/>
        <w:pageBreakBefore w:val="0"/>
        <w:numPr>
          <w:ilvl w:val="0"/>
          <w:numId w:val="0"/>
        </w:numPr>
        <w:pBdr>
          <w:left w:val="none" w:color="auto" w:sz="0" w:space="2"/>
          <w:bottom w:val="none" w:color="auto" w:sz="0" w:space="10"/>
        </w:pBdr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620" w:lineRule="exact"/>
        <w:ind w:firstLine="640" w:firstLineChars="200"/>
        <w:textAlignment w:val="auto"/>
        <w:rPr>
          <w:rFonts w:hint="default" w:ascii="Times New Roman" w:hAnsi="Times New Roman" w:eastAsia="方正黑体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黑体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第</w:t>
      </w:r>
      <w:r>
        <w:rPr>
          <w:rFonts w:hint="default" w:eastAsia="方正黑体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十</w:t>
      </w:r>
      <w:r>
        <w:rPr>
          <w:rFonts w:hint="default" w:ascii="Times New Roman" w:hAnsi="Times New Roman" w:eastAsia="方正黑体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条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eastAsia="方正黑体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附则</w:t>
      </w:r>
      <w:r>
        <w:rPr>
          <w:rFonts w:hint="default" w:ascii="Times New Roman" w:hAnsi="Times New Roman" w:eastAsia="方正黑体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numPr>
          <w:ilvl w:val="0"/>
          <w:numId w:val="0"/>
        </w:numPr>
        <w:pBdr>
          <w:left w:val="none" w:color="auto" w:sz="0" w:space="2"/>
          <w:bottom w:val="none" w:color="auto" w:sz="0" w:space="10"/>
        </w:pBdr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620" w:lineRule="exact"/>
        <w:ind w:firstLine="640" w:firstLineChars="200"/>
        <w:textAlignment w:val="auto"/>
        <w:rPr>
          <w:rFonts w:hint="default" w:eastAsia="方正黑体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（一）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本</w:t>
      </w:r>
      <w:r>
        <w:rPr>
          <w:rFonts w:hint="default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政策自公布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之日起</w:t>
      </w:r>
      <w:r>
        <w:rPr>
          <w:rFonts w:hint="default" w:eastAsia="方正仿宋_GBK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施行。</w:t>
      </w:r>
    </w:p>
    <w:p>
      <w:pPr>
        <w:keepNext w:val="0"/>
        <w:keepLines w:val="0"/>
        <w:pageBreakBefore w:val="0"/>
        <w:numPr>
          <w:ilvl w:val="0"/>
          <w:numId w:val="0"/>
        </w:numPr>
        <w:pBdr>
          <w:left w:val="none" w:color="auto" w:sz="0" w:space="2"/>
          <w:bottom w:val="none" w:color="auto" w:sz="0" w:space="10"/>
        </w:pBdr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62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（二）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本政策实行申报认定制，申报认定工作按年度开展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区产业发展促进局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应每年明确申报指南及相关规则。申报主体需基于上年度经营发展情况提交申报材料，经有关部门综合审核认定后予以兑现。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pBdr>
          <w:left w:val="none" w:color="auto" w:sz="0" w:space="2"/>
          <w:bottom w:val="none" w:color="auto" w:sz="0" w:space="10"/>
        </w:pBdr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62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（三）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申报政策的企业，同一项目同时满足渝中区其他扶持政策扶持条件的，按照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就高不重复</w:t>
      </w:r>
      <w:r>
        <w:rPr>
          <w:rFonts w:hint="eastAsia" w:ascii="Times New Roman" w:hAnsi="Times New Roman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原则执行。原则上</w:t>
      </w:r>
      <w:r>
        <w:rPr>
          <w:rFonts w:hint="default" w:eastAsia="方正仿宋_GBK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扶持资金可兑现给企业或经营团队</w:t>
      </w:r>
      <w:r>
        <w:rPr>
          <w:rFonts w:hint="default" w:ascii="Times New Roman" w:hAnsi="Times New Roman" w:eastAsia="方正仿宋_GBK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after="0" w:line="600" w:lineRule="exact"/>
        <w:ind w:left="0" w:leftChars="0" w:right="0" w:rightChars="0" w:firstLine="640" w:firstLineChars="200"/>
        <w:textAlignment w:val="auto"/>
        <w:rPr>
          <w:rFonts w:hint="eastAsia" w:ascii="Times New Roman" w:hAnsi="Times New Roman" w:eastAsia="方正仿宋_GBK" w:cs="Times New Roman"/>
          <w:kern w:val="0"/>
          <w:sz w:val="32"/>
          <w:szCs w:val="32"/>
          <w:highlight w:val="none"/>
          <w:shd w:val="clear" w:color="auto" w:fill="FFFFFF"/>
          <w:lang w:eastAsia="zh-CN" w:bidi="ar-SA"/>
        </w:rPr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74" w:right="1848" w:bottom="1587" w:left="1962" w:header="851" w:footer="992" w:gutter="0"/>
      <w:pgNumType w:fmt="numberInDash"/>
      <w:cols w:space="0" w:num="1"/>
      <w:rtlGutter w:val="0"/>
      <w:docGrid w:type="lines" w:linePitch="31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Times New Roman Regular">
    <w:altName w:val="Times New Roman"/>
    <w:panose1 w:val="02020603050405020304"/>
    <w:charset w:val="00"/>
    <w:family w:val="auto"/>
    <w:pitch w:val="default"/>
    <w:sig w:usb0="00000000" w:usb1="00000000" w:usb2="00000009" w:usb3="00000000" w:csb0="400001FF" w:csb1="FFFF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新魏">
    <w:altName w:val="宋体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永中宋体">
    <w:altName w:val="宋体"/>
    <w:panose1 w:val="02010600030101010101"/>
    <w:charset w:val="86"/>
    <w:family w:val="auto"/>
    <w:pitch w:val="default"/>
    <w:sig w:usb0="00000000" w:usb1="00000000" w:usb2="00000000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Helvetica Neue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MS PGothic">
    <w:panose1 w:val="020B0600070205080204"/>
    <w:charset w:val="80"/>
    <w:family w:val="swiss"/>
    <w:pitch w:val="default"/>
    <w:sig w:usb0="E00002FF" w:usb1="6AC7FDFB" w:usb2="00000012" w:usb3="00000000" w:csb0="4002009F" w:csb1="DFD70000"/>
  </w:font>
  <w:font w:name="方正楷体_GB2312">
    <w:altName w:val="宋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LinTimes">
    <w:altName w:val="Segoe Print"/>
    <w:panose1 w:val="00000000000000000000"/>
    <w:charset w:val="00"/>
    <w:family w:val="auto"/>
    <w:pitch w:val="default"/>
    <w:sig w:usb0="00000000" w:usb1="00000000" w:usb2="00000008" w:usb3="00000000" w:csb0="400001FF" w:csb1="FFFF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Helvetica">
    <w:altName w:val="Arial"/>
    <w:panose1 w:val="020B0504020202020204"/>
    <w:charset w:val="00"/>
    <w:family w:val="swiss"/>
    <w:pitch w:val="default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方正隶书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left="4788" w:leftChars="2280" w:firstLine="6400" w:firstLineChars="2000"/>
      <w:rPr>
        <w:sz w:val="32"/>
      </w:rPr>
    </w:pPr>
  </w:p>
  <w:p>
    <w:pPr>
      <w:pStyle w:val="9"/>
      <w:ind w:left="4788" w:leftChars="2280" w:firstLine="6400" w:firstLineChars="2000"/>
      <w:rPr>
        <w:sz w:val="32"/>
      </w:rPr>
    </w:pPr>
    <w:r>
      <w:rPr>
        <w:color w:val="FAFAFA"/>
        <w:sz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-19050</wp:posOffset>
              </wp:positionH>
              <wp:positionV relativeFrom="paragraph">
                <wp:posOffset>140335</wp:posOffset>
              </wp:positionV>
              <wp:extent cx="8288020" cy="0"/>
              <wp:effectExtent l="0" t="10795" r="17780" b="17780"/>
              <wp:wrapNone/>
              <wp:docPr id="8" name="直接连接符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8288020" cy="0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1.5pt;margin-top:11.05pt;height:0pt;width:652.6pt;z-index:251660288;mso-width-relative:page;mso-height-relative:page;" filled="f" stroked="t" coordsize="21600,21600" o:gfxdata="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tyYMd9QAAAAJAQAADwAAAAAAAAABACAAAAAiAAAAZHJzL2Rvd25y&#10;ZXYueG1sUEsBAhQAFAAAAAgAh07iQG9Om5/JAQAAZAMAAA4AAAAAAAAAAQAgAAAAIwEAAGRycy9l&#10;Mm9Eb2MueG1sUEsFBgAAAAAGAAYAWQEAAF4FAAAAAA==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</w:p>
  <w:p>
    <w:pPr>
      <w:pStyle w:val="9"/>
      <w:wordWrap w:val="0"/>
      <w:jc w:val="right"/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CN"/>
      </w:rPr>
    </w:pPr>
    <w:r>
      <w:rPr>
        <w:rFonts w:hint="eastAsia" w:ascii="宋体" w:hAnsi="宋体" w:eastAsia="宋体" w:cs="宋体"/>
        <w:b/>
        <w:bCs/>
        <w:color w:val="005192"/>
        <w:sz w:val="28"/>
        <w:szCs w:val="44"/>
        <w:lang w:eastAsia="zh-CN"/>
      </w:rPr>
      <w:t>重庆市渝中区人民政府</w:t>
    </w:r>
    <w:r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CN"/>
      </w:rPr>
      <w:t>发布</w:t>
    </w:r>
    <w:r>
      <w:rPr>
        <w:rFonts w:hint="default" w:ascii="宋体" w:hAnsi="宋体" w:eastAsia="宋体" w:cs="宋体"/>
        <w:b/>
        <w:bCs/>
        <w:color w:val="005192"/>
        <w:sz w:val="28"/>
        <w:szCs w:val="44"/>
        <w:lang w:eastAsia="zh-CN"/>
      </w:rPr>
      <w:t xml:space="preserve">    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 w:val="0"/>
      <w:textAlignment w:val="center"/>
      <w:rPr>
        <w:rFonts w:hint="eastAsia" w:ascii="宋体" w:hAnsi="宋体" w:eastAsia="宋体" w:cs="宋体"/>
        <w:b/>
        <w:bCs/>
        <w:color w:val="005192"/>
        <w:sz w:val="32"/>
        <w:szCs w:val="32"/>
        <w:lang w:val="en-US" w:eastAsia="zh-CN"/>
      </w:rPr>
    </w:pPr>
    <w:r>
      <w:rPr>
        <w:rFonts w:hint="eastAsia" w:ascii="方正仿宋_GBK" w:hAnsi="方正仿宋_GBK" w:eastAsia="方正仿宋_GBK" w:cs="方正仿宋_GBK"/>
        <w:b/>
        <w:bCs/>
        <w:color w:val="000000" w:themeColor="text1"/>
        <w:sz w:val="32"/>
        <w14:textFill>
          <w14:solidFill>
            <w14:schemeClr w14:val="tx1"/>
          </w14:solidFill>
        </w14:textFill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-10160</wp:posOffset>
              </wp:positionH>
              <wp:positionV relativeFrom="paragraph">
                <wp:posOffset>363220</wp:posOffset>
              </wp:positionV>
              <wp:extent cx="8269605" cy="0"/>
              <wp:effectExtent l="0" t="0" r="0" b="0"/>
              <wp:wrapNone/>
              <wp:docPr id="2" name="直接连接符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4133850" y="864870"/>
                        <a:ext cx="8269605" cy="0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0.8pt;margin-top:28.6pt;height:0pt;width:651.15pt;z-index:251659264;mso-width-relative:page;mso-height-relative:page;" filled="f" stroked="t" coordsize="21600,21600" o:gfxdata="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Ly9A6TVAAAACQEAAA8AAAAAAAAAAQAg&#10;AAAAIgAAAGRycy9kb3ducmV2LnhtbFBLAQIUABQAAAAIAIdO4kAFsJvr2AEAAG8DAAAOAAAAAAAA&#10;AAEAIAAAACQBAABkcnMvZTJvRG9jLnhtbFBLBQYAAAAABgAGAFkBAABuBQAAAAA=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  <w:r>
      <w:rPr>
        <w:rFonts w:hint="eastAsia" w:ascii="宋体" w:hAnsi="宋体" w:eastAsia="宋体" w:cs="宋体"/>
        <w:b/>
        <w:bCs/>
        <w:color w:val="005192"/>
        <w:sz w:val="32"/>
      </w:rPr>
      <w:drawing>
        <wp:inline distT="0" distB="0" distL="114300" distR="114300">
          <wp:extent cx="308610" cy="308610"/>
          <wp:effectExtent l="0" t="0" r="21590" b="21590"/>
          <wp:docPr id="3" name="图片 3" descr="国徽10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国徽102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8610" cy="308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 w:ascii="宋体" w:hAnsi="宋体" w:eastAsia="宋体" w:cs="宋体"/>
        <w:b/>
        <w:bCs/>
        <w:color w:val="005192"/>
        <w:sz w:val="32"/>
        <w:lang w:eastAsia="zh-CN"/>
      </w:rPr>
      <w:t>重庆市渝中区人民政府行政</w:t>
    </w:r>
    <w:r>
      <w:rPr>
        <w:rFonts w:hint="eastAsia" w:ascii="宋体" w:hAnsi="宋体" w:eastAsia="宋体" w:cs="宋体"/>
        <w:b/>
        <w:bCs/>
        <w:color w:val="005192"/>
        <w:sz w:val="32"/>
        <w:szCs w:val="32"/>
        <w:lang w:val="en-US" w:eastAsia="zh-Hans"/>
      </w:rPr>
      <w:t>规范性文件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8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I0Y2IzNDJkOGM1ZjlhNmU3OGI1ZmVlOGJmOGM0ZjQifQ=="/>
  </w:docVars>
  <w:rsids>
    <w:rsidRoot w:val="00172A27"/>
    <w:rsid w:val="019E71BD"/>
    <w:rsid w:val="01E93D58"/>
    <w:rsid w:val="04B679C3"/>
    <w:rsid w:val="05F07036"/>
    <w:rsid w:val="06E00104"/>
    <w:rsid w:val="080F63D8"/>
    <w:rsid w:val="08B50549"/>
    <w:rsid w:val="09341458"/>
    <w:rsid w:val="098254C2"/>
    <w:rsid w:val="0A766EDE"/>
    <w:rsid w:val="0AD64BE8"/>
    <w:rsid w:val="0B0912D7"/>
    <w:rsid w:val="0E025194"/>
    <w:rsid w:val="0EEF0855"/>
    <w:rsid w:val="117428AF"/>
    <w:rsid w:val="11DB7C71"/>
    <w:rsid w:val="14353156"/>
    <w:rsid w:val="152D2DCA"/>
    <w:rsid w:val="187168EA"/>
    <w:rsid w:val="187C1EEF"/>
    <w:rsid w:val="196673CA"/>
    <w:rsid w:val="1B8C1136"/>
    <w:rsid w:val="1CF734C9"/>
    <w:rsid w:val="1DEC284C"/>
    <w:rsid w:val="1E6523AC"/>
    <w:rsid w:val="206407AA"/>
    <w:rsid w:val="22440422"/>
    <w:rsid w:val="22BB4BBB"/>
    <w:rsid w:val="25EB1AF4"/>
    <w:rsid w:val="28B12CB8"/>
    <w:rsid w:val="29036482"/>
    <w:rsid w:val="2DD05FE1"/>
    <w:rsid w:val="2EAE3447"/>
    <w:rsid w:val="31A15F24"/>
    <w:rsid w:val="36197A9F"/>
    <w:rsid w:val="36FB1DF0"/>
    <w:rsid w:val="3893700E"/>
    <w:rsid w:val="395347B5"/>
    <w:rsid w:val="39A232A0"/>
    <w:rsid w:val="39E745AA"/>
    <w:rsid w:val="39EF1CBC"/>
    <w:rsid w:val="3B5A6BBB"/>
    <w:rsid w:val="3BFB67A7"/>
    <w:rsid w:val="3CA154E3"/>
    <w:rsid w:val="3EDA13A6"/>
    <w:rsid w:val="3FF56C14"/>
    <w:rsid w:val="417B75E9"/>
    <w:rsid w:val="42430A63"/>
    <w:rsid w:val="42753B93"/>
    <w:rsid w:val="42F058B7"/>
    <w:rsid w:val="436109F6"/>
    <w:rsid w:val="441A38D4"/>
    <w:rsid w:val="448C7E2C"/>
    <w:rsid w:val="4504239D"/>
    <w:rsid w:val="497A3843"/>
    <w:rsid w:val="4B62462D"/>
    <w:rsid w:val="4BC77339"/>
    <w:rsid w:val="4BFF3ECF"/>
    <w:rsid w:val="4C9236C5"/>
    <w:rsid w:val="4E250A85"/>
    <w:rsid w:val="4FC706E9"/>
    <w:rsid w:val="4FFD4925"/>
    <w:rsid w:val="505C172E"/>
    <w:rsid w:val="506405EA"/>
    <w:rsid w:val="52441F2D"/>
    <w:rsid w:val="52F46F0B"/>
    <w:rsid w:val="532B6A10"/>
    <w:rsid w:val="539E4E99"/>
    <w:rsid w:val="53D8014D"/>
    <w:rsid w:val="54261C93"/>
    <w:rsid w:val="550C209A"/>
    <w:rsid w:val="55E064E0"/>
    <w:rsid w:val="572C6D10"/>
    <w:rsid w:val="5B005C27"/>
    <w:rsid w:val="5DC34279"/>
    <w:rsid w:val="5E2239F7"/>
    <w:rsid w:val="5FCD688E"/>
    <w:rsid w:val="5FF9BDAA"/>
    <w:rsid w:val="608816D1"/>
    <w:rsid w:val="60EF4E7F"/>
    <w:rsid w:val="630F57C9"/>
    <w:rsid w:val="631A0CE7"/>
    <w:rsid w:val="64366C42"/>
    <w:rsid w:val="648B0A32"/>
    <w:rsid w:val="658F6764"/>
    <w:rsid w:val="665233C1"/>
    <w:rsid w:val="68407889"/>
    <w:rsid w:val="69974AF9"/>
    <w:rsid w:val="69AC0D42"/>
    <w:rsid w:val="6AD9688B"/>
    <w:rsid w:val="6B68303F"/>
    <w:rsid w:val="6D0E3F22"/>
    <w:rsid w:val="6F594875"/>
    <w:rsid w:val="72B427CB"/>
    <w:rsid w:val="744E4660"/>
    <w:rsid w:val="753355A2"/>
    <w:rsid w:val="759F1C61"/>
    <w:rsid w:val="769F2DE8"/>
    <w:rsid w:val="76FDEB7C"/>
    <w:rsid w:val="780345E7"/>
    <w:rsid w:val="79C65162"/>
    <w:rsid w:val="79EE7E31"/>
    <w:rsid w:val="7C9011D9"/>
    <w:rsid w:val="7C9377A5"/>
    <w:rsid w:val="7DC651C5"/>
    <w:rsid w:val="7FCC2834"/>
    <w:rsid w:val="92DD1CEF"/>
    <w:rsid w:val="BD9D1569"/>
    <w:rsid w:val="EBDDA9D0"/>
    <w:rsid w:val="F05B4F69"/>
    <w:rsid w:val="F7F902F6"/>
    <w:rsid w:val="F97D9566"/>
    <w:rsid w:val="FDFF411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1">
    <w:name w:val="Default Paragraph Font"/>
    <w:semiHidden/>
    <w:qFormat/>
    <w:uiPriority w:val="0"/>
  </w:style>
  <w:style w:type="table" w:default="1" w:styleId="1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essage Header"/>
    <w:basedOn w:val="1"/>
    <w:next w:val="3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00" w:leftChars="500" w:hanging="500" w:hangingChars="500"/>
    </w:pPr>
    <w:rPr>
      <w:rFonts w:ascii="Cambria" w:hAnsi="Cambria"/>
      <w:sz w:val="24"/>
      <w:szCs w:val="24"/>
    </w:rPr>
  </w:style>
  <w:style w:type="paragraph" w:styleId="3">
    <w:name w:val="Body Text"/>
    <w:basedOn w:val="1"/>
    <w:next w:val="1"/>
    <w:qFormat/>
    <w:uiPriority w:val="0"/>
    <w:pPr>
      <w:spacing w:after="120"/>
    </w:pPr>
    <w:rPr>
      <w:rFonts w:ascii="等线" w:hAnsi="等线" w:eastAsia="等线"/>
      <w:szCs w:val="22"/>
    </w:rPr>
  </w:style>
  <w:style w:type="paragraph" w:styleId="6">
    <w:name w:val="annotation text"/>
    <w:basedOn w:val="1"/>
    <w:qFormat/>
    <w:uiPriority w:val="0"/>
    <w:pPr>
      <w:jc w:val="left"/>
    </w:pPr>
  </w:style>
  <w:style w:type="paragraph" w:styleId="7">
    <w:name w:val="Body Text Indent 2"/>
    <w:next w:val="1"/>
    <w:qFormat/>
    <w:uiPriority w:val="0"/>
    <w:pPr>
      <w:widowControl w:val="0"/>
      <w:spacing w:after="120" w:afterLines="0" w:afterAutospacing="0" w:line="480" w:lineRule="auto"/>
      <w:ind w:left="420" w:leftChars="200"/>
      <w:jc w:val="both"/>
    </w:pPr>
    <w:rPr>
      <w:rFonts w:ascii="仿宋_GB2312" w:hAnsi="仿宋_GB2312" w:eastAsia="仿宋_GB2312" w:cs="Times New Roman"/>
      <w:kern w:val="2"/>
      <w:sz w:val="32"/>
      <w:szCs w:val="24"/>
      <w:lang w:val="en-US" w:eastAsia="zh-CN" w:bidi="ar-SA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2">
    <w:name w:val="Strong"/>
    <w:basedOn w:val="11"/>
    <w:qFormat/>
    <w:uiPriority w:val="0"/>
    <w:rPr>
      <w:b/>
      <w:bCs/>
    </w:rPr>
  </w:style>
  <w:style w:type="paragraph" w:customStyle="1" w:styleId="14">
    <w:name w:val="默认"/>
    <w:qFormat/>
    <w:uiPriority w:val="0"/>
    <w:rPr>
      <w:rFonts w:hint="eastAsia" w:ascii="Arial Unicode MS" w:hAnsi="Arial Unicode MS" w:eastAsia="Helvetica Neue" w:cs="Arial Unicode MS"/>
      <w:color w:val="000000"/>
      <w:sz w:val="22"/>
      <w:szCs w:val="22"/>
      <w:lang w:val="zh-CN" w:eastAsia="zh-CN" w:bidi="ar-SA"/>
    </w:rPr>
  </w:style>
  <w:style w:type="paragraph" w:customStyle="1" w:styleId="15">
    <w:name w:val="p0"/>
    <w:basedOn w:val="1"/>
    <w:qFormat/>
    <w:uiPriority w:val="0"/>
    <w:pPr>
      <w:widowControl/>
    </w:pPr>
    <w:rPr>
      <w:rFonts w:ascii="Calibri" w:hAnsi="Calibri" w:eastAsia="宋体" w:cs="宋体"/>
      <w:kern w:val="0"/>
      <w:szCs w:val="32"/>
    </w:rPr>
  </w:style>
  <w:style w:type="paragraph" w:customStyle="1" w:styleId="16">
    <w:name w:val="样式 1 小三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0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576</Words>
  <Characters>621</Characters>
  <Lines>1</Lines>
  <Paragraphs>1</Paragraphs>
  <ScaleCrop>false</ScaleCrop>
  <LinksUpToDate>false</LinksUpToDate>
  <CharactersWithSpaces>629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2021-09-11T02:41:00Z</dcterms:created>
  <dc:creator>t</dc:creator>
  <cp:lastModifiedBy>Administrator</cp:lastModifiedBy>
  <cp:lastPrinted>2022-06-06T16:09:00Z</cp:lastPrinted>
  <dcterms:modified xsi:type="dcterms:W3CDTF">2025-06-04T02:21:29Z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  <property fmtid="{D5CDD505-2E9C-101B-9397-08002B2CF9AE}" pid="3" name="ICV">
    <vt:lpwstr>48C61CB29D3F4D9384F5922CF0F7FFB4</vt:lpwstr>
  </property>
</Properties>
</file>