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Style w:val="1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重庆市渝中区人民政府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重庆市渝中区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投资项目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管理办法》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渝中府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发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区级国家机关各部门，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各管委会、街道办事处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《重庆市渝中区区级投资项目管理办法》已经区政府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第一百三十次常务会议审议通过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，现印发给你们，请结合实际认真贯彻执行。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2020年6月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（此件公开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重庆市渝中区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区级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投资项目管理办法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第一章  总则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第一条（目的依据）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为进一步规范和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优化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区级投资项目管理，完善区级投资项目决策和实施程序，提高投资效益和效率，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根据国家、市级有关法律法规，结合渝中区实际，制定本办法。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第二条（适用范围）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本办法所称的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区级投资项目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包括政府投资项目和区属国有企业投资项目。政府投资，是指使用一般公共财政预算资金、政府性基金等预算安排的资金进行投资建设活动。区属国有企业投资，是指使用企业自有资金、融资资金等进行投资建设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投资建设活动包括基本建设、更新改造、其他投资活动。其中，基本建设主要包括新建、扩建、迁建工程以及有关工作；更新改造主要包括技术改造、改建、装饰装修、大型维修改造等；其他投资主要包括房屋、大型装备设备购置、信息化建设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第三条（投资方式）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政府投资资金按照项目安排，以直接投资方式为主；对确需支持的经营性项目，主要采取资本金注入方式，也可以适当采取投资补助、贷款贴息等方式。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第四条（职责分工）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（一）强化项目集约审批、避免多头管理，项目可研报告（建设方案）由区发改委开展评审后统一批复。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二）强化区级投资项目专业化、精准化推进，原则上部门、管委会、街道及事业单位只负责项目策划、部分项目可研报告（建设方案）编制及维修维护（含老旧小区整治），区属国有企业负责实施区内重点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（三）强化项目责任落实，原则上区级投资项目按区政府领导职责分工确定项目责任领导，项目实施单位主动抓好推进落实，相关部门、管委会、街道协助解决推进中的难点、卡点问题。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第二章  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项目立项决策管理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第五条（项目规划）  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项目实施应当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根据五年区级投资项目储备库、三年滚动规划、年度投资计划有序安排。五年区级投资项目储备库，由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区发改委根据国民经济和社会发展规划或经批准的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专业、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专项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、行业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规划，综合平衡形成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；区级投资项目三年滚动规划，由区发改委根据各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行业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主管部门区级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投资项目三年建议规划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，每年滚动形成；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年度投资计划包括项目前期计划和建设计划。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国民经济和社会发展规划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由区发改委统筹，城市规划及其专业、专项规划由区规划自然资源局和相关行业主管部门负责。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第六条（项目策划）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各部门、管委会、街道、事业单位及区属国有企业负责开展本行业、本区域的项目策划工作，区发改委负责统筹建立区级投资项目策划库。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第七条（项目前期计划）  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区发改委每年9月底前启动编制次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</w:rPr>
        <w:t>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目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</w:rPr>
        <w:t>前期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计划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，明确项目的责任单位、年度节点任务等事项，报区委、区政府决策后，由各项目责任单位抓紧推进。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来源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上级部门交办项目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区政府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，区级投资项目三年滚动规划项目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。区发改委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统筹并优化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前期工作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经费管理，区住建委负责统筹市政基础设施、老旧小区改造项目前期工作经费，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保障项目可研报告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（建设方案）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等编制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第八条（项目建设计划）  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区发改委每年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月底前启动编制次年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投资项目建设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</w:rPr>
        <w:t>计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明确项目的实施单位（项目业主或代理单位，下同）、年度投资及形象进度、资金来源等事项，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区委、区政府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决策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后实施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。纳入建设计划的项目，原则上为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可研报告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建设方案已批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准、建设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已落实的项目。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第九条（项目计划动态调整）  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项目计划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实行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动态调整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  <w:t>区发改委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每年7月底前完成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项目计划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中期调整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新纳入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或调整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前期项目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计划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、建设项目计划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的项目，由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/>
        </w:rPr>
        <w:t>各部门、管委会、街道、事业单位及区属国有企业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报区委、区政府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  <w:t>同意后纳入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章  项目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审批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管理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第十条（审批程序）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采用直接投资、资本金注入方式的政府投资项目，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应当编制项目建议书、可研报告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投资概算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，按照政府投资管理权限和规定的程序，报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发改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委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审批，初步设计由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行业主管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</w:rPr>
        <w:t>部门审批。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区属国有企业投资项目建设方案按程序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区委、区政府同意后，办理项目核准或备案。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第十一条（项目建议书）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对纳入区国民经济和社会发展、专项规划和政府工作报告、国民经济和社会发展计划报告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区委、区政府决策确定的项目，以及纳入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区级投资项目三年滚动规划、年度投资计划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的项目，不再审批项目建议书，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视同立项，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可直接编制项目可研报告。项目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单位应当通过全市网上行政审批服务平台取得项目代码，作为办理建设手续的唯一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代码（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涉及国家秘密的项目除外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第十二条（可研报告审批）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总投资估算1000万元以下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（含1000万元，不含土地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、购房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费用，下同）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的项目，编制达到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深度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建设方案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总投资估算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1000万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以上的项目，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达到国家或行业规定深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可研报告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。各项目责任单位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于项目前期计划下达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日内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工作日，下同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完成可研报告（建设方案）的编制，特别复杂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的项目可延长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区发改委统筹做好可研报告（建设方案）的审核，相关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根据需要、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按并联审批要求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出具意见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区发改委于受理后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内完成评审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，特别复杂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的项目可延长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第十三条（初步设计审批）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项目实施单位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应当依据批准的可研报告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（建设方案）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，委托有相应资质的单位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于15日内完成项目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初步设计。初步设计须按照国家行业设计标准以及消防、人防、地震、安全生产、质监、节能等方面的要求，结合项目具体情况进行设计。项目初步设计由相关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主管部门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按有关法律法规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组织审查后审批。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第十四条（概、预算审批）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实施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单位收到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初步设计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批文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日内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完成项目概算的编制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 w:bidi="ar"/>
        </w:rPr>
        <w:t>由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区发改委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受理后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日内完成审批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；项目实施单位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收到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 w:bidi="ar"/>
        </w:rPr>
        <w:t>初步设计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 w:bidi="ar"/>
        </w:rPr>
        <w:t>及概算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批文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40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日内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完成项目施工图设计及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预算或工程量清单的编制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 w:bidi="ar"/>
        </w:rPr>
        <w:t>施工图图审合格后，由内审机构或第三方机构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15日内完成工程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预算或工程量清单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 w:bidi="ar"/>
        </w:rPr>
        <w:t>的评审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项目概算（预算）超出可研报告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建设方案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总投资估算的10%，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由项目实施单位报区发改委后，按要求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重新编审可研报告（建设方案）或修改初步设计（施工图设计）。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为提高投资审批效率，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可研报告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建设方案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）批准后，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达到施工图设计深度的项目实行概预算合审，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由项目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单位完成图审后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将工程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预算或工程量清单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送区发改委审批。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第十五条（信息化项目审批）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信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息化项目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由区大数据局负责审核初步设计内容并提出审核意见，区发改委审批可研报告、初步设计及概算方案。其中，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总投资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万元以下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的，区发改委只审批可研报告及概算方案（代初步设计）。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第十六条（其他情况）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为应对自然灾害、事故灾难、公共卫生事件、社会安全事件等突发事件需要紧急建设的区级投资项目，可按照国家有关规定简化需要报批的文件和审批程序。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章  项目实施管理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第十七条（项目实施单位）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园区建设、老旧楼宇改造等产业发展项目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由区国资公司为项目业主并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传统风貌区、特色街区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、老旧小区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等重点文旅项目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由康翔公司为项目业主并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房屋建筑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基础设施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、市政园林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等公益性项目由区城投公司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实施，其中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房屋建筑项目由产权单位为项目业主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区城投公司为代理单位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基础设施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类项目由区城投公司为项目业主；老旧小区整治项目由各街道为项目业主并组织实施；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信息化项目由使用单位为项目业主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是否需要代理单位由区政府确定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；已建成公共区域的灯饰建设维护、绿化美化、环卫设施、市政设施维修维护项目由主管单位为项目业主并组织实施，特殊情况由区委、区政府确定实施单位。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产权关系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管护责任）明确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，200万元以内的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维修维护类项目由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产权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或管护单位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不再纳入项目管理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由区财政统一纳入部门预算安排。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第十八条（招标投标）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项目的勘察、设计、监理、施工、设备及材料采购等招标投标活动应当严格执行国家、市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有关规定。区发改委在审批项目可研报告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（建设方案）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时，应当会同有关行政监督部门一并对招标范围、招标方式、招标组织形式等事项进行核准。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必须招标的工程项目范围及标准。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使用预算资金200万元以上、并且该资金占投资额10%以上的项目，其勘察、设计、施工、监理以及与工程建设有关的重要设备、材料等的采购达到下列标准之一的，必须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公开</w:t>
      </w:r>
      <w:r>
        <w:rPr>
          <w:rFonts w:ascii="Times New Roman" w:hAnsi="Times New Roman" w:eastAsia="方正仿宋_GBK"/>
          <w:color w:val="000000"/>
          <w:sz w:val="32"/>
          <w:szCs w:val="32"/>
        </w:rPr>
        <w:t>招标：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12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施工单项合同估算价在400万元以上；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12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重要设备、材料等货物的采购，单项合同估算价在200万元以上；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12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勘察、设计、监理等服务的采购，单项合同估算价在100万元以上。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第十九条（合同管理）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招标投标方式采购的项目，招标人不得订立背离或超出招标投标文件约定标的、价格、付款方式、工期等核心内容的合同，应在招标文件和合同中约定施工单位相关税收缴纳、银行开设工程款结算账户等事项。正式合同应在中标通知书发出之日起30日内签订，报送有关行业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第二十条（工程变更）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项目总投资应严格控制在批准的概算内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，不得随意进行变更，对确需调整的按以下程序进行：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程变更导致工程造价变化且未超出投资概算的变更，实行分级管理，累计调整金额不超过100万元（不含）以内的由项目实施单位自行审定后实施，100万元（含）—300万元（不含）的由项目实施单位报项目分管区领导批准后实施，300万元（含）以上的由项目实施单位报区长办公会或区政府常务会批准后实施。需动用预备费的，项目实施单位还应向区发改委、区财政局履行备案手续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超出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投资概算的变更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由项目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实施单位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提出调整方案，按原程序送审批部门核定后，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由项目实施单位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报区委、区政府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批准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第二十一条（全过程咨询服务）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投资的重大项目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推行全过程咨询服务。项目全过程工程咨询服务范围包括可研、概算编制等投资决策综合性咨询，招标代理、勘察、设计、监理、造价、项目管理等工程建设全过程咨询等。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第二十二条（资金拨付）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单位根据项目实际进度申请工程款，原则上，建安类按完成工程量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对应合同价款80%支付，竣工验收合格后，按不超过经项目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单位审定的实际完成工程量对应价款80%支付；服务类提供初步成果后按不超过合同金额40%支付，提交经认可的最终结果后按不超过合同金额80%支付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（一次性提交成果的可全额支付）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；设备采购类合同签订后一个月内按不超过合同金额30%支付，设备到场并验收合格后按不超过合同金额70%支付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（电梯按不超过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80%支付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，安装调试验收合格后按不超过合同金额90%支付；给水、电力、燃气及通讯类按不超过合同金额90%支付，其中，列入市级重点项目的，按市政府有关规定执行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。项目工程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尾款必须经结算审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后支付。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确需突破支付比例的，报项目分管区领导批准；若审计后发现超付，由项目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单位负责追回。工程款拨付比例、结算审计后支付尾款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纳入招标文件和正式合同条款。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竣工及决算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项目建成后，项目实施单位于工程完工后及时完成竣工验收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，工程结算审核由项目实施单位委托第三方机构完成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原则上项目竣工验收投入试运行或试使用后3个月内完成竣工决算，其中，需要向区财政局提出项目竣工财务决算批复申请的，具体按财政部门规定执行。对已纳入区审计局审计计划的项目，由项目实施单位收到区审计局出具的审计报告后，向区财政局提交项目竣工财务决算批复申请并附送审计报告，区财政局批复项目竣工财务决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权属登记及移交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需要办理权属登记的项目，完成项目竣工财务决算审核后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按规定办理物业权属登记手续。需要移交的项目，项目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在竣工验收合格后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，及时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项目管理（使用）工作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移交至管理（使用）单位，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维修、维护工作继续由项目实施单位负责，保修期满后移交维修、维护工作至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管理（使用）单位。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 xml:space="preserve">章  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项目监督管理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第二十五条（主体责任）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项目实施单位应当严格落实主体责任，并做好以下工作：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（一）通过投资项目基础数据库如实报送区级投资项目开工建设、建设进度及竣工的基本信息，及时报告项目实施中出现的重大问题。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（二）按照国家有关规定加强区级投资项目档案管理，将项目审批和实施过程中的有关文件、资料存档备查。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（三）主动配合审计、督查、评估督导等工作。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第二十六条（管理监督）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项目实施单位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项目法人责任制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依法依规做好招标投标、合同管理、推进实施等各项工作，确保完成年度投资计划。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区发改委、区财政局、区住建委、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区大数据局、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规划自然资源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局等部门落实“放管服”要求，靠前强化技术和业务指导，协同争取上级部门支持完成各项手续的审批。各监管部门加强项目实施过程的跟踪检查，确保项目安全、高效、优质推进。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第二十七条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  <w:t>（</w:t>
      </w:r>
      <w:r>
        <w:rPr>
          <w:rFonts w:hint="eastAsia" w:ascii="方正黑体_GBK" w:hAnsi="方正黑体_GBK" w:eastAsia="方正黑体_GBK" w:cs="方正黑体_GBK"/>
          <w:color w:val="000000"/>
          <w:szCs w:val="32"/>
        </w:rPr>
        <w:t>投资监督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000000"/>
          <w:szCs w:val="32"/>
        </w:rPr>
        <w:t>区发改委应建立项目全过程跟踪管理</w:t>
      </w:r>
      <w:r>
        <w:rPr>
          <w:rFonts w:hint="eastAsia" w:ascii="Times New Roman" w:hAnsi="Times New Roman" w:eastAsia="方正仿宋_GBK"/>
          <w:color w:val="000000"/>
          <w:szCs w:val="32"/>
          <w:lang w:eastAsia="zh-CN"/>
        </w:rPr>
        <w:t>机制</w:t>
      </w:r>
      <w:r>
        <w:rPr>
          <w:rFonts w:ascii="Times New Roman" w:hAnsi="Times New Roman" w:eastAsia="方正仿宋_GBK"/>
          <w:color w:val="000000"/>
          <w:szCs w:val="32"/>
        </w:rPr>
        <w:t>，及时监督检查年度投资计划的执行，定期向区委、区政府报告计划执行情况。项目</w:t>
      </w:r>
      <w:r>
        <w:rPr>
          <w:rFonts w:hint="eastAsia" w:ascii="Times New Roman" w:hAnsi="Times New Roman" w:eastAsia="方正仿宋_GBK"/>
          <w:color w:val="000000"/>
          <w:szCs w:val="32"/>
          <w:lang w:eastAsia="zh-CN"/>
        </w:rPr>
        <w:t>责任单位</w:t>
      </w:r>
      <w:r>
        <w:rPr>
          <w:rFonts w:ascii="Times New Roman" w:hAnsi="Times New Roman" w:eastAsia="方正仿宋_GBK"/>
          <w:color w:val="000000"/>
          <w:szCs w:val="32"/>
        </w:rPr>
        <w:t>或</w:t>
      </w:r>
      <w:r>
        <w:rPr>
          <w:rFonts w:hint="eastAsia" w:ascii="Times New Roman" w:hAnsi="Times New Roman" w:eastAsia="方正仿宋_GBK"/>
          <w:color w:val="000000"/>
          <w:szCs w:val="32"/>
          <w:lang w:eastAsia="zh-CN"/>
        </w:rPr>
        <w:t>实施</w:t>
      </w:r>
      <w:r>
        <w:rPr>
          <w:rFonts w:ascii="Times New Roman" w:hAnsi="Times New Roman" w:eastAsia="方正仿宋_GBK"/>
          <w:color w:val="000000"/>
          <w:szCs w:val="32"/>
        </w:rPr>
        <w:t>单位应定期向区发改委报送项目前期和建设进展情况。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仿宋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第二十八条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  <w:t>（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信息共享）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szCs w:val="32"/>
          <w:lang w:val="en-US" w:eastAsia="zh-CN"/>
        </w:rPr>
        <w:t>区发改委、区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财政局、区住建委、区规划自然资源局、区审计局等监管和审批部门</w:t>
      </w:r>
      <w:r>
        <w:rPr>
          <w:rFonts w:ascii="Times New Roman" w:hAnsi="Times New Roman" w:eastAsia="方正仿宋_GBK"/>
          <w:color w:val="000000"/>
          <w:szCs w:val="32"/>
        </w:rPr>
        <w:t>应建立</w:t>
      </w:r>
      <w:r>
        <w:rPr>
          <w:rFonts w:hint="eastAsia" w:ascii="Times New Roman" w:hAnsi="Times New Roman" w:eastAsia="方正仿宋_GBK"/>
          <w:color w:val="000000"/>
          <w:szCs w:val="32"/>
          <w:lang w:eastAsia="zh-CN"/>
        </w:rPr>
        <w:t>信息共享机制，运用信息化技术和手段，共享项目审批结果、实施进度等关键信息。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第二十九条（信用监督）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区级投资项目加强诚信管理，对参与建设的项目责任单位、实施单位以及建设管理代理机构、咨询、评估、设计、监理、建设、供货等单位的履约或执业情况，纳入全市统一的公共信用平台管理。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项目责任单位、实施单位应当配合有关部门，收集、报送参与单位的信用信息。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第三十条（</w:t>
      </w:r>
      <w:r>
        <w:rPr>
          <w:rFonts w:hint="default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追责问责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 xml:space="preserve">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严格落实《政府投资条例》等追责问责有关规定，对存在违法违规行为的相关人员，依法依规予以处罚。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章 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第三十一条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本办法未尽事宜按国务院、市级有关规定执行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第三十二条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本办法自印发之日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施行。《重庆市渝中区政府投资项目管理办法》（渝中府发〔2018〕42号）同时废止。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 w:chapStyle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eastAsia="宋体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4937125</wp:posOffset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75pt;margin-top:-26.1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xeGudkAAAAMAQAADwAA&#10;AAAAAAABACAAAAAiAAAAZHJzL2Rvd25yZXYueG1sUEsBAhQAFAAAAAgAh07iQHfkHQ0VAgAAFQ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- 29 -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64770</wp:posOffset>
              </wp:positionV>
              <wp:extent cx="5519420" cy="20955"/>
              <wp:effectExtent l="0" t="0" r="0" b="0"/>
              <wp:wrapNone/>
              <wp:docPr id="24" name="直接连接符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9420" cy="209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5pt;margin-top:5.1pt;height:1.65pt;width:434.6pt;z-index:251662336;mso-width-relative:page;mso-height-relative:page;" filled="f" stroked="t" coordsize="21600,21600" o:gfxdata="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2Njg60QAAAAcBAAAPAAAAAAAAAAEAIAAAACIAAABkcnMvZG93bnJldi54bWxQSwEC&#10;FAAUAAAACACHTuJAWFINF8IBAABTAwAADgAAAAAAAAABACAAAAAgAQAAZHJzL2Uyb0RvYy54bWxQ&#10;SwUGAAAAAAYABgBZAQAAVA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11"/>
      <w:pBdr>
        <w:bottom w:val="none" w:color="auto" w:sz="0" w:space="1"/>
      </w:pBdr>
      <w:ind w:firstLine="643" w:firstLineChars="200"/>
      <w:jc w:val="both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372745</wp:posOffset>
              </wp:positionV>
              <wp:extent cx="5534025" cy="17145"/>
              <wp:effectExtent l="0" t="0" r="0" b="0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534025" cy="1714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.15pt;margin-top:29.35pt;height:1.35pt;width:435.75pt;z-index:251660288;mso-width-relative:page;mso-height-relative:page;" filled="f" stroked="t" coordsize="21600,21600" o:gfxdata="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zkXz9MAAAAHAQAADwAAAAAAAAABACAAAAAiAAAAZHJz&#10;L2Rvd25yZXYueG1sUEsBAhQAFAAAAAgAh07iQIL/DCvQAQAAXgMAAA4AAAAAAAAAAQAgAAAAIgEA&#10;AGRycy9lMm9Eb2MueG1sUEsFBgAAAAAGAAYAWQEAAGQ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22" name="图片 2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zNjMzY1ZTlkOTFjNjVkYzk2MmMxNmQzM2QyOTgifQ=="/>
  </w:docVars>
  <w:rsids>
    <w:rsidRoot w:val="00511337"/>
    <w:rsid w:val="00511337"/>
    <w:rsid w:val="00B673F3"/>
    <w:rsid w:val="0E82210E"/>
    <w:rsid w:val="0FD15DC0"/>
    <w:rsid w:val="10A71497"/>
    <w:rsid w:val="18EC48BA"/>
    <w:rsid w:val="38AE4D06"/>
    <w:rsid w:val="43C35957"/>
    <w:rsid w:val="44D31042"/>
    <w:rsid w:val="516556E7"/>
    <w:rsid w:val="520A441D"/>
    <w:rsid w:val="57E24855"/>
    <w:rsid w:val="5FA679F4"/>
    <w:rsid w:val="60240EB1"/>
    <w:rsid w:val="6FB40769"/>
    <w:rsid w:val="7F4140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94" w:lineRule="exact"/>
      <w:ind w:firstLine="880" w:firstLineChars="200"/>
      <w:outlineLvl w:val="1"/>
    </w:pPr>
    <w:rPr>
      <w:rFonts w:ascii="Arial" w:hAnsi="Arial" w:eastAsia="方正楷体_GBK" w:cs="Times New Roman"/>
      <w:sz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napToGrid w:val="0"/>
      <w:spacing w:line="540" w:lineRule="exact"/>
      <w:jc w:val="both"/>
      <w:textAlignment w:val="baseline"/>
    </w:pPr>
    <w:rPr>
      <w:rFonts w:eastAsia="方正仿宋_GBK"/>
      <w:color w:val="000000"/>
      <w:kern w:val="2"/>
      <w:sz w:val="32"/>
      <w:szCs w:val="22"/>
      <w:lang w:val="en-US" w:eastAsia="zh-CN" w:bidi="ar-SA"/>
    </w:rPr>
  </w:style>
  <w:style w:type="paragraph" w:styleId="4">
    <w:name w:val="Body Text First Indent"/>
    <w:basedOn w:val="5"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link w:val="25"/>
    <w:qFormat/>
    <w:uiPriority w:val="0"/>
    <w:pPr>
      <w:spacing w:after="120"/>
    </w:pPr>
    <w:rPr>
      <w:rFonts w:ascii="Calibri" w:hAnsi="Calibri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link w:val="22"/>
    <w:unhideWhenUsed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6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7"/>
    <w:link w:val="23"/>
    <w:qFormat/>
    <w:uiPriority w:val="0"/>
    <w:pPr>
      <w:adjustRightInd w:val="0"/>
      <w:spacing w:line="312" w:lineRule="atLeast"/>
      <w:ind w:left="200" w:firstLine="200" w:firstLineChars="200"/>
      <w:textAlignment w:val="baseline"/>
    </w:pPr>
    <w:rPr>
      <w:sz w:val="32"/>
      <w:szCs w:val="32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index heading"/>
    <w:basedOn w:val="1"/>
    <w:next w:val="13"/>
    <w:qFormat/>
    <w:uiPriority w:val="0"/>
    <w:rPr>
      <w:rFonts w:ascii="Cambria" w:hAnsi="Cambria" w:eastAsia="宋体" w:cs="Times New Roman"/>
      <w:b/>
      <w:bCs/>
      <w:lang w:bidi="ar-SA"/>
    </w:rPr>
  </w:style>
  <w:style w:type="paragraph" w:styleId="13">
    <w:name w:val="index 1"/>
    <w:basedOn w:val="1"/>
    <w:next w:val="1"/>
    <w:qFormat/>
    <w:uiPriority w:val="0"/>
  </w:style>
  <w:style w:type="paragraph" w:styleId="14">
    <w:name w:val="Message Header"/>
    <w:basedOn w:val="1"/>
    <w:next w:val="5"/>
    <w:link w:val="2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styleId="16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18">
    <w:name w:val="Strong"/>
    <w:basedOn w:val="17"/>
    <w:qFormat/>
    <w:uiPriority w:val="0"/>
    <w:rPr>
      <w:b/>
      <w:bCs/>
    </w:rPr>
  </w:style>
  <w:style w:type="character" w:customStyle="1" w:styleId="20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9"/>
    <w:semiHidden/>
    <w:qFormat/>
    <w:uiPriority w:val="99"/>
    <w:rPr>
      <w:sz w:val="18"/>
      <w:szCs w:val="18"/>
    </w:rPr>
  </w:style>
  <w:style w:type="character" w:customStyle="1" w:styleId="22">
    <w:name w:val="正文文本缩进 Char"/>
    <w:basedOn w:val="17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3">
    <w:name w:val="正文首行缩进 2 Char"/>
    <w:basedOn w:val="22"/>
    <w:link w:val="10"/>
    <w:qFormat/>
    <w:uiPriority w:val="0"/>
    <w:rPr>
      <w:sz w:val="32"/>
      <w:szCs w:val="32"/>
    </w:rPr>
  </w:style>
  <w:style w:type="character" w:customStyle="1" w:styleId="24">
    <w:name w:val="标题 Char"/>
    <w:basedOn w:val="17"/>
    <w:link w:val="16"/>
    <w:qFormat/>
    <w:uiPriority w:val="0"/>
    <w:rPr>
      <w:rFonts w:ascii="Cambria" w:hAnsi="Cambria" w:eastAsia="宋体" w:cs="Times New Roman"/>
      <w:b/>
      <w:bCs/>
    </w:rPr>
  </w:style>
  <w:style w:type="character" w:customStyle="1" w:styleId="25">
    <w:name w:val="正文文本 Char"/>
    <w:basedOn w:val="17"/>
    <w:link w:val="5"/>
    <w:qFormat/>
    <w:uiPriority w:val="0"/>
    <w:rPr>
      <w:rFonts w:ascii="Calibri" w:hAnsi="Calibri" w:eastAsia="宋体" w:cs="Times New Roman"/>
    </w:rPr>
  </w:style>
  <w:style w:type="character" w:customStyle="1" w:styleId="26">
    <w:name w:val="批注框文本 Char"/>
    <w:basedOn w:val="17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信息标题 Char"/>
    <w:basedOn w:val="17"/>
    <w:link w:val="14"/>
    <w:qFormat/>
    <w:uiPriority w:val="0"/>
    <w:rPr>
      <w:rFonts w:ascii="Cambria" w:hAnsi="Cambria" w:eastAsia="宋体" w:cs="Cambria"/>
      <w:sz w:val="24"/>
      <w:szCs w:val="24"/>
      <w:shd w:val="pct20" w:color="auto" w:fill="auto"/>
    </w:rPr>
  </w:style>
  <w:style w:type="paragraph" w:customStyle="1" w:styleId="2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9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二级标题"/>
    <w:next w:val="1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楷体_GB2312" w:hAnsi="永中宋体" w:eastAsia="楷体_GB2312" w:cs="Times New Roman"/>
      <w:sz w:val="32"/>
      <w:szCs w:val="32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2">
    <w:name w:val="font201"/>
    <w:qFormat/>
    <w:uiPriority w:val="0"/>
    <w:rPr>
      <w:rFonts w:ascii="宋体" w:eastAsia="宋体" w:cs="宋体"/>
      <w:b/>
      <w:color w:val="000000"/>
      <w:sz w:val="24"/>
      <w:szCs w:val="24"/>
      <w:u w:val="none"/>
      <w:vertAlign w:val="superscript"/>
      <w:lang w:bidi="ar-SA"/>
    </w:rPr>
  </w:style>
  <w:style w:type="character" w:customStyle="1" w:styleId="33">
    <w:name w:val="font141"/>
    <w:qFormat/>
    <w:uiPriority w:val="0"/>
    <w:rPr>
      <w:rFonts w:ascii="宋体" w:eastAsia="宋体" w:cs="宋体"/>
      <w:b/>
      <w:color w:val="000000"/>
      <w:sz w:val="24"/>
      <w:szCs w:val="24"/>
      <w:u w:val="none"/>
      <w:lang w:bidi="ar-SA"/>
    </w:rPr>
  </w:style>
  <w:style w:type="character" w:customStyle="1" w:styleId="34">
    <w:name w:val="font71"/>
    <w:qFormat/>
    <w:uiPriority w:val="0"/>
    <w:rPr>
      <w:rFonts w:ascii="方正仿宋_GBK" w:eastAsia="方正仿宋_GBK" w:cs="方正仿宋_GBK"/>
      <w:color w:val="000000"/>
      <w:sz w:val="22"/>
      <w:szCs w:val="22"/>
      <w:u w:val="none"/>
      <w:lang w:bidi="ar-SA"/>
    </w:rPr>
  </w:style>
  <w:style w:type="character" w:customStyle="1" w:styleId="35">
    <w:name w:val="font13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162</Characters>
  <Lines>68</Lines>
  <Paragraphs>19</Paragraphs>
  <ScaleCrop>false</ScaleCrop>
  <LinksUpToDate>false</LinksUpToDate>
  <CharactersWithSpaces>186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2021-11-12T06:18:00Z</dcterms:created>
  <dc:creator>PC</dc:creator>
  <cp:lastModifiedBy>Administrator</cp:lastModifiedBy>
  <dcterms:modified xsi:type="dcterms:W3CDTF">2022-06-15T03:41:08Z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1DCCB06602D74B2897D223180BBF945A</vt:lpwstr>
  </property>
</Properties>
</file>