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fh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" w:name="mj"/>
      <w:bookmarkEnd w:id="1"/>
      <w:bookmarkStart w:id="2" w:name="hj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3" w:name="remove_shape1"/>
      <w:r>
        <w:rPr>
          <w:rFonts w:ascii="方正仿宋_GBK" w:eastAsia="方正仿宋_GBK"/>
          <w:color w:val="FF0000"/>
          <w:sz w:val="32"/>
          <w:szCs w:val="32"/>
        </w:rPr>
        <w:pict>
          <v:group id="_x0000_s1026" o:spid="_x0000_s1026" o:spt="203" style="position:absolute;left:0pt;margin-left:0pt;margin-top:31.05pt;height:140.6pt;width:441pt;z-index:251661312;mso-width-relative:page;mso-height-relative:page;" coordorigin="1588,4377" coordsize="8820,2813">
            <o:lock v:ext="edit" aspectratio="f"/>
            <v:shape id="_x0000_s1027" o:spid="_x0000_s1027" o:spt="136" type="#_x0000_t136" style="position:absolute;left:1816;top:4377;height:1078;width:8277;" fillcolor="#FF0000" filled="t" stroked="t" coordsize="21600,21600" adj="10800">
              <v:path/>
              <v:fill on="t" color2="#FFFFFF" focussize="0,0"/>
              <v:stroke color="#FF0000"/>
              <v:imagedata o:title=""/>
              <o:lock v:ext="edit" aspectratio="f"/>
              <v:textpath on="t" fitshape="t" fitpath="t" trim="t" xscale="f" string="重庆市渝中区人民政府办公室文件" style="font-family:方正小标宋_GBK;font-size:40pt;v-rotate-letters:f;v-same-letter-heights:f;v-text-align:center;"/>
            </v:shape>
            <v:line id="直线 10" o:spid="_x0000_s1028" o:spt="20" style="position:absolute;left:1588;top:7189;height:1;width:8820;" filled="f" stroked="t" coordsize="21600,21600">
              <v:path arrowok="t"/>
              <v:fill on="f" focussize="0,0"/>
              <v:stroke weight="2pt" color="#FF0000"/>
              <v:imagedata o:title=""/>
              <o:lock v:ext="edit" aspectratio="f"/>
            </v:line>
          </v:group>
        </w:pict>
      </w:r>
      <w:bookmarkEnd w:id="3"/>
    </w:p>
    <w:p>
      <w:pPr>
        <w:keepNext w:val="0"/>
        <w:keepLines w:val="0"/>
        <w:pageBreakBefore w:val="0"/>
        <w:widowControl w:val="0"/>
        <w:tabs>
          <w:tab w:val="left" w:pos="7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</w:pPr>
      <w:bookmarkStart w:id="4" w:name="nd"/>
      <w:bookmarkEnd w:id="4"/>
      <w:bookmarkStart w:id="5" w:name="bh"/>
      <w:bookmarkEnd w:id="5"/>
      <w:bookmarkStart w:id="6" w:name="fwz"/>
      <w:bookmarkEnd w:id="6"/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渝中府办〔202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>重庆市渝中区人民政府办公室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0"/>
          <w:w w:val="10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>关于印发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0"/>
          <w:w w:val="10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《渝中区促进专业服务业提质增效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pacing w:val="0"/>
          <w:w w:val="10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三年行动方案（2025—2027年）》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>的通知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区政府各部门、各管委会，各街道办事处，有关单位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875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《渝中区促进专业服务业提质增效三年行动方案（2025—2027年）》已经区政府同意，现印发给你们，请认真组织实施。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0" w:line="62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000000" w:themeColor="text1"/>
          <w:spacing w:val="0"/>
          <w:w w:val="10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4352" w:firstLineChars="136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重庆市渝中区人民政府办公室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firstLine="5244" w:firstLineChars="1639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w w:val="10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w w:val="10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w w:val="10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w w:val="10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w w:val="10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w w:val="10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w w:val="10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w w:val="10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0"/>
          <w:w w:val="100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w w:val="10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（此件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w w:val="10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公开发布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w w:val="10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w w:val="99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br w:type="page"/>
      </w:r>
      <w:r>
        <w:rPr>
          <w:rFonts w:hint="default" w:ascii="Times New Roman" w:hAnsi="Times New Roman" w:eastAsia="方正小标宋_GBK" w:cs="Times New Roman"/>
          <w:color w:val="000000" w:themeColor="text1"/>
          <w:w w:val="99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渝中区促进专业服务业提质增效三年行动方案（2025—2027年）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为贯彻落实中共中央、国务院关于推动高质量发展的决策部署和市委、市政府工作要求，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实现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十四五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规划完美收官和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十五五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规划顺利开局，持续推进西部高端专业服务中心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建设，根据《重庆市生产性服务业高质量发展行动计划（2024—2027年）》，结合渝中实际，特制定本行动方案。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一、总体要求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0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color w:val="000000" w:themeColor="text1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（一）指导思想。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坚持以习近平新时代中国特色社会主义思想为指导，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认真贯彻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党的二十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届三中全会、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市委六届六次全会和区委十三届六次全会精神，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紧扣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/>
          <w:lang w:eastAsia="zh-CN"/>
          <w14:textFill>
            <w14:solidFill>
              <w14:schemeClr w14:val="tx1"/>
            </w14:solidFill>
          </w14:textFill>
        </w:rPr>
        <w:t>成渝地区双城经济圈、西部陆海新通道、长江经济带高质量发展等国家重大战略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 w:fill="auto"/>
          <w:lang w:bidi="ar-SA"/>
          <w14:textFill>
            <w14:solidFill>
              <w14:schemeClr w14:val="tx1"/>
            </w14:solidFill>
          </w14:textFill>
        </w:rPr>
        <w:t>，充分发挥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渝中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八大优势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 w:fill="auto"/>
          <w:lang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聚焦重点环节分领域推动专业服务业高质量发展，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/>
          <w:lang w:eastAsia="zh-CN" w:bidi="ar-SA"/>
          <w14:textFill>
            <w14:solidFill>
              <w14:schemeClr w14:val="tx1"/>
            </w14:solidFill>
          </w14:textFill>
        </w:rPr>
        <w:t>高水平对外开放，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更好助力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/>
          <w:lang w:eastAsia="zh-CN"/>
          <w14:textFill>
            <w14:solidFill>
              <w14:schemeClr w14:val="tx1"/>
            </w14:solidFill>
          </w14:textFill>
        </w:rPr>
        <w:t>全市打造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/>
          <w:lang w:val="en-US" w:eastAsia="zh-CN"/>
          <w14:textFill>
            <w14:solidFill>
              <w14:schemeClr w14:val="tx1"/>
            </w14:solidFill>
          </w14:textFill>
        </w:rPr>
        <w:t>33618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/>
          <w:lang w:val="en-US" w:eastAsia="zh-CN"/>
          <w14:textFill>
            <w14:solidFill>
              <w14:schemeClr w14:val="tx1"/>
            </w14:solidFill>
          </w14:textFill>
        </w:rPr>
        <w:t>现代制造业集群体系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/>
          <w:lang w:eastAsia="zh-CN"/>
          <w14:textFill>
            <w14:solidFill>
              <w14:schemeClr w14:val="tx1"/>
            </w14:solidFill>
          </w14:textFill>
        </w:rPr>
        <w:t>，积极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/>
          <w14:textFill>
            <w14:solidFill>
              <w14:schemeClr w14:val="tx1"/>
            </w14:solidFill>
          </w14:textFill>
        </w:rPr>
        <w:t>培育区域经济新的增长极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/>
          <w:lang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（二）发展目标。</w:t>
      </w:r>
      <w:bookmarkStart w:id="7" w:name="OLE_LINK31"/>
      <w:bookmarkStart w:id="8" w:name="OLE_LINK32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通过三年努力，</w:t>
      </w:r>
      <w:bookmarkStart w:id="9" w:name="OLE_LINK30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全区会计、法律、人力资源、工程设计、检验检测、认证认可、信用服务、知识产权、战略咨询等专业门类更加完备，国内外知名机构数量全市领先，上市重组、涉外法务、高级人才寻访、山地复杂建筑设计、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u w:val="none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碳足迹管理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等高端服务能力显著提升、服务半径持续扩大</w:t>
      </w:r>
      <w:bookmarkStart w:id="10" w:name="OLE_LINK16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，全国领军人才、高层次人才、资深专家、学者大量云集，</w:t>
      </w:r>
      <w:bookmarkEnd w:id="10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引领全市乃至西部发展作用进一步凸显，具有全国较大影响力的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西部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高端专业服务中心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基本建成。</w:t>
      </w:r>
      <w:bookmarkEnd w:id="7"/>
    </w:p>
    <w:bookmarkEnd w:id="8"/>
    <w:bookmarkEnd w:id="9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——产业规模稳步扩大。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2027年，全区专业服务业增加值力争达到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190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/>
          <w:lang w:eastAsia="zh-CN" w:bidi="ar-SA"/>
          <w14:textFill>
            <w14:solidFill>
              <w14:schemeClr w14:val="tx1"/>
            </w14:solidFill>
          </w14:textFill>
        </w:rPr>
        <w:t>亿元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，增加值占全区GDP比重保持在9%水平。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——市场主体发展壮大。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2027年，全区规模以上专业服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务企业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数量力争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突破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170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——产业质量稳步提升。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/>
          <w:lang w:eastAsia="zh-CN" w:bidi="ar-SA"/>
          <w14:textFill>
            <w14:solidFill>
              <w14:schemeClr w14:val="tx1"/>
            </w14:solidFill>
          </w14:textFill>
        </w:rPr>
        <w:t>2027年，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shd w:val="clear" w:color="auto"/>
          <w:lang w:eastAsia="zh-CN" w:bidi="ar-SA"/>
          <w14:textFill>
            <w14:solidFill>
              <w14:schemeClr w14:val="tx1"/>
            </w14:solidFill>
          </w14:textFill>
        </w:rPr>
        <w:t>全区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规模以上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专业服务企业营业收入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力争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超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500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亿元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年均增长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10%。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二、重点任务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（一）聚焦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八大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关键领域，积极培育发展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新动能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jc w:val="both"/>
        <w:textAlignment w:val="auto"/>
        <w:outlineLvl w:val="2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1.工程技术与设计服务。支持企业通过联合体等形式积极参与市政设施、城市更新、排水管网等大型项目建设，逐步提升本土企业核心竞争力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。支持和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鼓励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国有资金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、社会资金投资项目采用工程总承包和全过程工程咨询服务。逐步培育一批工程总承包骨干企业和全过程工程咨询领军企业，引导企业由单一施工向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投建运一体化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模式转型。到2027年，新增工程技术与设计服务机构2家，力争工程技术与设计服务领域营业收入突破200亿元。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2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2.人力资源服务。</w:t>
      </w:r>
      <w:bookmarkStart w:id="11" w:name="OLE_LINK25"/>
      <w:bookmarkStart w:id="12" w:name="OLE_LINK26"/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支持本土领军企业建立跨省域服务节点，沿西部陆海新通道构建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一核多极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服务网络，力争形成服务半径覆盖云贵川三省的产业辐射圈。创新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人力资源服务+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产业融合模式，重点突破高端人才图谱建模、AI智能测评系统开发、跨国猎聘云平台建设等关键技术。培育形成以高级人才寻访（猎头）、人力资本价值评估、组织发展咨询为代表的高附加值服务矩阵和高端业态。</w:t>
      </w:r>
      <w:bookmarkEnd w:id="11"/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到2027年，新增人力资源机构30家，力争机构总量超260家，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培育汇聚全市人力资源服务业骨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干企业、十强机构5家，</w:t>
      </w:r>
      <w:r>
        <w:rPr>
          <w:rFonts w:hint="eastAsia" w:ascii="Times New Roman" w:hAnsi="Times New Roman" w:eastAsia="方正仿宋_GBK" w:cs="Times New Roman"/>
          <w:color w:val="000000" w:themeColor="text1"/>
          <w:spacing w:val="-6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3A</w:t>
      </w:r>
      <w:r>
        <w:rPr>
          <w:rFonts w:hint="eastAsia" w:ascii="Times New Roman" w:hAnsi="Times New Roman" w:eastAsia="方正仿宋_GBK" w:cs="Times New Roman"/>
          <w:color w:val="000000" w:themeColor="text1"/>
          <w:spacing w:val="-6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级以上人力资源服务机构10家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bookmarkEnd w:id="12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2"/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3.会计审计。持续巩固会计领域比较优势，推动事务所做优、做精、做专会计报表、财务收支、经济责任、清产核资等传统会计审计业务，引导事务所积极拓展业务新领域，提升并购重组、融资发债、破产管理、绩效评价、法务鉴定等</w:t>
      </w:r>
      <w:bookmarkStart w:id="13" w:name="OLE_LINK27"/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u w:val="none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高附加值</w:t>
      </w:r>
      <w:bookmarkEnd w:id="13"/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业务占比，进一步优化服务产品结构、提升执业质量，更好服务于西部大开发、西部陆海新通道等国家战略。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到2027年，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新增会计师事务所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，转制特殊普通合伙事务所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家，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培育本土具有证券资格事务所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2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shd w:val="clear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4.法律服务。</w:t>
      </w:r>
      <w:bookmarkStart w:id="14" w:name="OLE_LINK28"/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u w:val="none"/>
          <w:shd w:val="clear" w:color="auto"/>
          <w:lang w:eastAsia="zh-CN" w:bidi="ar-SA"/>
          <w14:textFill>
            <w14:solidFill>
              <w14:schemeClr w14:val="tx1"/>
            </w14:solidFill>
          </w14:textFill>
        </w:rPr>
        <w:t>高起点打造西部法律服务标杆示范区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支持律师事务所规模化、特色化、品牌化、国际化发展，大力发展公证、仲裁、调解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、鉴定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等业务。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shd w:val="clear" w:color="auto"/>
          <w14:textFill>
            <w14:solidFill>
              <w14:schemeClr w14:val="tx1"/>
            </w14:solidFill>
          </w14:textFill>
        </w:rPr>
        <w:t>通过全要素赋能、全链条升级，梯次构建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shd w:val="clear" w:color="auto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shd w:val="clear" w:color="auto"/>
          <w14:textFill>
            <w14:solidFill>
              <w14:schemeClr w14:val="tx1"/>
            </w14:solidFill>
          </w14:textFill>
        </w:rPr>
        <w:t>专精特新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shd w:val="clear" w:color="auto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shd w:val="clear" w:color="auto"/>
          <w14:textFill>
            <w14:solidFill>
              <w14:schemeClr w14:val="tx1"/>
            </w14:solidFill>
          </w14:textFill>
        </w:rPr>
        <w:t>法律矩阵，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培育一批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法律素养专业化、客户服务精细化、品牌定位特色化的中小律所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，做强一批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具有全国知名度的国际化综合大所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，发展一批专业能力强、行业认可度高的公证机构、鉴定机构、仲裁调解机构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shd w:val="clear" w:color="auto"/>
          <w:lang w:eastAsia="zh-CN"/>
          <w14:textFill>
            <w14:solidFill>
              <w14:schemeClr w14:val="tx1"/>
            </w14:solidFill>
          </w14:textFill>
        </w:rPr>
        <w:t>形成具有国际影响力的法律服务生态圈。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到2027年，新增律师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事务所10家，</w:t>
      </w:r>
      <w:bookmarkStart w:id="15" w:name="OLE_LINK35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shd w:val="clear" w:color="auto"/>
          <w:lang w:eastAsia="zh-CN"/>
          <w14:textFill>
            <w14:solidFill>
              <w14:schemeClr w14:val="tx1"/>
            </w14:solidFill>
          </w14:textFill>
        </w:rPr>
        <w:t>引进和培育具有全国影响力和国际竞争力的律师事务所各1家</w:t>
      </w:r>
      <w:bookmarkEnd w:id="15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shd w:val="clear" w:color="auto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bookmarkEnd w:id="14"/>
    <w:p>
      <w:pPr>
        <w:keepNext w:val="0"/>
        <w:keepLines w:val="0"/>
        <w:pageBreakBefore w:val="0"/>
        <w:widowControl w:val="0"/>
        <w:shd w:val="clear" w:color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2"/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5.知识产权服务。加速发展专利、商标、著作权、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集成电路布图设计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等代理服务，推进知识产权代理行业信用体系建设。支持知识产权服务与全面创新需求和重点产业、重点园区深度融合，鼓励知识产权服务机构向专业化、特色化、高端化方向发展，提升高质量知识产权服务供给能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2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6.检验检测认证认可。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对接全市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33618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制造业集群体系和围绕全区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4311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现代产业体系，巩固发扬现有优势，积极拓展新兴检测领域，聚焦软件及通信服务、生态环境、医疗卫生医药器械、建筑工程、食品安全检测及司法与刑事技术鉴定、检验检测延伸服务和认证服务等方向加强培育、招引，做强检验检测产业。到2027年，新增检验检测认证认可机构3家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7.信用服务。以培育信用服务产业为重点，引进培育一批具有影响力的专业服务机构，聚焦信用信息采集、整理加工、存储传输、公共和市场应用等环节，加快信用服务全产业链布局。以激活信用服务市场为核心，通过政府示范应用，带动企业主动应用、个人自觉应用和信用服务机构创新供给，全面激发信用服务市场需求。立足渝中区位优势，优化信用服务产品供给，加快信用科技、信用评级、信用保险、信用担保、商账管理、信用调查、信用管理咨询及培训等相关业态服务机构规模化发展，为普惠金融、商贸消费、直播营销、数字文旅、创意文化等新业态新模式提供信用支持。制定发布信用服务标准，引导信用服务机构树立品牌意识，走品牌化发展道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8.咨询服务。加快发展专业咨询服务，重点引进管理咨询、技术咨询、信息咨询、市场咨询、财务咨询等各类咨询机构，鼓励咨询机构在大型项目、大型课题中成立联合体进行公开招标、竞标，支持本土咨询机构与国外咨询机构通过合资合作、海外并购、联合经营等多种形式，在做好本地服务的同时，积极探索开拓市外、跨国咨询业务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到2027年，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全区新增咨询机构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3家。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同时，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立足渝中资源禀赋、产业特点，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持续加强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保险中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highlight w:val="none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介、房地产顾问等领域系统谋划，</w:t>
      </w:r>
      <w:r>
        <w:rPr>
          <w:rFonts w:hint="eastAsia" w:ascii="Times New Roman" w:hAnsi="Times New Roman" w:eastAsia="方正仿宋_GBK" w:cs="Times New Roman"/>
          <w:color w:val="000000" w:themeColor="text1"/>
          <w:spacing w:val="-6"/>
          <w:sz w:val="32"/>
          <w:szCs w:val="32"/>
          <w:highlight w:val="none"/>
          <w:shd w:val="clear" w:color="auto"/>
          <w:lang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highlight w:val="none"/>
          <w:shd w:val="clear" w:color="auto"/>
          <w:lang w:eastAsia="zh-CN" w:bidi="ar-SA"/>
          <w14:textFill>
            <w14:solidFill>
              <w14:schemeClr w14:val="tx1"/>
            </w14:solidFill>
          </w14:textFill>
        </w:rPr>
        <w:t>一域一策</w:t>
      </w:r>
      <w:r>
        <w:rPr>
          <w:rFonts w:hint="eastAsia" w:ascii="Times New Roman" w:hAnsi="Times New Roman" w:eastAsia="方正仿宋_GBK" w:cs="Times New Roman"/>
          <w:color w:val="000000" w:themeColor="text1"/>
          <w:spacing w:val="-6"/>
          <w:sz w:val="32"/>
          <w:szCs w:val="32"/>
          <w:highlight w:val="none"/>
          <w:shd w:val="clear" w:color="auto"/>
          <w:lang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highlight w:val="none"/>
          <w:shd w:val="clear" w:color="auto"/>
          <w:lang w:eastAsia="zh-CN" w:bidi="ar-SA"/>
          <w14:textFill>
            <w14:solidFill>
              <w14:schemeClr w14:val="tx1"/>
            </w14:solidFill>
          </w14:textFill>
        </w:rPr>
        <w:t>打造标志性成果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/>
          <w:lang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color w:val="000000" w:themeColor="text1"/>
          <w:spacing w:val="-6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楷体_GBK" w:cs="Times New Roman"/>
          <w:color w:val="000000" w:themeColor="text1"/>
          <w:spacing w:val="-6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加快</w:t>
      </w:r>
      <w:r>
        <w:rPr>
          <w:rFonts w:hint="eastAsia" w:ascii="Times New Roman" w:hAnsi="Times New Roman" w:eastAsia="方正楷体_GBK" w:cs="Times New Roman"/>
          <w:color w:val="000000" w:themeColor="text1"/>
          <w:spacing w:val="-6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楷体_GBK" w:cs="Times New Roman"/>
          <w:color w:val="000000" w:themeColor="text1"/>
          <w:spacing w:val="-6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四大</w:t>
      </w:r>
      <w:r>
        <w:rPr>
          <w:rFonts w:hint="eastAsia" w:ascii="Times New Roman" w:hAnsi="Times New Roman" w:eastAsia="方正楷体_GBK" w:cs="Times New Roman"/>
          <w:color w:val="000000" w:themeColor="text1"/>
          <w:spacing w:val="-6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楷体_GBK" w:cs="Times New Roman"/>
          <w:color w:val="000000" w:themeColor="text1"/>
          <w:spacing w:val="-6"/>
          <w:kern w:val="0"/>
          <w:sz w:val="32"/>
          <w:szCs w:val="32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园区建</w:t>
      </w:r>
      <w:r>
        <w:rPr>
          <w:rFonts w:hint="default" w:ascii="Times New Roman" w:hAnsi="Times New Roman" w:eastAsia="方正楷体_GBK" w:cs="Times New Roman"/>
          <w:color w:val="000000" w:themeColor="text1"/>
          <w:spacing w:val="-6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设，全力打造专业服务</w:t>
      </w:r>
      <w:r>
        <w:rPr>
          <w:rFonts w:hint="eastAsia" w:ascii="Times New Roman" w:hAnsi="Times New Roman" w:eastAsia="方正楷体_GBK" w:cs="Times New Roman"/>
          <w:color w:val="000000" w:themeColor="text1"/>
          <w:spacing w:val="-6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楷体_GBK" w:cs="Times New Roman"/>
          <w:color w:val="000000" w:themeColor="text1"/>
          <w:spacing w:val="-6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新高地</w:t>
      </w:r>
      <w:r>
        <w:rPr>
          <w:rFonts w:hint="eastAsia" w:ascii="Times New Roman" w:hAnsi="Times New Roman" w:eastAsia="方正楷体_GBK" w:cs="Times New Roman"/>
          <w:color w:val="000000" w:themeColor="text1"/>
          <w:spacing w:val="-6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楷体_GBK" w:cs="Times New Roman"/>
          <w:color w:val="000000" w:themeColor="text1"/>
          <w:spacing w:val="-6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1.深入推进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西部金融中央法务区（重庆中央法务区）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建设。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制定各项工作机制，形成政策体系，构建官方微信公众平台等新媒体矩阵，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重点围绕渝中全域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一心两片多点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完善功能布局，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成新华路84号地块法务区展示平台，持续命名法务示范楼宇，新落户5家以上全国百强律所、拍卖、贷后服务等金融法治机构，聚集金融法治等相关法律服务从业人员约5000人，法律服务业在地区生产总值中占比有所提升，初步建成西部领先、具有全国影响力的法治平台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2.着力建设重庆市高端会计服务示范中心。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用好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重庆市渝中区国家服务业综合改革会计服务示范基地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金字招牌，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依托企业天地2—8号楼、重庆陆海国际中心等载体，支持有实力的本土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会计师事务所向全国性事务所发展，不断提升重庆地区会计审计服务辐射范围，梯度吸引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专精特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中小型事务所及同一管理平台的资产评估、造价、代理记账、会计咨询公司和税务师事务所入驻，进一步提升化龙桥国际商务区会计服务集聚度，形成更强的规模和质量比较优势，到2027年，力争该区域会计服务营业收入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突破15亿元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倾力打造黄花园现代服务业产业园。加快形成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专业服务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产业集群，科学布局黄花园现代服务产业园，积极承接东部地区产业转移，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依托中冶赛迪创意大厦、市设计院办公大楼、科协大厦等载体，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全力构建名企汇集、上下贯通、集约集聚的建筑全产业链，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/>
          <w:lang w:val="en-US" w:eastAsia="zh-CN"/>
          <w14:textFill>
            <w14:solidFill>
              <w14:schemeClr w14:val="tx1"/>
            </w14:solidFill>
          </w14:textFill>
        </w:rPr>
        <w:t>大力发展勘察设计、监理造价咨询、工业软件设计等生产性服务业，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2027年，力争黄花园现代服务业产业园营业收入突破130亿元。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4.积极打造重庆市人力资源服务集聚区。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争创以解放碑CBD为核心、辐射渝中全域的人力资源服务集聚区，推进人力资源服务业专业化、数字化、协同化、开放化、规范化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五化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发展。实施人力资源服务跃升行动，围绕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4311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现代化产业体系，举办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人力赋能·新质新航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系列人力资源供需对接品牌活动，联合人力资源服务机构发布《急需紧缺人才目录》，建立人力资源服务专员机制，组织专员对接区内重点企业200家次以上</w:t>
      </w:r>
      <w:bookmarkStart w:id="16" w:name="OLE_LINK9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，支持设立海外人力资源工作站等人力资源服务平台10家以上。</w:t>
      </w:r>
      <w:bookmarkEnd w:id="16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（三）实施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九大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shd w:val="clear" w:color="auto"/>
          <w:lang w:val="en-US" w:eastAsia="zh-CN" w:bidi="ar-SA"/>
          <w14:textFill>
            <w14:solidFill>
              <w14:schemeClr w14:val="tx1"/>
            </w14:solidFill>
          </w14:textFill>
        </w:rPr>
        <w:t>专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项行动，持续构筑竞争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新优势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2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1.开展经营主体培育行动。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外引内育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并重，聚焦专业服务业关键领域，大力引进一批国内外知名会计师事务所、律师事务所、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工程技术与设计机构、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人力资源机构等专业服务业领军企业来渝设立区域总部或分支机构。积极培育一批本地企业，增强核心竞争力，全面融入全国大市场，创建一批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重庆服务名牌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2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2.开展特色楼宇打造行动。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结合渝中区楼宇经济三年行动计划，制定专业服务业特色楼宇认定办法，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shd w:val="clear" w:color="auto"/>
          <w:lang w:val="en-US" w:eastAsia="zh-CN"/>
          <w14:textFill>
            <w14:solidFill>
              <w14:schemeClr w14:val="tx1"/>
            </w14:solidFill>
          </w14:textFill>
        </w:rPr>
        <w:t>依托化龙桥国际商务区、朝天门—解放碑绿色金融大道沿线重点载体，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打造专业服务产业楼宇集群，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因楼制宜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引导全区楼宇错位发展、特色经营，力争三年内累计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打造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专业服务业特色楼宇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shd w:val="clear" w:color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栋以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积极争创重庆市现代生产性服务业集聚区。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2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3.开展政策矩阵构筑行动。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加强顶层设计，制定出台符合会计审计、法律服务、人力资源等专业服务业特点的产业扶持政策，持续完善西部金融中央法务区系列配套政策、专业服务业特色楼宇配套政策，建立和落实质量认证激励政策。积极向上争取政策、项目资金支持，做好市区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两级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政策协同发力。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2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4.开展绿色低碳转型行动。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引导各类专业服务机构紧抓绿色发展契机和客户需求变化，重点从绿色能源、绿色交通、绿色建筑、绿色工业、绿色供应链、零碳园区创建等领域，提供差异化服务方案，丰富绿色产品供给。支持会计审计、工程技术与设计机构拓展绿色低碳、环境社会责任和公司治理（ESG）等业务，开展ESG报告、碳资产管理、碳排放核算核查、</w:t>
      </w:r>
      <w:bookmarkStart w:id="17" w:name="OLE_LINK17"/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碳足迹管理</w:t>
      </w:r>
      <w:bookmarkEnd w:id="17"/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等新兴绿色低碳服务，鼓励信用评级机构开展绿色债券评级服务。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5.开展数字增效赋能行动。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加快平台建设，鼓励会计师事务所、律师事务所建设全流程、信息化智能作业平台及辅助工具，鼓励工程技术与设计服务机构构建数字设计基础平台和集成系统，鼓励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人力资源服务机构开发灵活用工平台，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逐步实现业务远程化、智能化、数字化、协同化作业。强化技术创新，支持人力资源服务机构开发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AI劳动力模型、劳资风控、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元宇宙招聘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等数智产品，提升核心竞争力。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推进检验检测管理信息化，推广使用实验室信息管理系统，引导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检验检测认证认可机构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数字化转型升级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2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6.开展企业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千帆远航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行动。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推动专业服务机构多渠道全球化布局，促进专业服务业为实体经济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走出去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赋能。鼓励专业服务机构创建国际网络，围绕企业创新发展和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走出去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需求，在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一带一路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沿线国家或地区设立分支机构或办事处，不断提升业务辐射范围；探索和积累支持专业服务机构国际化发展经验，研究出台支持企业发展国际业务的政策措施，重点提升专业服务机构对海外知识产权维权、投资地法律支持、国际化战略布局等方面的服务供给，更好为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走出去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项目提供出海指引和路径服务。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2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>7.开展跨行业融合发展行动。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auto"/>
          <w:lang w:val="en-US" w:eastAsia="zh-CN" w:bidi="ar-SA"/>
        </w:rPr>
        <w:t>动态更新各类专业服务机构信息，鼓励专业服务机构与金融、商贸、文旅、软信、大健康、科创等重点行业主体建立交流服务平台。鼓励各类咨询服务公司为招商引资企业投资、发展提供各领域第三方专业服务，助力招商落地项目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2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8.开展精英人才引育行动。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以专业服务业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四大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园区建设为抓手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加快一批技术型、复合型和国际型高端领军人才向渝中集聚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成立专业服务业专家智库，借智借力助推产业发展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/>
          <w:lang w:eastAsia="zh-CN"/>
          <w14:textFill>
            <w14:solidFill>
              <w14:schemeClr w14:val="tx1"/>
            </w14:solidFill>
          </w14:textFill>
        </w:rPr>
        <w:t>。深化产学研融合，加快高端人才培养。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积极推荐优秀人才参加国家、市、区的各类表彰评选活动；鼓励人才参加职业资格考试、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高端人才培养计划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等在职学习和培训。完善人才居留落户、出入境等保障服务。到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2027年，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新引进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注册会计师200名以上、涉外法律服务人才15名以上、专利代理师10名以上，培育全国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勘察设计大师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2名以上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渝中区高层次人才50名以上，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全区专业服务业从业人员数量突破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2.5万人。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9.开展营商环境提升行动。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优化市场准入服务，严格执行全国统一的市场准入负面清单，完善外商投资企业准入登记制度，推进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证照联办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集成化办理，全面强化政务服务数字赋能。助推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全渝数智法院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建设，健全法院与市场监管等部门之间数据共享机制，提升商业纠纷解决效率，依法平等保护各类市场主体产权和合法权益。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全面落实公平竞争审查制度，开展招标投标领域优化营商环境专项整治，消除招标投标过程中对不同地域、不同所有制企业设置的各类不合理限制和壁垒，促进市场公平公正公开竞争。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持续构建亲清统一新型政商关系，落实常态化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三服务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机制，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切实解决市场主体痛点难点堵点问题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三、工作保障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（一）加强组织领导。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成立专业服务业发展工作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专班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，健全产业提质增效工作推进机制，由区产业发展促进局牵头，相关行业主管部门、管委会作为成员单位，共同推动专业服务业各领域高质量发展。成员单位要加强与市级部门、行业协会上下联动，按照上级规划确定的指导思想、发展目标和重点任务，结合渝中实际全面贯彻落实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bookmarkStart w:id="18" w:name="OLE_LINK3"/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加强党建引领。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依托市级行业协会、区级行业主管部门，全面加强党对专业服务业各领域、各</w:t>
      </w:r>
      <w:bookmarkStart w:id="19" w:name="OLE_LINK2"/>
      <w:r>
        <w:rPr>
          <w:rFonts w:hint="default" w:ascii="Times New Roman" w:hAnsi="Times New Roman" w:eastAsia="方正仿宋_GBK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企业</w:t>
      </w:r>
      <w:bookmarkEnd w:id="19"/>
      <w:r>
        <w:rPr>
          <w:rFonts w:hint="default" w:ascii="Times New Roman" w:hAnsi="Times New Roman" w:eastAsia="方正仿宋_GBK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的领导，支持有条件的企业积极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建立党组织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，强化党员教育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打造党建亮点，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深入促进党建与业务工作融合发展。引导各企业坚持以党建带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群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建，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不断提高党的组织覆盖和工作覆盖。</w:t>
      </w:r>
    </w:p>
    <w:bookmarkEnd w:id="18"/>
    <w:p>
      <w:pPr>
        <w:keepNext w:val="0"/>
        <w:keepLines w:val="0"/>
        <w:pageBreakBefore w:val="0"/>
        <w:widowControl w:val="0"/>
        <w:shd w:val="clear" w:color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（三）加强保障服务。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区发改委要定期牵头梳理《重点联系服务企业清单》，并指导区级部门、管委会、街道开展常态化企业联系服务；区财政局要加强产业发展相关经费统筹，让有限的财政资金发挥最大的撬动效用；区教委、区人社局、区卫健委、区公安分局要按照职能职责，全力做好人才医疗优诊、子女入学、劳动仲裁、人才落户等保障服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（四）加强监测评估。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进一步健全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服务业统计工作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加强统计业务培训和数据审核力度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不断提高数据质量。组织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开展行业经济指标运行情况动态监测，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运行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信息发布制度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实施情况中期评估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总结评估，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做好行业发展形势分析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（五）加强宣传引导。</w:t>
      </w:r>
      <w:bookmarkStart w:id="20" w:name="OLE_LINK29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各成员单位要及时总结先进做法和典型经验，广泛宣传实施效果好、带动作用强的重点项目和创新举措，努力营造良好发展氛围。要充分利用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人力资源服务峰会、川渝专业服务论坛等活动资源，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讲好渝中故事，发出渝中声音，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联动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福布斯中国等知名平台，编制发布专业服务业发展指数，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不断提升西部高端专业服务中心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知名度、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影响力。</w:t>
      </w:r>
      <w:bookmarkEnd w:id="20"/>
    </w:p>
    <w:p>
      <w:pP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1417" w:right="1587" w:bottom="1417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-6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pacing w:val="0"/>
          <w:w w:val="97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渝中区促进专业服务业提质增效三年行动方案（2025—2027年）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0"/>
          <w:w w:val="97"/>
          <w:sz w:val="44"/>
          <w:szCs w:val="44"/>
          <w14:textFill>
            <w14:solidFill>
              <w14:schemeClr w14:val="tx1"/>
            </w14:solidFill>
          </w14:textFill>
        </w:rPr>
        <w:t>任务分工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0"/>
          <w:w w:val="97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15030" w:type="dxa"/>
        <w:tblInd w:w="-3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9510"/>
        <w:gridCol w:w="2025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510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具体工作内容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牵头单位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030" w:type="dxa"/>
            <w:gridSpan w:val="4"/>
            <w:noWrap w:val="0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一、聚焦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八大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关键领域，积极培育发展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新动能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技术与设计服务。支持企业通过联合体等形式积极参与市政设施、城市更新、排水管网等大型项目建设，逐步提升本土企业核心竞争力。支持和鼓励国有资金、社会资金投资项目采用工程总承包和全过程工程咨询服务。逐步培育一批工程总承包骨干企业和全过程工程咨询领军企业，引导企业由单一施工向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投建运一体化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模式转型。到2027年，新增工程技术与设计服务机构2家，力争工程技术与设计服务领域营业收入突破200亿元。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区住房城市建委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解放碑CBD管委会、历史文化街区管委会、数字经济产业园管委会、大石化新区管委会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人力资源服务。支持本土领军企业建立跨省域服务节点，沿西部陆海新通道构建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一核多极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服务网络，力争形成服务半径覆盖云贵川三省的产业辐射圈。创新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人力资源服务+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融合模式，重点突破高端人才图谱建模、AI智能测评系统开发、跨国猎聘云平台建设等关键技术。培育形成以高级人才寻访（猎头）、人力资本价值评估、组织发展咨询为代表的高附加值服务矩阵和高端业态。到2027年，新增人力资源机构30家，力争机构总量超260家，培育汇聚全市人力资源服务业骨干企业、十强机构5家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3A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级以上人力资源服务机构10家。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区人力社保局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审计。持续巩固会计领域比较优势，推动事务所做优、做精、做专会计报表、财务收支、经济责任、清产核资等传统会计审计业务，引导事务所积极拓展业务新领域，提升并购重组、融资发债、破产管理、绩效评价、法务鉴定等高附加值业务占比，进一步优化服务产品结构、提升执业质量，更好服务于西部大开发、西部陆海新通道等国家战略。到2027年，新增会计师事务所3家，转制特殊普通合伙事务所1家，培育本土具有证券资格事务所1家。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区产业发展促进局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解放碑CBD管委会、历史文化街区管委会、数字经济产业园管委会、大石化新区管委会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51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具体工作内容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牵头单位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法律服务。高起点打造西部法律服务标杆示范区，支持律师事务所规模化、特色化、品牌化、国际化发展，大力发展公证、仲裁、调解、鉴定等业务。通过全要素赋能、全链条升级，梯次构建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专精特新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矩阵，培育一批法律素养专业化、客户服务精细化、品牌定位特色化的中小律所，做强一批具有全国知名度的国际化综合大所，发展一批专业能力强、行业认可度高的公证机构、鉴定机构、仲裁调解机构，形成具有国际影响力的法律服务生态圈。到2027年，新增律师事务所10家，引进和培育具有全国影响力和国际竞争力的律师事务所各1家。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区司法局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解放碑CBD管委会、历史文化街区管委会、数字经济产业园管委会、大石化新区管委会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产权服务。加速发展专利、商标、著作权、集成电路布图设计等代理服务，推进知识产权代理行业信用体系建设。支持知识产权服务与全面创新需求和重点产业、重点园区深度融合，鼓励知识产权服务机构向专业化、特色化、高端化方向发展，提升高质量知识产权服务供给能力。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区市场监管局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4" w:lineRule="exact"/>
              <w:jc w:val="both"/>
              <w:textAlignment w:val="auto"/>
              <w:outlineLvl w:val="2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区发展改革委、区科技局、区经济信息委、区住房城市建委、区商务委、区文化旅游委、区卫生健康委、区产业发展促进局、解放碑CBD管委会、历史文化街区管委会、数字经济产业园管委会、大石化新区管委会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检验检测认证认可。对接全市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33618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制造业集群体系和围绕全区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4311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代产业体系，巩固发扬现有优势，积极拓展新兴检测领域，聚焦软件及通信服务、生态环境、医疗卫生医药器械、建筑工程、食品安全检测及司法与刑事技术鉴定、检验检测延伸服务和认证服务等方向加强培育、招引，做强检验检测产业。到2027年，新增检验检测认证认可机构3家。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区市场监管局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区科技局、区经济信息委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区司法局、区人力社保局、区生态环境局、区住房城市建委、区商务委、区文化旅游委、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区卫生健康委、区产业发展促进局、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区交通运输委、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区大数据发展局、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区公安分局、区规划自然资源局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方正黑体_GBK" w:hAnsi="方正黑体_GBK" w:eastAsia="方正黑体_GBK" w:cs="方正黑体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510" w:type="dxa"/>
            <w:shd w:val="clear" w:color="auto" w:fill="auto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方正黑体_GBK" w:hAnsi="方正黑体_GBK" w:eastAsia="方正黑体_GBK" w:cs="方正黑体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具体工作内容</w:t>
            </w: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方正黑体_GBK" w:hAnsi="方正黑体_GBK" w:eastAsia="方正黑体_GBK" w:cs="方正黑体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牵头单位</w:t>
            </w:r>
          </w:p>
        </w:tc>
        <w:tc>
          <w:tcPr>
            <w:tcW w:w="2745" w:type="dxa"/>
            <w:shd w:val="clear" w:color="auto" w:fill="auto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方正黑体_GBK" w:hAnsi="方正黑体_GBK" w:eastAsia="方正黑体_GBK" w:cs="方正黑体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用服务。以培育信用服务产业为重点，引进培育一批具有影响力的专业服务机构，聚焦信用信息采集、整理加工、存储传输、公共和市场应用等环节，加快信用服务全产业链布局。以激活信用服务市场为核心，通过政府示范应用，带动企业主动应用、个人自觉应用和信用服务机构创新供给，全面激发信用服务市场需求。立足渝中区位优势，优化信用服务产品供给，加快信用科技、信用评级、信用保险、信用担保、商账管理、信用调查、信用管理咨询及培训等相关业态服务机构规模化发展，为普惠金融、商贸消费、直播营销、数字文旅、创意文化等新业态新模式提供信用支持。制定发布信用服务标准，引导信用服务机构树立品牌意识，走品牌化发展道路。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区发展改革委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区产业发展促进局、解放碑CBD管委会、历史文化街区管委会、数字经济产业园管委会、大石化新区管委会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咨询服务。加快发展专业咨询服务，重点引进管理咨询、技术咨询、信息咨询、市场咨询、财务咨询等各类咨询机构，鼓励咨询机构在大型项目、大型课题中成立联合体进行公开招标、竞标，支持本土咨询机构与国外咨询机构通过合资合作、海外并购、联合经营等多种形式，在做好本地服务的同时，积极探索开拓市外、跨国咨询业务。到2027年，全区新增咨询机构3家。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区产业发展促进局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解放碑CBD管委会、历史文化街区管委会、数字经济产业园管委会、大石化新区管委会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030" w:type="dxa"/>
            <w:gridSpan w:val="4"/>
            <w:noWrap w:val="0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二、加快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四大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园区建设，全力打造专业服务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新高地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深入推进西部金融中央法务区（重庆中央法务区）建设。制定各项工作机制，形成政策体系，构建官方微信公众平台等新媒体矩阵，重点围绕渝中全域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一心两片多点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善功能布局，建成新华路84号地块法务区展示平台，持续命名法务示范楼宇，新落户5家以上全国百强律所、拍卖、贷后服务等金融法治机构，聚集金融法治等相关法律服务从业人员约5000人，法律服务业在地区生产总值中占比有所提升，初步建成西部领先、具有全国影响力的法治平台。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区司法局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区委政法委、区产业发展促进局、区税务局、区法院、区国资公司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着力建设重庆市高端会计服务示范中心。用好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重庆市渝中区国家服务业综合改革会计服务示范基地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金字招牌，依托企业天地2—8号楼、重庆陆海国际中心等载体，支持有实力的本土会计师事务所向全国性事务所发展，不断提升重庆地区会计审计服务辐射范围，梯度吸引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专精特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型事务所及同一管理平台的资产评估、造价、代理记账、会计咨询公司和税务师事务所入驻，进一步提升化龙桥国际商务区会计服务集聚度，形成更强的规模和质量比较优势，到2027年，力争该区域会计服务营业收入突破15亿元。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区产业发展促进局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区经济信息委、区住房城市建委、区税务局、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化龙桥国际商务区开发建设委员会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51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具体工作内容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牵头单位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510" w:type="dxa"/>
            <w:noWrap w:val="0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倾力打造黄花园现代服务业产业园。加快形成专业服务产业集群，科学布局黄花园现代服务产业园，积极承接东部地区产业转移，依托中冶赛迪创意大厦、市设计院办公大楼、科协大厦等载体，全力构建名企汇集、上下贯通、集约集聚的建筑全产业链，大力发展勘察设计、监理造价咨询、工业软件设计等生产性服务业，到2027年，力争黄花园现代服务业产业园营业收入突破130亿元。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区住房城市建委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区发展改革委、区产业发展促进局、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数字经济产业园管委会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510" w:type="dxa"/>
            <w:noWrap w:val="0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积极打造重庆市人力资源服务集聚区。争创以解放碑CBD为核心、辐射渝中全域的人力资源服务集聚区，推进人力资源服务业专业化、数字化、协同化、开放化、规范化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五化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发展。实施人力资源服务跃升行动，围绕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4311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现代化产业体系，举办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人力赋能·新质新航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列人力资源供需对接品牌活动，联合人力资源服务机构发布《急需紧缺人才目录》，建立人力资源服务专员机制，组织专员对接区内重点企业200家次以上，支持设立海外人力资源工作站等人力资源服务平台10家以上。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区人力社保局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区发展改革委、区科技局、区经济信息委、区住房城市建委、区商务委、区文化旅游委、区卫生健康委、区产业发展促进局、区交通运输委、区大数据发展局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030" w:type="dxa"/>
            <w:gridSpan w:val="4"/>
            <w:noWrap w:val="0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三、实施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九大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专项行动，持续构筑竞争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新优势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510" w:type="dxa"/>
            <w:noWrap w:val="0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开展经营主体培育行动。坚持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外引内育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重，聚焦专业服务业关键领域，大力引进一批国内外知名会计师事务所、律师事务所、工程技术与设计机构、人力资源机构等专业服务业领军企业来渝设立区域总部或分支机构。积极培育一批本地企业，增强核心竞争力，全面融入全国大市场，创建一批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重庆服务名牌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区产业发展促进局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区司法局、区人力社保局、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区住房城市建委、区市场监管局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510" w:type="dxa"/>
            <w:noWrap w:val="0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开展特色楼宇打造行动。结合渝中区楼宇经济三年行动计划，制定专业服务业特色楼宇认定办法，依托化龙桥国际商务区、朝天门—解放碑绿色金融大道沿线重点载体，打造专业服务产业楼宇集群，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因楼制宜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引导全区楼宇错位发展、特色经营，力争三年内累计打造专业服务业特色楼宇4栋以上，积极争创重庆市现代生产性服务业集聚区。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区发展改革委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区经济信息委、区住房城市建委、区国资委、区规划自然资源局、解放碑CBD管委会、历史文化街区管委会、数字经济产业园管委会、大石化新区管委会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方正黑体_GBK" w:hAnsi="方正黑体_GBK" w:eastAsia="方正黑体_GBK" w:cs="方正黑体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510" w:type="dxa"/>
            <w:shd w:val="clear" w:color="auto" w:fill="auto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方正黑体_GBK" w:hAnsi="方正黑体_GBK" w:eastAsia="方正黑体_GBK" w:cs="方正黑体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具体工作内容</w:t>
            </w: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方正黑体_GBK" w:hAnsi="方正黑体_GBK" w:eastAsia="方正黑体_GBK" w:cs="方正黑体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牵头单位</w:t>
            </w:r>
          </w:p>
        </w:tc>
        <w:tc>
          <w:tcPr>
            <w:tcW w:w="2745" w:type="dxa"/>
            <w:shd w:val="clear" w:color="auto" w:fill="auto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方正黑体_GBK" w:hAnsi="方正黑体_GBK" w:eastAsia="方正黑体_GBK" w:cs="方正黑体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政策矩阵构筑行动。加强顶层设计，制定出台符合会计审计、法律服务、人力资源等专业服务业特点的产业扶持政策，持续完善西部金融中央法务区系列配套政策、专业服务业特色楼宇配套政策，建立和落实质量认证激励政策。积极向上争取政策、项目资金支持，做好市区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两级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政策协同发力。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区产业发展促进局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区发展改革委、区司法局、区财政局、区人力社保局、区住房城市建委、区市场监管局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绿色低碳转型行动。引导各类专业服务机构紧抓绿色发展契机和客户需求变化，重点从绿色能源、绿色交通、绿色建筑、绿色工业、绿色供应链、零碳园区创建等领域，提供差异化服务方案，丰富绿色产品供给。支持会计审计、工程技术与设计机构拓展绿色低碳、环境社会责任和公司治理（ESG）等业务，开展ESG报告、碳资产管理、碳排放核算核查、碳足迹管理等新兴绿色低碳服务，鼓励信用评级机构开展绿色债券评级服务。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区产业发展促进局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区发展改革委、区经济信息委、区司法局、区人力社保局、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区生态环境局、区住房城市建委、区交通运输委、区市场监管局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数字增效赋能行动。加快平台建设，鼓励会计师事务所、律师事务所建设全流程、信息化智能作业平台及辅助工具，鼓励工程技术与设计服务机构构建数字设计基础平台和集成系统，鼓励人力资源服务机构开发灵活用工平台，逐步实现业务远程化、智能化、数字化、协同化作业。强化技术创新，支持人力资源服务机构开发AI劳动力模型、劳资风控、元宇宙招聘等数智产品，提升核心竞争力。推进检验检测管理信息化，推广使用实验室信息管理系统，引导检验检测认证认可机构数字化转型升级。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区产业发展促进局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区司法局、区人力社保局、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区住房城市建委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开展企业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千帆远航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行动。推动专业服务机构多渠道全球化布局，促进专业服务业为实体经济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走出去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赋能。鼓励专业服务机构创建国际网络，围绕企业创新发展和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走出去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需求，在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一带一路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沿线国家或地区设立分支机构或办事处，不断提升业务辐射范围；探索和积累支持专业服务机构国际化发展经验，研究出台支持企业发展国际业务的政策措施，重点提升专业服务机构对海外知识产权维权、投资地法律支持、国际化战略布局等方面的服务供给，更好为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走出去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项目提供出海指引和路径服务。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区产业发展促进局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区发展改革委、区经济信息委、区司法局、区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人力社保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局、区住房城市建委、区商务委、区市场监管局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26" w:name="_GoBack"/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开展跨行业融合发展行动。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动态更新各类专业服务机构信息，鼓励专业服务机构与金融、商贸、文旅、软信、大健康、科创等重点行业主体建立交流服务平台。鼓励各类咨询服务公司为招商引资企业投资、发展提供各领域第三方专业服务，助力招商落地项目高质量发展。</w:t>
            </w:r>
            <w:bookmarkEnd w:id="26"/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区产业发展促进局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区发展改革委、区科技局、区经济信息委、区司法局、区财政局、区人力社保局、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区住房城市建委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、区商务委、区文化旅游委、区卫生健康委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51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具体工作内容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牵头单位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6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开展精英人才引育行动。以专业服务业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四大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园区建设为抓手，加快一批技术型、复合型和国际型高端领军人才向渝中集聚。成立专业服务业专家智库，借智借力助推产业发展。深化产学研融合，加快高端人才培养。积极推荐优秀人才参加国家、市、区的各类表彰评选活动；鼓励人才参加职业资格考试、高端人才培养计划等在职学习和培训。完善人才居留落户、出入境等保障服务。到2027年，新引进注册会计师200名以上、涉外法律服务人才15名以上、专利代理师10名以上，培育全国勘察设计大师2名以上、渝中区高层次人才50名以上，全区专业服务业从业人员数量突破2.5万人。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区产业发展促进局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6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区委组织部、区司法局、区人力社保局、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区住房城市建委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、区公安分局、区市场监管局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6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开展营商环境提升行动。优化市场准入服务，严格执行全国统一的市场准入负面清单，完善外商投资企业准入登记制度，推进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证照联办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集成化办理，全面强化政务服务数字赋能。助推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全渝数智法院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建设，健全法院与市场监管等部门之间数据共享机制，提升商业纠纷解决效率，依法平等保护各类市场主体产权和合法权益。全面落实公平竞争审查制度，开展招标投标领域优化营商环境专项整治，消除招标投标过程中对不同地域、不同所有制企业设置的各类不合理限制和壁垒，促进市场公平公正公开竞争。持续构建亲清统一新型政商关系，落实常态化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三服务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机制，切实解决市场主体痛点难点堵点问题。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区发展改革委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6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区司法局、区财政局、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区人力社保局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区住房城市建委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、区商务委、区产业发展促进局、区政务服务办、区公安分局、区税务局、区法院、各管委会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030" w:type="dxa"/>
            <w:gridSpan w:val="4"/>
            <w:noWrap w:val="0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四、工作保障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6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加强组织领导。成立专业服务业发展工作专班，健全产业提质增效工作推进机制，由区产业发展促进局牵头，相关行业主管部门、管委会作为成员单位，共同推动专业服务业各领域高质量发展。成员单位要加强与市级部门、行业协会上下联动，按照上级规划确定的指导思想、发展目标和重点任务，结合渝中实际全面贯彻落实。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21" w:name="OLE_LINK4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区产业发展促进局</w:t>
            </w:r>
            <w:bookmarkEnd w:id="21"/>
          </w:p>
        </w:tc>
        <w:tc>
          <w:tcPr>
            <w:tcW w:w="27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76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区发展改革委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bookmarkStart w:id="22" w:name="OLE_LINK5"/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区司法局、区财政局、区人力社保局、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区住房城市建委</w:t>
            </w:r>
            <w:bookmarkEnd w:id="22"/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bookmarkStart w:id="23" w:name="OLE_LINK6"/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区市场监管局</w:t>
            </w:r>
            <w:bookmarkEnd w:id="23"/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bookmarkStart w:id="24" w:name="OLE_LINK7"/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解放碑CBD管委会、历史文化街区管委会、数字经济产业园管委会、大石化新区管委会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方正黑体_GBK" w:hAnsi="方正黑体_GBK" w:eastAsia="方正黑体_GBK" w:cs="方正黑体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510" w:type="dxa"/>
            <w:shd w:val="clear" w:color="auto" w:fill="auto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方正黑体_GBK" w:hAnsi="方正黑体_GBK" w:eastAsia="方正黑体_GBK" w:cs="方正黑体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具体工作内容</w:t>
            </w: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方正黑体_GBK" w:hAnsi="方正黑体_GBK" w:eastAsia="方正黑体_GBK" w:cs="方正黑体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牵头单位</w:t>
            </w:r>
          </w:p>
        </w:tc>
        <w:tc>
          <w:tcPr>
            <w:tcW w:w="2745" w:type="dxa"/>
            <w:shd w:val="clear" w:color="auto" w:fill="auto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方正黑体_GBK" w:hAnsi="方正黑体_GBK" w:eastAsia="方正黑体_GBK" w:cs="方正黑体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510" w:type="dxa"/>
            <w:shd w:val="clear" w:color="auto" w:fill="auto"/>
            <w:noWrap w:val="0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加强党建引领。依托市级行业协会、区级行业主管部门，全面加强党对专业服务业各领域、各企业的领导，支持有条件的企业积极建立党组织，强化党员教育管理，打造党建亮点，深入促进党建与业务工作融合发展。引导各企业坚持以党建带群建，不断提高党的组织覆盖和工作覆盖。</w:t>
            </w: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区委组织部</w:t>
            </w:r>
          </w:p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区产业发展促进局</w:t>
            </w:r>
          </w:p>
        </w:tc>
        <w:tc>
          <w:tcPr>
            <w:tcW w:w="2745" w:type="dxa"/>
            <w:shd w:val="clear" w:color="auto" w:fill="auto"/>
            <w:noWrap w:val="0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区司法局、区财政局、区人力社保局、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区住房城市建委、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510" w:type="dxa"/>
            <w:noWrap w:val="0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加强保障服务。区发改委要定期牵头梳理《重点联系服务企业清单》，并指导区级部门、管委会、街道开展常态化企业联系服务；区财政局要加强产业发展相关经费统筹，让有限的财政资金发挥最大的撬动效用；区教委、区人社局、区卫健委、区公安分局要按照职能职责，全力做好人才医疗优诊、子女入学、劳动仲裁、人才落户等保障服务。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区发展改革委</w:t>
            </w:r>
          </w:p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区产业发展促进局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区教委、区司法局、区财政局、区人力社保局、区住房城市建委、区卫健委、区公安分局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510" w:type="dxa"/>
            <w:noWrap w:val="0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加强监测评估。进一步健全专业服务业统计工作机制，加强统计业务培训和数据审核力度，不断提高数据质量。组织开展行业经济指标运行情况动态监测，完善运行信息发布制度；开展方案实施情况中期评估、总结评估，做好行业发展形势分析。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区统计局</w:t>
            </w:r>
          </w:p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区产业发展促进局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区发展改革委、区司法局、区人力社保局、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区住房城市建委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、解放碑CBD管委会、历史文化街区管委会、数字经济产业园管委会、大石化新区管委会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510" w:type="dxa"/>
            <w:noWrap w:val="0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加强宣传引导。各成员单位要及时总结先进做法和典型经验，广泛宣传实施效果好、带动作用强的重点项目和创新举措，努力营造良好发展氛围。要充分利用人力资源服务峰会、川渝专业服务论坛等活动资源，讲好渝中故事，发出渝中声音，联动福布斯中国等知名平台，编制发布专业服务业发展指数，不断提升西部高端专业服务中心知名度、影响力。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区委宣传部</w:t>
            </w:r>
          </w:p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区产业发展促进局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区司法局、区人力社保局、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区住房城市建委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、解放碑CBD管委会、历史文化街区管委会、数字经济产业园管委会、大石化新区管委会</w:t>
            </w:r>
          </w:p>
        </w:tc>
      </w:tr>
    </w:tbl>
    <w:p>
      <w:pP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25" w:name="OLE_LINK1"/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bookmarkEnd w:id="25"/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渝中区促进专业服务业提质增效三年行动方案（2025—2027年）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主要指标年度目标任务分解表</w:t>
      </w:r>
    </w:p>
    <w:tbl>
      <w:tblPr>
        <w:tblStyle w:val="13"/>
        <w:tblpPr w:leftFromText="180" w:rightFromText="180" w:vertAnchor="text" w:horzAnchor="page" w:tblpX="998" w:tblpY="403"/>
        <w:tblOverlap w:val="never"/>
        <w:tblW w:w="15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573"/>
        <w:gridCol w:w="1560"/>
        <w:gridCol w:w="1560"/>
        <w:gridCol w:w="1560"/>
        <w:gridCol w:w="2235"/>
        <w:gridCol w:w="3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主要指标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年目标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年目标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2027年目标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牵头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专业服务业增加值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160亿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175亿元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190亿元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区产业发展促进局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区发展改革委、区司法局、区人力社保局、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区住房城市建委、解放碑CBD管委会、历史文化街区管委会、数字经济产业园管委会、大石化新区管委会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占全区GDP比重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9%水平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9%水平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9%水平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区产业发展促进局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区发展改革委、区司法局、区人力社保局、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区住房城市建委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规模以上专业服务企业数量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165家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168家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170家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区产业发展促进局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区司法局、区人力社保局、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区住房城市建委、区市场监管局、解放碑CBD管委会、历史文化街区管委会、数字经济产业园管委会、大石化新区管委会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:szCs w:val="24"/>
                <w:highlight w:val="none"/>
                <w:shd w:val="clear" w:color="auto" w:fill="auto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规模以上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专业服务企业营业收入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405亿元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445亿元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500亿元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区产业发展促进局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区司法局、区人力社保局、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区住房城市建委、区市场监管局、解放碑CBD管委会、历史文化街区管委会、数字经济产业园管委会、大石化新区管委会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主要指标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年目标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年目标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2027年目标</w:t>
            </w:r>
          </w:p>
        </w:tc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牵头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7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规模以上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专业服务企业营业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收入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增速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区产业发展促进局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区司法局、区人力社保局、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区住房城市建委、区市场监管局、解放碑CBD管委会、历史文化街区管委会、数字经济产业园管委会、大石化新区管委会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专业服务业从业人员数量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2.1万人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2.3万人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2.5万人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区产业发展促进局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区司法局、区人力社保局、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区住房城市建委、区市场监管局、解放碑CBD管委会、历史文化街区管委会、数字经济产业园管委会、大石化新区管委会</w:t>
            </w:r>
          </w:p>
        </w:tc>
      </w:tr>
    </w:tbl>
    <w:p>
      <w:pPr>
        <w:pStyle w:val="16"/>
        <w:spacing w:line="240" w:lineRule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417" w:right="1417" w:bottom="1417" w:left="141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620" w:lineRule="exact"/>
        <w:ind w:firstLine="140" w:firstLineChars="5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48895</wp:posOffset>
                </wp:positionV>
                <wp:extent cx="550799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7990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pt;margin-top:3.85pt;height:0.05pt;width:433.7pt;z-index:251659264;mso-width-relative:page;mso-height-relative:page;" filled="f" stroked="t" coordsize="21600,21600" o:gfxdata="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Z14HdQAAAAEAQAADwAAAAAAAAABACAAAAAiAAAAZHJz&#10;L2Rvd25yZXYueG1sUEsBAhQAFAAAAAgAh07iQDgFPI8IAgAA6AMAAA4AAAAAAAAAAQAgAAAAIwEA&#10;AGRycy9lMm9Eb2MueG1sUEsFBgAAAAAGAAYAWQEAAJ0FAAAAAA=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404495</wp:posOffset>
                </wp:positionV>
                <wp:extent cx="550799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7990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5pt;margin-top:31.85pt;height:0.05pt;width:433.7pt;z-index:251660288;mso-width-relative:page;mso-height-relative:page;" filled="f" stroked="t" coordsize="21600,21600" o:gfxdata="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qQBvVAAAABwEAAA8AAAAAAAAAAQAgAAAAIgAAAGRy&#10;cy9kb3ducmV2LnhtbFBLAQIUABQAAAAIAIdO4kBiwDmXCAIAAOgDAAAOAAAAAAAAAAEAIAAAACQB&#10;AABkcnMvZTJvRG9jLnhtbFBLBQYAAAAABgAGAFkBAACeBQAAAAA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重庆市渝中区人民政府办公室      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_GBK" w:cs="Times New Roman"/>
          <w:color w:val="000000"/>
          <w:spacing w:val="6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日印发</w:t>
      </w:r>
    </w:p>
    <w:sectPr>
      <w:pgSz w:w="11906" w:h="16838"/>
      <w:pgMar w:top="1417" w:right="1587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06475" cy="2705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6475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3pt;width:79.25pt;mso-position-horizontal:outside;mso-position-horizontal-relative:margin;z-index:251659264;mso-width-relative:page;mso-height-relative:page;" filled="f" stroked="f" coordsize="21600,21600" o:gfxdata="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CYTynUAAAABAEAAA8AAAAA&#10;AAAAAQAgAAAAIgAAAGRycy9kb3ducmV2LnhtbFBLAQIUABQAAAAIAIdO4kAww6H3GAIAABQEAAAO&#10;AAAAAAAAAAEAIAAAACM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ind w:firstLine="280" w:firstLineChars="10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263015" cy="2705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3015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3pt;width:99.45pt;mso-position-horizontal:outside;mso-position-horizontal-relative:margin;z-index:251660288;mso-width-relative:page;mso-height-relative:page;" filled="f" stroked="f" coordsize="21600,21600" o:gfxdata="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II+c9QAAAAEAQAADwAA&#10;AAAAAAABACAAAAAiAAAAZHJzL2Rvd25yZXYueG1sUEsBAhQAFAAAAAgAh07iQB0OcvwaAgAAFAQA&#10;AA4AAAAAAAAAAQAgAAAAIw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ind w:firstLine="280" w:firstLineChars="10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26A59"/>
    <w:rsid w:val="01CC35AD"/>
    <w:rsid w:val="02776C19"/>
    <w:rsid w:val="02C67359"/>
    <w:rsid w:val="032B2752"/>
    <w:rsid w:val="03592719"/>
    <w:rsid w:val="047B717E"/>
    <w:rsid w:val="04CA262B"/>
    <w:rsid w:val="05575376"/>
    <w:rsid w:val="05895799"/>
    <w:rsid w:val="05D80230"/>
    <w:rsid w:val="06AC51FC"/>
    <w:rsid w:val="06C60DAB"/>
    <w:rsid w:val="089B3EAA"/>
    <w:rsid w:val="096B763B"/>
    <w:rsid w:val="09C75498"/>
    <w:rsid w:val="0A4D5535"/>
    <w:rsid w:val="0AB10D4A"/>
    <w:rsid w:val="0DC906D0"/>
    <w:rsid w:val="0E61115B"/>
    <w:rsid w:val="0EED278D"/>
    <w:rsid w:val="0EF67752"/>
    <w:rsid w:val="0F0721DB"/>
    <w:rsid w:val="0F557BE4"/>
    <w:rsid w:val="0F900E7C"/>
    <w:rsid w:val="10691CEE"/>
    <w:rsid w:val="10C2549D"/>
    <w:rsid w:val="10E95CEF"/>
    <w:rsid w:val="10FD3A56"/>
    <w:rsid w:val="1166430F"/>
    <w:rsid w:val="118E0A95"/>
    <w:rsid w:val="120F64DA"/>
    <w:rsid w:val="1293621E"/>
    <w:rsid w:val="12B71440"/>
    <w:rsid w:val="13227CCE"/>
    <w:rsid w:val="13467110"/>
    <w:rsid w:val="14200E89"/>
    <w:rsid w:val="14555F7B"/>
    <w:rsid w:val="14650051"/>
    <w:rsid w:val="14DE316C"/>
    <w:rsid w:val="15332857"/>
    <w:rsid w:val="15DD2A90"/>
    <w:rsid w:val="16A863D8"/>
    <w:rsid w:val="173A5043"/>
    <w:rsid w:val="18DE5384"/>
    <w:rsid w:val="19884321"/>
    <w:rsid w:val="1AFC4828"/>
    <w:rsid w:val="1B8E6745"/>
    <w:rsid w:val="1BB33FD1"/>
    <w:rsid w:val="1BCA0DFF"/>
    <w:rsid w:val="1C401539"/>
    <w:rsid w:val="1C402410"/>
    <w:rsid w:val="1CFC77D5"/>
    <w:rsid w:val="1E523B34"/>
    <w:rsid w:val="1E9C5661"/>
    <w:rsid w:val="1F623FDF"/>
    <w:rsid w:val="1F73718E"/>
    <w:rsid w:val="1FAA7348"/>
    <w:rsid w:val="20044854"/>
    <w:rsid w:val="20143BD2"/>
    <w:rsid w:val="20313567"/>
    <w:rsid w:val="209A3AD1"/>
    <w:rsid w:val="20E75C06"/>
    <w:rsid w:val="20EE5BE5"/>
    <w:rsid w:val="21656E6C"/>
    <w:rsid w:val="22904516"/>
    <w:rsid w:val="22AB4755"/>
    <w:rsid w:val="22C746C9"/>
    <w:rsid w:val="22FC740C"/>
    <w:rsid w:val="233E225F"/>
    <w:rsid w:val="237508FC"/>
    <w:rsid w:val="23A14A77"/>
    <w:rsid w:val="242E7A71"/>
    <w:rsid w:val="246F5C63"/>
    <w:rsid w:val="24821887"/>
    <w:rsid w:val="2567095A"/>
    <w:rsid w:val="2614537B"/>
    <w:rsid w:val="26445E79"/>
    <w:rsid w:val="280274FC"/>
    <w:rsid w:val="2848179F"/>
    <w:rsid w:val="28663CE4"/>
    <w:rsid w:val="29FF1213"/>
    <w:rsid w:val="2A105316"/>
    <w:rsid w:val="2AED2715"/>
    <w:rsid w:val="2B3A4FB7"/>
    <w:rsid w:val="2B88520F"/>
    <w:rsid w:val="2BD31914"/>
    <w:rsid w:val="2BF41A27"/>
    <w:rsid w:val="2D44487D"/>
    <w:rsid w:val="2F367F9D"/>
    <w:rsid w:val="2F6C0A7C"/>
    <w:rsid w:val="300C0C43"/>
    <w:rsid w:val="304E06EF"/>
    <w:rsid w:val="31281BEF"/>
    <w:rsid w:val="31461A90"/>
    <w:rsid w:val="315C2820"/>
    <w:rsid w:val="31654516"/>
    <w:rsid w:val="31F02AE7"/>
    <w:rsid w:val="31F3012E"/>
    <w:rsid w:val="328827B0"/>
    <w:rsid w:val="32E520D4"/>
    <w:rsid w:val="334B6255"/>
    <w:rsid w:val="34702AFE"/>
    <w:rsid w:val="350632CA"/>
    <w:rsid w:val="36425060"/>
    <w:rsid w:val="370A4849"/>
    <w:rsid w:val="37732846"/>
    <w:rsid w:val="382559F5"/>
    <w:rsid w:val="3991779D"/>
    <w:rsid w:val="39C232FE"/>
    <w:rsid w:val="3A8B3CF2"/>
    <w:rsid w:val="3A977C30"/>
    <w:rsid w:val="3BCF3C77"/>
    <w:rsid w:val="3C252DEF"/>
    <w:rsid w:val="3CCA5D2F"/>
    <w:rsid w:val="3DB91832"/>
    <w:rsid w:val="3DC8266D"/>
    <w:rsid w:val="3EBA261E"/>
    <w:rsid w:val="3EC546C4"/>
    <w:rsid w:val="3FDBC407"/>
    <w:rsid w:val="42B27E58"/>
    <w:rsid w:val="435C3E32"/>
    <w:rsid w:val="43813C4D"/>
    <w:rsid w:val="43845ED8"/>
    <w:rsid w:val="43C86DA6"/>
    <w:rsid w:val="458465F3"/>
    <w:rsid w:val="46A54576"/>
    <w:rsid w:val="46A574CE"/>
    <w:rsid w:val="46DC6EA7"/>
    <w:rsid w:val="47B95717"/>
    <w:rsid w:val="47EA6774"/>
    <w:rsid w:val="48256404"/>
    <w:rsid w:val="49A3333F"/>
    <w:rsid w:val="49F31301"/>
    <w:rsid w:val="4AD210AA"/>
    <w:rsid w:val="4B6C0B8D"/>
    <w:rsid w:val="4BC2350C"/>
    <w:rsid w:val="4D4C1F0B"/>
    <w:rsid w:val="4DE504B4"/>
    <w:rsid w:val="50603001"/>
    <w:rsid w:val="511B4AE0"/>
    <w:rsid w:val="5125114F"/>
    <w:rsid w:val="519B023F"/>
    <w:rsid w:val="51A948F4"/>
    <w:rsid w:val="521D1CEF"/>
    <w:rsid w:val="528A64BE"/>
    <w:rsid w:val="52CF3AF4"/>
    <w:rsid w:val="52F612F1"/>
    <w:rsid w:val="535377BD"/>
    <w:rsid w:val="53D04318"/>
    <w:rsid w:val="54D65F92"/>
    <w:rsid w:val="550B7206"/>
    <w:rsid w:val="56613E82"/>
    <w:rsid w:val="570744EC"/>
    <w:rsid w:val="57AD1089"/>
    <w:rsid w:val="584463A0"/>
    <w:rsid w:val="58606010"/>
    <w:rsid w:val="59E24306"/>
    <w:rsid w:val="59F07CB6"/>
    <w:rsid w:val="5A937DC0"/>
    <w:rsid w:val="5AB50438"/>
    <w:rsid w:val="5CCE4284"/>
    <w:rsid w:val="5CDF022A"/>
    <w:rsid w:val="5D65371D"/>
    <w:rsid w:val="5E092110"/>
    <w:rsid w:val="5E8373E3"/>
    <w:rsid w:val="5EA44BF6"/>
    <w:rsid w:val="5EC0225C"/>
    <w:rsid w:val="5FDC3394"/>
    <w:rsid w:val="5FE734EB"/>
    <w:rsid w:val="6115519B"/>
    <w:rsid w:val="61B40824"/>
    <w:rsid w:val="624A2DC5"/>
    <w:rsid w:val="62E966CB"/>
    <w:rsid w:val="63382D47"/>
    <w:rsid w:val="64384A8D"/>
    <w:rsid w:val="6468693A"/>
    <w:rsid w:val="646A7DEB"/>
    <w:rsid w:val="647C7E56"/>
    <w:rsid w:val="661A29E3"/>
    <w:rsid w:val="6654448F"/>
    <w:rsid w:val="67347EC1"/>
    <w:rsid w:val="678458CC"/>
    <w:rsid w:val="67A545A9"/>
    <w:rsid w:val="67C344A8"/>
    <w:rsid w:val="69190791"/>
    <w:rsid w:val="69D04051"/>
    <w:rsid w:val="6B3E2CF1"/>
    <w:rsid w:val="6B776064"/>
    <w:rsid w:val="6CDA2312"/>
    <w:rsid w:val="6D201332"/>
    <w:rsid w:val="6D92106F"/>
    <w:rsid w:val="6D977B11"/>
    <w:rsid w:val="6D9F4601"/>
    <w:rsid w:val="6EC8527C"/>
    <w:rsid w:val="6F30171D"/>
    <w:rsid w:val="6FC14A0C"/>
    <w:rsid w:val="707B6D16"/>
    <w:rsid w:val="707C3A39"/>
    <w:rsid w:val="70987456"/>
    <w:rsid w:val="70BA6AF7"/>
    <w:rsid w:val="70BA713F"/>
    <w:rsid w:val="71163347"/>
    <w:rsid w:val="715C729F"/>
    <w:rsid w:val="72106E1A"/>
    <w:rsid w:val="726D30C4"/>
    <w:rsid w:val="72C35E68"/>
    <w:rsid w:val="73D13AE3"/>
    <w:rsid w:val="748F380A"/>
    <w:rsid w:val="749820E1"/>
    <w:rsid w:val="751E1C14"/>
    <w:rsid w:val="755854E5"/>
    <w:rsid w:val="76290B47"/>
    <w:rsid w:val="7660556C"/>
    <w:rsid w:val="7828553C"/>
    <w:rsid w:val="791F69C8"/>
    <w:rsid w:val="79AF51F4"/>
    <w:rsid w:val="79CE4AFE"/>
    <w:rsid w:val="79E53ABC"/>
    <w:rsid w:val="79F53896"/>
    <w:rsid w:val="7A4C0404"/>
    <w:rsid w:val="7B2F5DC4"/>
    <w:rsid w:val="7B9854E0"/>
    <w:rsid w:val="7BE155CD"/>
    <w:rsid w:val="7C8214A1"/>
    <w:rsid w:val="7C9E0F90"/>
    <w:rsid w:val="7D8B6DF0"/>
    <w:rsid w:val="7DE322EA"/>
    <w:rsid w:val="7DFA3CB9"/>
    <w:rsid w:val="7E97080F"/>
    <w:rsid w:val="7F024F55"/>
    <w:rsid w:val="7F813BB5"/>
    <w:rsid w:val="7FB64623"/>
    <w:rsid w:val="FF9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line="594" w:lineRule="exact"/>
      <w:ind w:firstLine="200" w:firstLineChars="200"/>
      <w:outlineLvl w:val="1"/>
    </w:pPr>
    <w:rPr>
      <w:rFonts w:ascii="Arial" w:hAnsi="Arial" w:eastAsia="方正楷体_GBK" w:cs="Times New Roman"/>
      <w:sz w:val="32"/>
      <w:lang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cs="Cambria"/>
      <w:sz w:val="24"/>
      <w:szCs w:val="24"/>
      <w:lang w:bidi="ar-SA"/>
    </w:rPr>
  </w:style>
  <w:style w:type="paragraph" w:styleId="4">
    <w:name w:val="Body Text"/>
    <w:basedOn w:val="1"/>
    <w:next w:val="5"/>
    <w:qFormat/>
    <w:uiPriority w:val="1"/>
    <w:pPr>
      <w:autoSpaceDE w:val="0"/>
      <w:autoSpaceDN w:val="0"/>
      <w:spacing w:before="99"/>
      <w:jc w:val="left"/>
    </w:pPr>
    <w:rPr>
      <w:rFonts w:ascii="宋体" w:hAnsi="宋体" w:eastAsia="宋体" w:cs="宋体"/>
      <w:kern w:val="0"/>
      <w:szCs w:val="21"/>
      <w:lang w:eastAsia="en-US"/>
    </w:rPr>
  </w:style>
  <w:style w:type="paragraph" w:styleId="5">
    <w:name w:val="toc 2"/>
    <w:basedOn w:val="1"/>
    <w:next w:val="1"/>
    <w:unhideWhenUsed/>
    <w:qFormat/>
    <w:uiPriority w:val="39"/>
    <w:pPr>
      <w:widowControl w:val="0"/>
      <w:spacing w:after="0" w:line="240" w:lineRule="auto"/>
      <w:ind w:left="420" w:leftChars="200"/>
      <w:jc w:val="both"/>
    </w:pPr>
    <w:rPr>
      <w:rFonts w:ascii="仿宋_GB2312" w:hAnsi="等线" w:eastAsia="楷体_GB2312" w:cs="Times New Roman"/>
      <w:kern w:val="2"/>
      <w:sz w:val="32"/>
    </w:rPr>
  </w:style>
  <w:style w:type="paragraph" w:styleId="6">
    <w:name w:val="Body Text Indent 2"/>
    <w:next w:val="1"/>
    <w:qFormat/>
    <w:uiPriority w:val="0"/>
    <w:pPr>
      <w:widowControl w:val="0"/>
      <w:spacing w:after="120" w:afterLines="0" w:afterAutospacing="0" w:line="480" w:lineRule="auto"/>
      <w:ind w:left="420" w:left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cs="Courier New"/>
      <w:kern w:val="0"/>
      <w:sz w:val="20"/>
      <w:szCs w:val="20"/>
      <w:lang w:bidi="ar-SA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方正仿宋_GBK" w:cs="Arial"/>
      <w:b/>
      <w:bCs/>
    </w:rPr>
  </w:style>
  <w:style w:type="paragraph" w:styleId="11">
    <w:name w:val="Body Text First Indent"/>
    <w:basedOn w:val="4"/>
    <w:semiHidden/>
    <w:unhideWhenUsed/>
    <w:qFormat/>
    <w:uiPriority w:val="99"/>
    <w:pPr>
      <w:ind w:firstLine="420" w:firstLineChars="1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UserStyle_41"/>
    <w:basedOn w:val="1"/>
    <w:next w:val="1"/>
    <w:qFormat/>
    <w:uiPriority w:val="0"/>
    <w:pPr>
      <w:ind w:left="1680"/>
    </w:pPr>
  </w:style>
  <w:style w:type="paragraph" w:customStyle="1" w:styleId="16">
    <w:name w:val="松哥样式"/>
    <w:basedOn w:val="1"/>
    <w:qFormat/>
    <w:uiPriority w:val="0"/>
    <w:pPr>
      <w:adjustRightInd w:val="0"/>
      <w:snapToGrid w:val="0"/>
      <w:spacing w:line="579" w:lineRule="exact"/>
    </w:pPr>
    <w:rPr>
      <w:szCs w:val="28"/>
    </w:rPr>
  </w:style>
  <w:style w:type="paragraph" w:customStyle="1" w:styleId="17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18">
    <w:name w:val="BodyText"/>
    <w:qFormat/>
    <w:uiPriority w:val="0"/>
    <w:pPr>
      <w:widowControl w:val="0"/>
      <w:spacing w:before="100" w:beforeAutospacing="1" w:after="12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正文1"/>
    <w:next w:val="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页脚1"/>
    <w:basedOn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1250</Words>
  <Characters>1360</Characters>
  <Lines>0</Lines>
  <Paragraphs>0</Paragraphs>
  <TotalTime>0</TotalTime>
  <ScaleCrop>false</ScaleCrop>
  <LinksUpToDate>false</LinksUpToDate>
  <CharactersWithSpaces>1366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2024-08-30T10:30:00Z</dcterms:created>
  <dc:creator>ASUS</dc:creator>
  <cp:lastModifiedBy>ASUS</cp:lastModifiedBy>
  <cp:lastPrinted>2025-04-09T02:52:00Z</cp:lastPrinted>
  <dcterms:modified xsi:type="dcterms:W3CDTF">2025-06-10T07:04:26Z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4341540291414107ADEE8A7822217E1A_13</vt:lpwstr>
  </property>
  <property fmtid="{D5CDD505-2E9C-101B-9397-08002B2CF9AE}" pid="4" name="KSOTemplateDocerSaveRecord">
    <vt:lpwstr>eyJoZGlkIjoiMDBkMzg0ZjVkZjA1ZDJiZTRiNzYxZDI0OWRmYzUzNDIiLCJ1c2VySWQiOiIyNzgwMzI1MjQifQ==</vt:lpwstr>
  </property>
</Properties>
</file>