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8B69B">
      <w:pPr>
        <w:keepNext w:val="0"/>
        <w:keepLines w:val="0"/>
        <w:pageBreakBefore w:val="0"/>
        <w:widowControl w:val="0"/>
        <w:kinsoku/>
        <w:wordWrap/>
        <w:overflowPunct/>
        <w:topLinePunct w:val="0"/>
        <w:autoSpaceDE/>
        <w:autoSpaceDN/>
        <w:bidi w:val="0"/>
        <w:adjustRightInd/>
        <w:snapToGrid/>
        <w:spacing w:line="660" w:lineRule="exact"/>
        <w:ind w:left="0" w:right="0" w:firstLine="0"/>
        <w:jc w:val="both"/>
        <w:textAlignment w:val="auto"/>
        <w:outlineLvl w:val="9"/>
        <w:rPr>
          <w:rFonts w:hint="default" w:ascii="Times New Roman" w:hAnsi="Times New Roman" w:eastAsia="方正仿宋_GBK" w:cs="Times New Roman"/>
          <w:sz w:val="32"/>
          <w:szCs w:val="32"/>
          <w:lang w:bidi="ar-SA"/>
        </w:rPr>
      </w:pPr>
      <w:bookmarkStart w:id="0" w:name="fh"/>
      <w:bookmarkEnd w:id="0"/>
    </w:p>
    <w:p w14:paraId="106B15D5">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bookmarkStart w:id="1" w:name="mj"/>
      <w:bookmarkEnd w:id="1"/>
      <w:bookmarkStart w:id="2" w:name="hj"/>
      <w:bookmarkEnd w:id="2"/>
    </w:p>
    <w:p w14:paraId="37D9844F">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bookmarkStart w:id="3" w:name="remove_shape1"/>
    </w:p>
    <w:p w14:paraId="14CE33AE">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r>
        <w:rPr>
          <w:rFonts w:ascii="方正仿宋_GBK" w:eastAsia="方正仿宋_GBK"/>
          <w:color w:val="FF0000"/>
          <w:sz w:val="32"/>
          <w:szCs w:val="32"/>
        </w:rPr>
        <w:pict>
          <v:group id="_x0000_s1029" o:spid="_x0000_s1029" o:spt="203" style="position:absolute;left:0pt;margin-left:-0.7pt;margin-top:31.05pt;height:140.6pt;width:439.3pt;z-index:251660288;mso-width-relative:page;mso-height-relative:page;" coordorigin="1572,4018" coordsize="8786,2812">
            <o:lock v:ext="edit"/>
            <v:shape id="_x0000_s1030" o:spid="_x0000_s1030" o:spt="136" type="#_x0000_t136" style="position:absolute;left:1799;top:4018;height:1077;width:8246;" fillcolor="#FF0000" filled="t" stroked="t" coordsize="21600,21600" adj="10800">
              <v:path/>
              <v:fill on="t" focussize="0,0"/>
              <v:stroke color="#FF0000"/>
              <v:imagedata o:title=""/>
              <o:lock v:ext="edit"/>
              <v:textpath on="t" fitshape="t" fitpath="t" trim="t" xscale="f" string="重庆市渝中区人民政府文件" style="font-family:方正小标宋_GBK;font-size:40pt;v-rotate-letters:f;v-same-letter-heights:f;v-text-align:center;"/>
            </v:shape>
            <v:line id="直线 1031" o:spid="_x0000_s1031" o:spt="20" style="position:absolute;left:1572;top:6829;height:1;width:8786;" filled="f" stroked="t" coordsize="21600,21600">
              <v:path arrowok="t"/>
              <v:fill on="f" focussize="0,0"/>
              <v:stroke weight="2pt" color="#FF0000"/>
              <v:imagedata o:title=""/>
              <o:lock v:ext="edit"/>
            </v:line>
          </v:group>
        </w:pict>
      </w:r>
      <w:bookmarkEnd w:id="3"/>
    </w:p>
    <w:p w14:paraId="6E33581E">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p>
    <w:p w14:paraId="37416FAE">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p>
    <w:p w14:paraId="246E9682">
      <w:pPr>
        <w:keepNext w:val="0"/>
        <w:keepLines w:val="0"/>
        <w:pageBreakBefore w:val="0"/>
        <w:widowControl w:val="0"/>
        <w:kinsoku/>
        <w:wordWrap/>
        <w:overflowPunct/>
        <w:topLinePunct w:val="0"/>
        <w:autoSpaceDE/>
        <w:autoSpaceDN/>
        <w:bidi w:val="0"/>
        <w:adjustRightInd/>
        <w:snapToGrid/>
        <w:spacing w:line="660" w:lineRule="exact"/>
        <w:ind w:left="0" w:right="0" w:firstLine="0"/>
        <w:jc w:val="center"/>
        <w:textAlignment w:val="auto"/>
        <w:outlineLvl w:val="9"/>
        <w:rPr>
          <w:rFonts w:hint="default" w:ascii="Times New Roman" w:hAnsi="Times New Roman" w:eastAsia="方正仿宋_GBK" w:cs="Times New Roman"/>
          <w:sz w:val="32"/>
          <w:szCs w:val="32"/>
          <w:lang w:bidi="ar-SA"/>
        </w:rPr>
      </w:pPr>
    </w:p>
    <w:p w14:paraId="6A39FEDF">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仿宋_GBK" w:cs="Times New Roman"/>
          <w:spacing w:val="0"/>
          <w:sz w:val="32"/>
          <w:szCs w:val="32"/>
          <w:lang w:bidi="ar-SA"/>
        </w:rPr>
      </w:pPr>
      <w:r>
        <w:rPr>
          <w:rFonts w:hint="default" w:ascii="Times New Roman" w:hAnsi="Times New Roman" w:eastAsia="方正仿宋_GBK" w:cs="Times New Roman"/>
          <w:spacing w:val="0"/>
          <w:sz w:val="32"/>
          <w:szCs w:val="32"/>
          <w:lang w:bidi="ar-SA"/>
        </w:rPr>
        <w:t>渝中府发〔</w:t>
      </w:r>
      <w:bookmarkStart w:id="4" w:name="nd"/>
      <w:bookmarkEnd w:id="4"/>
      <w:r>
        <w:rPr>
          <w:rFonts w:hint="default" w:ascii="Times New Roman" w:hAnsi="Times New Roman" w:eastAsia="方正仿宋_GBK" w:cs="Times New Roman"/>
          <w:spacing w:val="0"/>
          <w:sz w:val="32"/>
          <w:szCs w:val="32"/>
          <w:lang w:bidi="ar-SA"/>
        </w:rPr>
        <w:t>202</w:t>
      </w:r>
      <w:r>
        <w:rPr>
          <w:rFonts w:hint="default" w:ascii="Times New Roman" w:hAnsi="Times New Roman" w:eastAsia="方正仿宋_GBK" w:cs="Times New Roman"/>
          <w:spacing w:val="0"/>
          <w:sz w:val="32"/>
          <w:szCs w:val="32"/>
          <w:lang w:val="en-US" w:eastAsia="zh-CN" w:bidi="ar-SA"/>
        </w:rPr>
        <w:t>6</w:t>
      </w:r>
      <w:r>
        <w:rPr>
          <w:rFonts w:hint="default" w:ascii="Times New Roman" w:hAnsi="Times New Roman" w:eastAsia="方正仿宋_GBK" w:cs="Times New Roman"/>
          <w:spacing w:val="0"/>
          <w:sz w:val="32"/>
          <w:szCs w:val="32"/>
          <w:lang w:bidi="ar-SA"/>
        </w:rPr>
        <w:t>〕</w:t>
      </w:r>
      <w:bookmarkStart w:id="5" w:name="bh"/>
      <w:bookmarkEnd w:id="5"/>
      <w:r>
        <w:rPr>
          <w:rFonts w:hint="eastAsia" w:ascii="Times New Roman" w:hAnsi="Times New Roman" w:eastAsia="方正仿宋_GBK" w:cs="Times New Roman"/>
          <w:spacing w:val="0"/>
          <w:sz w:val="32"/>
          <w:szCs w:val="32"/>
          <w:lang w:val="en-US" w:eastAsia="zh-CN" w:bidi="ar-SA"/>
        </w:rPr>
        <w:t>12</w:t>
      </w:r>
      <w:r>
        <w:rPr>
          <w:rFonts w:hint="default" w:ascii="Times New Roman" w:hAnsi="Times New Roman" w:eastAsia="方正仿宋_GBK" w:cs="Times New Roman"/>
          <w:spacing w:val="0"/>
          <w:sz w:val="32"/>
          <w:szCs w:val="32"/>
          <w:lang w:bidi="ar-SA"/>
        </w:rPr>
        <w:t>号</w:t>
      </w:r>
    </w:p>
    <w:p w14:paraId="1EEF832A">
      <w:pPr>
        <w:keepNext w:val="0"/>
        <w:keepLines w:val="0"/>
        <w:pageBreakBefore w:val="0"/>
        <w:widowControl w:val="0"/>
        <w:kinsoku/>
        <w:wordWrap/>
        <w:topLinePunct w:val="0"/>
        <w:autoSpaceDE/>
        <w:autoSpaceDN/>
        <w:bidi w:val="0"/>
        <w:spacing w:line="620" w:lineRule="exact"/>
        <w:jc w:val="center"/>
        <w:textAlignment w:val="auto"/>
        <w:rPr>
          <w:rFonts w:hint="default" w:ascii="Times New Roman" w:hAnsi="Times New Roman" w:eastAsia="方正小标宋_GBK" w:cs="Times New Roman"/>
          <w:spacing w:val="0"/>
          <w:sz w:val="44"/>
          <w:szCs w:val="44"/>
          <w:lang w:bidi="ar-SA"/>
        </w:rPr>
      </w:pPr>
    </w:p>
    <w:p w14:paraId="4ADE17BC">
      <w:pPr>
        <w:keepNext w:val="0"/>
        <w:keepLines w:val="0"/>
        <w:pageBreakBefore w:val="0"/>
        <w:widowControl w:val="0"/>
        <w:kinsoku/>
        <w:wordWrap/>
        <w:overflowPunct/>
        <w:topLinePunct w:val="0"/>
        <w:autoSpaceDE/>
        <w:autoSpaceDN/>
        <w:bidi w:val="0"/>
        <w:adjustRightInd w:val="0"/>
        <w:snapToGrid w:val="0"/>
        <w:spacing w:line="620" w:lineRule="exact"/>
        <w:ind w:left="0" w:right="0" w:firstLine="0"/>
        <w:jc w:val="center"/>
        <w:textAlignment w:val="auto"/>
        <w:rPr>
          <w:rFonts w:hint="default" w:ascii="Times New Roman" w:hAnsi="Times New Roman" w:eastAsia="方正小标宋_GBK" w:cs="Times New Roman"/>
          <w:bCs/>
          <w:color w:val="000000"/>
          <w:spacing w:val="0"/>
          <w:sz w:val="44"/>
          <w:szCs w:val="44"/>
          <w:lang w:bidi="ar-SA"/>
        </w:rPr>
      </w:pPr>
      <w:r>
        <w:rPr>
          <w:rFonts w:hint="default" w:ascii="Times New Roman" w:hAnsi="Times New Roman" w:eastAsia="方正小标宋_GBK" w:cs="Times New Roman"/>
          <w:bCs/>
          <w:color w:val="000000"/>
          <w:spacing w:val="0"/>
          <w:sz w:val="44"/>
          <w:szCs w:val="44"/>
          <w:lang w:bidi="ar-SA"/>
        </w:rPr>
        <w:t>重庆市渝中区人民政府</w:t>
      </w:r>
    </w:p>
    <w:p w14:paraId="399A7B67">
      <w:pPr>
        <w:keepNext w:val="0"/>
        <w:keepLines w:val="0"/>
        <w:pageBreakBefore w:val="0"/>
        <w:widowControl w:val="0"/>
        <w:kinsoku/>
        <w:wordWrap/>
        <w:overflowPunct/>
        <w:topLinePunct w:val="0"/>
        <w:autoSpaceDE/>
        <w:autoSpaceDN/>
        <w:bidi w:val="0"/>
        <w:adjustRightInd w:val="0"/>
        <w:snapToGrid w:val="0"/>
        <w:spacing w:line="620" w:lineRule="exact"/>
        <w:ind w:left="0" w:right="0" w:firstLine="0"/>
        <w:jc w:val="center"/>
        <w:textAlignment w:val="auto"/>
        <w:rPr>
          <w:rFonts w:hint="default" w:ascii="Times New Roman" w:hAnsi="Times New Roman" w:eastAsia="方正小标宋_GBK" w:cs="Times New Roman"/>
          <w:bCs/>
          <w:color w:val="000000"/>
          <w:spacing w:val="0"/>
          <w:sz w:val="44"/>
          <w:szCs w:val="44"/>
          <w:lang w:bidi="ar-SA"/>
        </w:rPr>
      </w:pPr>
      <w:r>
        <w:rPr>
          <w:rFonts w:hint="default" w:ascii="Times New Roman" w:hAnsi="Times New Roman" w:eastAsia="方正小标宋_GBK" w:cs="Times New Roman"/>
          <w:bCs/>
          <w:color w:val="000000"/>
          <w:spacing w:val="0"/>
          <w:sz w:val="44"/>
          <w:szCs w:val="44"/>
          <w:lang w:bidi="ar-SA"/>
        </w:rPr>
        <w:t>关于印发《</w:t>
      </w:r>
      <w:r>
        <w:rPr>
          <w:rFonts w:hint="eastAsia" w:ascii="Times New Roman" w:hAnsi="Times New Roman" w:eastAsia="方正小标宋_GBK" w:cs="Times New Roman"/>
          <w:bCs/>
          <w:color w:val="000000"/>
          <w:spacing w:val="0"/>
          <w:sz w:val="44"/>
          <w:szCs w:val="44"/>
          <w:lang w:bidi="ar-SA"/>
        </w:rPr>
        <w:t>重庆市渝中区国民经济和社会发展第十五个五年规划纲要</w:t>
      </w:r>
      <w:r>
        <w:rPr>
          <w:rFonts w:hint="default" w:ascii="Times New Roman" w:hAnsi="Times New Roman" w:eastAsia="方正小标宋_GBK" w:cs="Times New Roman"/>
          <w:bCs/>
          <w:color w:val="000000"/>
          <w:spacing w:val="0"/>
          <w:sz w:val="44"/>
          <w:szCs w:val="44"/>
          <w:lang w:bidi="ar-SA"/>
        </w:rPr>
        <w:t>》的通知</w:t>
      </w:r>
    </w:p>
    <w:p w14:paraId="7B49B00A">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方正仿宋_GBK" w:cs="Times New Roman"/>
          <w:bCs/>
          <w:color w:val="000000"/>
          <w:sz w:val="32"/>
          <w:szCs w:val="32"/>
          <w:lang w:bidi="ar-SA"/>
        </w:rPr>
      </w:pPr>
    </w:p>
    <w:p w14:paraId="7757C4C6">
      <w:pPr>
        <w:keepNext w:val="0"/>
        <w:keepLines w:val="0"/>
        <w:pageBreakBefore w:val="0"/>
        <w:widowControl w:val="0"/>
        <w:kinsoku/>
        <w:wordWrap/>
        <w:overflowPunct/>
        <w:topLinePunct w:val="0"/>
        <w:autoSpaceDE/>
        <w:autoSpaceDN/>
        <w:bidi w:val="0"/>
        <w:spacing w:line="620" w:lineRule="exact"/>
        <w:ind w:left="0" w:firstLine="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val="en-US" w:eastAsia="zh-CN" w:bidi="ar-SA"/>
        </w:rPr>
        <w:t>区政府各部门、各管委会，各街道办事处，有关单位：</w:t>
      </w:r>
    </w:p>
    <w:p w14:paraId="5D41194E">
      <w:pPr>
        <w:keepNext w:val="0"/>
        <w:keepLines w:val="0"/>
        <w:pageBreakBefore w:val="0"/>
        <w:widowControl w:val="0"/>
        <w:kinsoku/>
        <w:wordWrap/>
        <w:overflowPunct/>
        <w:topLinePunct w:val="0"/>
        <w:autoSpaceDE/>
        <w:autoSpaceDN/>
        <w:bidi w:val="0"/>
        <w:spacing w:line="620" w:lineRule="exact"/>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bidi="ar-SA"/>
        </w:rPr>
        <w:t>《重庆市渝中区国民经济和社会发展第</w:t>
      </w:r>
      <w:r>
        <w:rPr>
          <w:rFonts w:hint="default" w:ascii="Times New Roman" w:hAnsi="Times New Roman" w:eastAsia="方正仿宋_GBK" w:cs="Times New Roman"/>
          <w:sz w:val="32"/>
          <w:szCs w:val="32"/>
          <w:lang w:val="en-US" w:eastAsia="zh-CN" w:bidi="ar-SA"/>
        </w:rPr>
        <w:t>十五</w:t>
      </w:r>
      <w:r>
        <w:rPr>
          <w:rFonts w:hint="default" w:ascii="Times New Roman" w:hAnsi="Times New Roman" w:eastAsia="方正仿宋_GBK" w:cs="Times New Roman"/>
          <w:sz w:val="32"/>
          <w:szCs w:val="32"/>
          <w:lang w:bidi="ar-SA"/>
        </w:rPr>
        <w:t>个五年规划纲要》已经区十</w:t>
      </w:r>
      <w:r>
        <w:rPr>
          <w:rFonts w:hint="default" w:ascii="Times New Roman" w:hAnsi="Times New Roman" w:eastAsia="方正仿宋_GBK" w:cs="Times New Roman"/>
          <w:sz w:val="32"/>
          <w:szCs w:val="32"/>
          <w:lang w:val="en-US" w:eastAsia="zh-CN" w:bidi="ar-SA"/>
        </w:rPr>
        <w:t>九</w:t>
      </w:r>
      <w:r>
        <w:rPr>
          <w:rFonts w:hint="default" w:ascii="Times New Roman" w:hAnsi="Times New Roman" w:eastAsia="方正仿宋_GBK" w:cs="Times New Roman"/>
          <w:sz w:val="32"/>
          <w:szCs w:val="32"/>
          <w:lang w:bidi="ar-SA"/>
        </w:rPr>
        <w:t>届人大</w:t>
      </w:r>
      <w:r>
        <w:rPr>
          <w:rFonts w:hint="default" w:ascii="Times New Roman" w:hAnsi="Times New Roman" w:eastAsia="方正仿宋_GBK" w:cs="Times New Roman"/>
          <w:sz w:val="32"/>
          <w:szCs w:val="32"/>
          <w:lang w:val="en-US" w:eastAsia="zh-CN" w:bidi="ar-SA"/>
        </w:rPr>
        <w:t>九</w:t>
      </w:r>
      <w:r>
        <w:rPr>
          <w:rFonts w:hint="default" w:ascii="Times New Roman" w:hAnsi="Times New Roman" w:eastAsia="方正仿宋_GBK" w:cs="Times New Roman"/>
          <w:sz w:val="32"/>
          <w:szCs w:val="32"/>
          <w:lang w:bidi="ar-SA"/>
        </w:rPr>
        <w:t>次会议</w:t>
      </w:r>
      <w:r>
        <w:rPr>
          <w:rFonts w:hint="default" w:ascii="Times New Roman" w:hAnsi="Times New Roman" w:eastAsia="方正仿宋_GBK" w:cs="Times New Roman"/>
          <w:sz w:val="32"/>
          <w:szCs w:val="32"/>
          <w:lang w:val="en-US" w:eastAsia="zh-CN" w:bidi="ar-SA"/>
        </w:rPr>
        <w:t>批准</w:t>
      </w:r>
      <w:r>
        <w:rPr>
          <w:rFonts w:hint="default" w:ascii="Times New Roman" w:hAnsi="Times New Roman" w:eastAsia="方正仿宋_GBK" w:cs="Times New Roman"/>
          <w:sz w:val="32"/>
          <w:szCs w:val="32"/>
          <w:lang w:bidi="ar-SA"/>
        </w:rPr>
        <w:t>，现印发给你们，请认真贯彻执行。</w:t>
      </w:r>
    </w:p>
    <w:p w14:paraId="330AD9E9">
      <w:pPr>
        <w:pStyle w:val="3"/>
        <w:keepNext w:val="0"/>
        <w:keepLines w:val="0"/>
        <w:pageBreakBefore w:val="0"/>
        <w:widowControl w:val="0"/>
        <w:kinsoku/>
        <w:wordWrap/>
        <w:topLinePunct w:val="0"/>
        <w:autoSpaceDE/>
        <w:autoSpaceDN/>
        <w:bidi w:val="0"/>
        <w:spacing w:after="0" w:line="620" w:lineRule="exact"/>
        <w:textAlignment w:val="auto"/>
        <w:rPr>
          <w:rFonts w:hint="default" w:ascii="Times New Roman" w:hAnsi="Times New Roman" w:eastAsia="方正小标宋_GBK" w:cs="Times New Roman"/>
          <w:color w:val="auto"/>
          <w:kern w:val="44"/>
          <w:sz w:val="44"/>
          <w:szCs w:val="44"/>
          <w:highlight w:val="none"/>
          <w:u w:val="none" w:color="auto"/>
          <w:lang w:val="en-US" w:eastAsia="zh-CN" w:bidi="ar-SA"/>
        </w:rPr>
      </w:pPr>
    </w:p>
    <w:p w14:paraId="6B2D6812">
      <w:pPr>
        <w:keepNext w:val="0"/>
        <w:keepLines w:val="0"/>
        <w:pageBreakBefore w:val="0"/>
        <w:widowControl w:val="0"/>
        <w:kinsoku/>
        <w:wordWrap/>
        <w:overflowPunct w:val="0"/>
        <w:topLinePunct w:val="0"/>
        <w:autoSpaceDE/>
        <w:autoSpaceDN/>
        <w:bidi w:val="0"/>
        <w:adjustRightInd/>
        <w:snapToGrid/>
        <w:spacing w:line="620" w:lineRule="exact"/>
        <w:ind w:right="0"/>
        <w:jc w:val="both"/>
        <w:textAlignment w:val="auto"/>
        <w:rPr>
          <w:rFonts w:hint="default" w:ascii="Times New Roman" w:hAnsi="Times New Roman" w:eastAsia="方正仿宋_GBK" w:cs="Times New Roman"/>
          <w:color w:val="000000"/>
          <w:spacing w:val="0"/>
          <w:sz w:val="32"/>
          <w:szCs w:val="32"/>
          <w:lang w:bidi="ar-SA"/>
        </w:rPr>
      </w:pPr>
    </w:p>
    <w:p w14:paraId="6640057D">
      <w:pPr>
        <w:keepNext w:val="0"/>
        <w:keepLines w:val="0"/>
        <w:pageBreakBefore w:val="0"/>
        <w:widowControl w:val="0"/>
        <w:kinsoku/>
        <w:wordWrap/>
        <w:overflowPunct w:val="0"/>
        <w:topLinePunct w:val="0"/>
        <w:autoSpaceDE/>
        <w:autoSpaceDN/>
        <w:bidi w:val="0"/>
        <w:adjustRightInd/>
        <w:snapToGrid/>
        <w:spacing w:line="620" w:lineRule="exact"/>
        <w:ind w:right="0" w:firstLine="4160" w:firstLineChars="1300"/>
        <w:jc w:val="both"/>
        <w:textAlignment w:val="auto"/>
        <w:rPr>
          <w:rFonts w:hint="default" w:ascii="Times New Roman" w:hAnsi="Times New Roman" w:eastAsia="方正仿宋_GBK" w:cs="Times New Roman"/>
          <w:color w:val="000000"/>
          <w:spacing w:val="0"/>
          <w:sz w:val="32"/>
          <w:szCs w:val="32"/>
          <w:lang w:bidi="ar-SA"/>
        </w:rPr>
      </w:pPr>
      <w:r>
        <w:rPr>
          <w:rFonts w:hint="default" w:ascii="Times New Roman" w:hAnsi="Times New Roman" w:eastAsia="方正仿宋_GBK" w:cs="Times New Roman"/>
          <w:color w:val="000000"/>
          <w:spacing w:val="0"/>
          <w:sz w:val="32"/>
          <w:szCs w:val="32"/>
          <w:lang w:bidi="ar-SA"/>
        </w:rPr>
        <w:t>重庆市渝中区人民政府</w:t>
      </w:r>
    </w:p>
    <w:p w14:paraId="76D6B401">
      <w:pPr>
        <w:keepNext w:val="0"/>
        <w:keepLines w:val="0"/>
        <w:pageBreakBefore w:val="0"/>
        <w:widowControl w:val="0"/>
        <w:kinsoku/>
        <w:wordWrap/>
        <w:overflowPunct w:val="0"/>
        <w:topLinePunct w:val="0"/>
        <w:autoSpaceDE/>
        <w:autoSpaceDN/>
        <w:bidi w:val="0"/>
        <w:adjustRightInd/>
        <w:snapToGrid/>
        <w:spacing w:line="620" w:lineRule="exact"/>
        <w:ind w:right="0" w:firstLine="4700" w:firstLineChars="1469"/>
        <w:jc w:val="both"/>
        <w:textAlignment w:val="auto"/>
        <w:rPr>
          <w:rFonts w:hint="default" w:ascii="Times New Roman" w:hAnsi="Times New Roman" w:eastAsia="方正仿宋_GBK" w:cs="Times New Roman"/>
          <w:color w:val="000000"/>
          <w:spacing w:val="0"/>
          <w:sz w:val="32"/>
          <w:szCs w:val="32"/>
          <w:lang w:val="en-US" w:eastAsia="zh-CN" w:bidi="ar-SA"/>
        </w:rPr>
      </w:pPr>
      <w:r>
        <w:rPr>
          <w:rFonts w:hint="default" w:ascii="Times New Roman" w:hAnsi="Times New Roman" w:eastAsia="方正仿宋_GBK" w:cs="Times New Roman"/>
          <w:color w:val="000000"/>
          <w:spacing w:val="0"/>
          <w:sz w:val="32"/>
          <w:szCs w:val="32"/>
          <w:lang w:bidi="ar-SA"/>
        </w:rPr>
        <w:t>20</w:t>
      </w:r>
      <w:r>
        <w:rPr>
          <w:rFonts w:hint="default" w:ascii="Times New Roman" w:hAnsi="Times New Roman" w:eastAsia="方正仿宋_GBK" w:cs="Times New Roman"/>
          <w:color w:val="000000"/>
          <w:spacing w:val="0"/>
          <w:sz w:val="32"/>
          <w:szCs w:val="32"/>
          <w:lang w:val="en-US" w:eastAsia="zh-CN" w:bidi="ar-SA"/>
        </w:rPr>
        <w:t>26</w:t>
      </w:r>
      <w:r>
        <w:rPr>
          <w:rFonts w:hint="default" w:ascii="Times New Roman" w:hAnsi="Times New Roman" w:eastAsia="方正仿宋_GBK" w:cs="Times New Roman"/>
          <w:color w:val="000000"/>
          <w:spacing w:val="0"/>
          <w:sz w:val="32"/>
          <w:szCs w:val="32"/>
          <w:lang w:bidi="ar-SA"/>
        </w:rPr>
        <w:t>年</w:t>
      </w:r>
      <w:r>
        <w:rPr>
          <w:rFonts w:hint="default" w:ascii="Times New Roman" w:hAnsi="Times New Roman" w:cs="Times New Roman"/>
          <w:color w:val="000000"/>
          <w:spacing w:val="0"/>
          <w:sz w:val="32"/>
          <w:szCs w:val="32"/>
          <w:lang w:val="en-US" w:eastAsia="zh-CN" w:bidi="ar-SA"/>
        </w:rPr>
        <w:t>3</w:t>
      </w:r>
      <w:r>
        <w:rPr>
          <w:rFonts w:hint="default" w:ascii="Times New Roman" w:hAnsi="Times New Roman" w:eastAsia="方正仿宋_GBK" w:cs="Times New Roman"/>
          <w:color w:val="000000"/>
          <w:spacing w:val="0"/>
          <w:sz w:val="32"/>
          <w:szCs w:val="32"/>
          <w:lang w:bidi="ar-SA"/>
        </w:rPr>
        <w:t>月</w:t>
      </w:r>
      <w:r>
        <w:rPr>
          <w:rFonts w:hint="eastAsia" w:ascii="Times New Roman" w:hAnsi="Times New Roman" w:eastAsia="方正仿宋_GBK" w:cs="Times New Roman"/>
          <w:color w:val="000000"/>
          <w:spacing w:val="0"/>
          <w:sz w:val="32"/>
          <w:szCs w:val="32"/>
          <w:lang w:val="en-US" w:eastAsia="zh-CN" w:bidi="ar-SA"/>
        </w:rPr>
        <w:t>5</w:t>
      </w:r>
      <w:r>
        <w:rPr>
          <w:rFonts w:hint="default" w:ascii="Times New Roman" w:hAnsi="Times New Roman" w:eastAsia="方正仿宋_GBK" w:cs="Times New Roman"/>
          <w:color w:val="000000"/>
          <w:spacing w:val="0"/>
          <w:sz w:val="32"/>
          <w:szCs w:val="32"/>
          <w:lang w:bidi="ar-SA"/>
        </w:rPr>
        <w:t>日</w:t>
      </w:r>
    </w:p>
    <w:p w14:paraId="7D542A11">
      <w:pPr>
        <w:keepNext w:val="0"/>
        <w:keepLines w:val="0"/>
        <w:pageBreakBefore w:val="0"/>
        <w:widowControl w:val="0"/>
        <w:kinsoku/>
        <w:wordWrap/>
        <w:overflowPunct w:val="0"/>
        <w:topLinePunct w:val="0"/>
        <w:autoSpaceDE/>
        <w:autoSpaceDN/>
        <w:bidi w:val="0"/>
        <w:spacing w:line="620" w:lineRule="exact"/>
        <w:ind w:left="0" w:right="0" w:firstLine="640" w:firstLineChars="200"/>
        <w:jc w:val="both"/>
        <w:textAlignment w:val="auto"/>
        <w:rPr>
          <w:rFonts w:hint="default" w:ascii="Times New Roman" w:hAnsi="Times New Roman" w:eastAsia="方正小标宋_GBK" w:cs="Times New Roman"/>
          <w:b w:val="0"/>
          <w:bCs w:val="0"/>
          <w:color w:val="auto"/>
          <w:kern w:val="44"/>
          <w:sz w:val="44"/>
          <w:szCs w:val="44"/>
          <w:highlight w:val="none"/>
          <w:u w:val="none" w:color="auto"/>
          <w:lang w:val="en-US" w:eastAsia="zh-CN"/>
        </w:rPr>
        <w:sectPr>
          <w:headerReference r:id="rId3" w:type="default"/>
          <w:footerReference r:id="rId4" w:type="default"/>
          <w:pgSz w:w="11906" w:h="16838"/>
          <w:pgMar w:top="1417" w:right="1587" w:bottom="1417" w:left="1587" w:header="851" w:footer="992" w:gutter="0"/>
          <w:pgBorders>
            <w:top w:val="none" w:sz="0" w:space="0"/>
            <w:left w:val="none" w:sz="0" w:space="0"/>
            <w:bottom w:val="none" w:sz="0" w:space="0"/>
            <w:right w:val="none" w:sz="0" w:space="0"/>
          </w:pgBorders>
          <w:pgNumType w:fmt="upperRoman"/>
          <w:cols w:space="0" w:num="1"/>
          <w:rtlGutter w:val="0"/>
          <w:docGrid w:type="lines" w:linePitch="312" w:charSpace="0"/>
        </w:sectPr>
      </w:pPr>
      <w:r>
        <w:rPr>
          <w:rFonts w:hint="default" w:ascii="Times New Roman" w:hAnsi="Times New Roman" w:eastAsia="方正仿宋_GBK" w:cs="Times New Roman"/>
          <w:color w:val="000000"/>
          <w:spacing w:val="0"/>
          <w:sz w:val="32"/>
          <w:szCs w:val="32"/>
          <w:lang w:val="en-US" w:eastAsia="zh-CN" w:bidi="ar-SA"/>
        </w:rPr>
        <w:t>（此件公开发布）</w:t>
      </w:r>
    </w:p>
    <w:p w14:paraId="183C0CA9">
      <w:pPr>
        <w:pStyle w:val="4"/>
        <w:ind w:left="0" w:leftChars="0" w:firstLine="0" w:firstLineChars="0"/>
        <w:rPr>
          <w:rFonts w:hint="default"/>
          <w:lang w:val="en-US" w:eastAsia="zh-CN"/>
        </w:rPr>
      </w:pPr>
    </w:p>
    <w:p w14:paraId="1538E5C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p>
    <w:p w14:paraId="7886D67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p>
    <w:p w14:paraId="04C98B93">
      <w:pPr>
        <w:pStyle w:val="18"/>
        <w:outlineLvl w:val="9"/>
        <w:rPr>
          <w:rFonts w:hint="default" w:ascii="Times New Roman" w:hAnsi="Times New Roman" w:cs="Times New Roman"/>
          <w:color w:val="auto"/>
          <w:highlight w:val="none"/>
          <w:lang w:val="en-US" w:eastAsia="zh-CN"/>
        </w:rPr>
      </w:pPr>
    </w:p>
    <w:p w14:paraId="002DA02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r>
        <w:rPr>
          <w:rFonts w:hint="default" w:ascii="Times New Roman" w:hAnsi="Times New Roman" w:eastAsia="方正小标宋_GBK" w:cs="Times New Roman"/>
          <w:b w:val="0"/>
          <w:bCs w:val="0"/>
          <w:color w:val="auto"/>
          <w:kern w:val="44"/>
          <w:sz w:val="44"/>
          <w:szCs w:val="44"/>
          <w:highlight w:val="none"/>
          <w:u w:val="none" w:color="auto"/>
          <w:lang w:val="en-US" w:eastAsia="zh-CN"/>
        </w:rPr>
        <w:t>重庆市渝中区国民经济和社会发展</w:t>
      </w:r>
    </w:p>
    <w:p w14:paraId="3D9EC705">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r>
        <w:rPr>
          <w:rFonts w:hint="default" w:ascii="Times New Roman" w:hAnsi="Times New Roman" w:eastAsia="方正小标宋_GBK" w:cs="Times New Roman"/>
          <w:b w:val="0"/>
          <w:bCs w:val="0"/>
          <w:color w:val="auto"/>
          <w:kern w:val="44"/>
          <w:sz w:val="44"/>
          <w:szCs w:val="44"/>
          <w:highlight w:val="none"/>
          <w:u w:val="none" w:color="auto"/>
          <w:lang w:val="en-US" w:eastAsia="zh-CN"/>
        </w:rPr>
        <w:t>第十五个</w:t>
      </w:r>
      <w:bookmarkStart w:id="6" w:name="_Toc2642"/>
      <w:bookmarkStart w:id="7" w:name="_Toc41498227"/>
      <w:r>
        <w:rPr>
          <w:rFonts w:hint="default" w:ascii="Times New Roman" w:hAnsi="Times New Roman" w:eastAsia="方正小标宋_GBK" w:cs="Times New Roman"/>
          <w:b w:val="0"/>
          <w:bCs w:val="0"/>
          <w:color w:val="auto"/>
          <w:kern w:val="44"/>
          <w:sz w:val="44"/>
          <w:szCs w:val="44"/>
          <w:highlight w:val="none"/>
          <w:u w:val="none" w:color="auto"/>
          <w:lang w:val="en-US" w:eastAsia="zh-CN"/>
        </w:rPr>
        <w:t>五年规划</w:t>
      </w:r>
      <w:bookmarkEnd w:id="6"/>
      <w:bookmarkEnd w:id="7"/>
      <w:r>
        <w:rPr>
          <w:rFonts w:hint="default" w:ascii="Times New Roman" w:hAnsi="Times New Roman" w:eastAsia="方正小标宋_GBK" w:cs="Times New Roman"/>
          <w:b w:val="0"/>
          <w:bCs w:val="0"/>
          <w:color w:val="auto"/>
          <w:kern w:val="44"/>
          <w:sz w:val="44"/>
          <w:szCs w:val="44"/>
          <w:highlight w:val="none"/>
          <w:u w:val="none" w:color="auto"/>
          <w:lang w:val="en-US" w:eastAsia="zh-CN"/>
        </w:rPr>
        <w:t>纲要</w:t>
      </w:r>
    </w:p>
    <w:p w14:paraId="417E83EB">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方正小标宋_GBK" w:cs="Times New Roman"/>
          <w:b w:val="0"/>
          <w:bCs w:val="0"/>
          <w:color w:val="auto"/>
          <w:kern w:val="44"/>
          <w:sz w:val="32"/>
          <w:szCs w:val="32"/>
          <w:highlight w:val="none"/>
          <w:u w:val="none" w:color="auto"/>
          <w:lang w:val="en-US" w:eastAsia="zh-CN"/>
        </w:rPr>
      </w:pPr>
    </w:p>
    <w:p w14:paraId="44897A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3A8A03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5BF036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58FA71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75F506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770149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3538498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3C8D75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161738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5DE732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691FEF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cs="Times New Roman"/>
          <w:color w:val="auto"/>
          <w:highlight w:val="none"/>
          <w:u w:val="none" w:color="auto"/>
          <w:lang w:val="en-US" w:eastAsia="zh-CN"/>
        </w:rPr>
        <w:sectPr>
          <w:pgSz w:w="11906" w:h="16838"/>
          <w:pgMar w:top="1984" w:right="1474" w:bottom="1644" w:left="1474" w:header="851" w:footer="992" w:gutter="0"/>
          <w:pgBorders>
            <w:top w:val="none" w:sz="0" w:space="0"/>
            <w:left w:val="none" w:sz="0" w:space="0"/>
            <w:bottom w:val="none" w:sz="0" w:space="0"/>
            <w:right w:val="none" w:sz="0" w:space="0"/>
          </w:pgBorders>
          <w:pgNumType w:fmt="upperRoman"/>
          <w:cols w:space="0" w:num="1"/>
          <w:rtlGutter w:val="0"/>
          <w:docGrid w:type="lines" w:linePitch="312" w:charSpace="0"/>
        </w:sectPr>
      </w:pPr>
      <w:r>
        <w:rPr>
          <w:rFonts w:hint="default" w:ascii="Times New Roman" w:hAnsi="Times New Roman" w:eastAsia="方正黑体_GBK" w:cs="Times New Roman"/>
          <w:b w:val="0"/>
          <w:bCs w:val="0"/>
          <w:color w:val="auto"/>
          <w:kern w:val="44"/>
          <w:sz w:val="32"/>
          <w:szCs w:val="32"/>
          <w:highlight w:val="none"/>
          <w:u w:val="none" w:color="auto"/>
          <w:lang w:val="en-US" w:eastAsia="zh-CN"/>
        </w:rPr>
        <w:t>2026年</w:t>
      </w:r>
      <w:r>
        <w:rPr>
          <w:rFonts w:hint="eastAsia" w:ascii="Times New Roman" w:hAnsi="Times New Roman" w:eastAsia="方正黑体_GBK" w:cs="Times New Roman"/>
          <w:b w:val="0"/>
          <w:bCs w:val="0"/>
          <w:color w:val="auto"/>
          <w:kern w:val="44"/>
          <w:sz w:val="32"/>
          <w:szCs w:val="32"/>
          <w:highlight w:val="none"/>
          <w:u w:val="none" w:color="auto"/>
          <w:lang w:val="en-US" w:eastAsia="zh-CN"/>
        </w:rPr>
        <w:t>2</w:t>
      </w:r>
      <w:r>
        <w:rPr>
          <w:rFonts w:hint="default" w:ascii="Times New Roman" w:hAnsi="Times New Roman" w:eastAsia="方正黑体_GBK" w:cs="Times New Roman"/>
          <w:b w:val="0"/>
          <w:bCs w:val="0"/>
          <w:color w:val="auto"/>
          <w:kern w:val="44"/>
          <w:sz w:val="32"/>
          <w:szCs w:val="32"/>
          <w:highlight w:val="none"/>
          <w:u w:val="none" w:color="auto"/>
          <w:lang w:val="en-US" w:eastAsia="zh-CN"/>
        </w:rPr>
        <w:t>月</w:t>
      </w:r>
    </w:p>
    <w:p w14:paraId="3FC2A80E">
      <w:pPr>
        <w:keepNext w:val="0"/>
        <w:keepLines w:val="0"/>
        <w:pageBreakBefore w:val="0"/>
        <w:kinsoku/>
        <w:wordWrap/>
        <w:topLinePunct w:val="0"/>
        <w:autoSpaceDE/>
        <w:autoSpaceDN/>
        <w:bidi w:val="0"/>
        <w:spacing w:before="0" w:beforeLines="0" w:after="0" w:afterLines="0" w:line="600" w:lineRule="exact"/>
        <w:ind w:left="0" w:leftChars="0" w:right="0" w:rightChars="0" w:firstLine="0" w:firstLineChars="0"/>
        <w:jc w:val="both"/>
        <w:rPr>
          <w:rFonts w:hint="default" w:ascii="Times New Roman" w:hAnsi="Times New Roman" w:eastAsia="方正黑体_GBK" w:cs="Times New Roman"/>
          <w:color w:val="auto"/>
          <w:kern w:val="2"/>
          <w:sz w:val="44"/>
          <w:szCs w:val="44"/>
          <w:highlight w:val="none"/>
          <w:u w:val="none" w:color="auto"/>
          <w:lang w:val="en-US" w:eastAsia="zh-CN" w:bidi="ar-SA"/>
        </w:rPr>
        <w:sectPr>
          <w:footerReference r:id="rId5" w:type="default"/>
          <w:pgSz w:w="11906" w:h="16838"/>
          <w:pgMar w:top="1984" w:right="1474" w:bottom="1644" w:left="1474" w:header="851" w:footer="992" w:gutter="0"/>
          <w:pgBorders>
            <w:top w:val="none" w:sz="0" w:space="0"/>
            <w:left w:val="none" w:sz="0" w:space="0"/>
            <w:bottom w:val="none" w:sz="0" w:space="0"/>
            <w:right w:val="none" w:sz="0" w:space="0"/>
          </w:pgBorders>
          <w:pgNumType w:fmt="upperRoman" w:start="1"/>
          <w:cols w:space="425" w:num="1"/>
          <w:rtlGutter w:val="0"/>
          <w:docGrid w:type="lines" w:linePitch="312" w:charSpace="0"/>
        </w:sectPr>
      </w:pPr>
    </w:p>
    <w:sdt>
      <w:sdtPr>
        <w:rPr>
          <w:rFonts w:hint="default" w:ascii="Times New Roman" w:hAnsi="Times New Roman" w:eastAsia="方正黑体_GBK" w:cs="Times New Roman"/>
          <w:color w:val="auto"/>
          <w:kern w:val="2"/>
          <w:sz w:val="44"/>
          <w:szCs w:val="44"/>
          <w:highlight w:val="none"/>
          <w:u w:val="none" w:color="auto"/>
          <w:lang w:val="en-US" w:eastAsia="zh-CN" w:bidi="ar-SA"/>
        </w:rPr>
        <w:id w:val="147463560"/>
        <w15:color w:val="DBDBDB"/>
        <w:docPartObj>
          <w:docPartGallery w:val="Table of Contents"/>
          <w:docPartUnique/>
        </w:docPartObj>
      </w:sdtPr>
      <w:sdtEndPr>
        <w:rPr>
          <w:rFonts w:hint="default" w:ascii="Times New Roman" w:hAnsi="Times New Roman" w:eastAsia="方正黑体_GBK" w:cs="Times New Roman"/>
          <w:bCs w:val="0"/>
          <w:color w:val="auto"/>
          <w:kern w:val="44"/>
          <w:sz w:val="21"/>
          <w:szCs w:val="32"/>
          <w:highlight w:val="none"/>
          <w:u w:val="none" w:color="auto"/>
          <w:lang w:val="en-US" w:eastAsia="zh-CN" w:bidi="ar-SA"/>
        </w:rPr>
      </w:sdtEndPr>
      <w:sdtContent>
        <w:p w14:paraId="27D11F5B">
          <w:pPr>
            <w:keepNext w:val="0"/>
            <w:keepLines w:val="0"/>
            <w:pageBreakBefore w:val="0"/>
            <w:kinsoku/>
            <w:wordWrap/>
            <w:topLinePunct w:val="0"/>
            <w:autoSpaceDE/>
            <w:autoSpaceDN/>
            <w:bidi w:val="0"/>
            <w:spacing w:before="0" w:beforeLines="0" w:after="0" w:afterLines="0" w:line="600" w:lineRule="exact"/>
            <w:ind w:left="0" w:leftChars="0" w:right="0" w:rightChars="0" w:firstLine="0" w:firstLineChars="0"/>
            <w:jc w:val="center"/>
            <w:rPr>
              <w:rFonts w:hint="default" w:ascii="Times New Roman" w:hAnsi="Times New Roman" w:eastAsia="方正黑体_GBK" w:cs="Times New Roman"/>
              <w:color w:val="auto"/>
              <w:sz w:val="44"/>
              <w:szCs w:val="44"/>
              <w:highlight w:val="none"/>
              <w:u w:val="none" w:color="auto"/>
            </w:rPr>
          </w:pPr>
          <w:r>
            <w:rPr>
              <w:rFonts w:hint="default" w:ascii="Times New Roman" w:hAnsi="Times New Roman" w:eastAsia="方正黑体_GBK" w:cs="Times New Roman"/>
              <w:color w:val="auto"/>
              <w:kern w:val="2"/>
              <w:sz w:val="44"/>
              <w:szCs w:val="44"/>
              <w:highlight w:val="none"/>
              <w:u w:val="none" w:color="auto"/>
              <w:lang w:val="en-US" w:eastAsia="zh-CN" w:bidi="ar-SA"/>
            </w:rPr>
            <w:t>目</w:t>
          </w:r>
          <w:r>
            <w:rPr>
              <w:rFonts w:hint="default" w:ascii="Times New Roman" w:hAnsi="Times New Roman" w:eastAsia="方正黑体_GBK" w:cs="Times New Roman"/>
              <w:color w:val="auto"/>
              <w:sz w:val="44"/>
              <w:szCs w:val="44"/>
              <w:highlight w:val="none"/>
              <w:u w:val="none" w:color="auto"/>
              <w:lang w:val="en-US" w:eastAsia="zh-CN"/>
            </w:rPr>
            <w:t xml:space="preserve">   </w:t>
          </w:r>
          <w:r>
            <w:rPr>
              <w:rFonts w:hint="default" w:ascii="Times New Roman" w:hAnsi="Times New Roman" w:eastAsia="方正黑体_GBK" w:cs="Times New Roman"/>
              <w:color w:val="auto"/>
              <w:sz w:val="44"/>
              <w:szCs w:val="44"/>
              <w:highlight w:val="none"/>
              <w:u w:val="none" w:color="auto"/>
            </w:rPr>
            <w:t>录</w:t>
          </w:r>
        </w:p>
        <w:p w14:paraId="20B785A8">
          <w:pPr>
            <w:pStyle w:val="4"/>
            <w:rPr>
              <w:rFonts w:hint="default" w:ascii="Times New Roman" w:hAnsi="Times New Roman"/>
            </w:rPr>
          </w:pPr>
        </w:p>
        <w:p w14:paraId="2CA7AE32">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 w:val="0"/>
              <w:bCs w:val="0"/>
              <w:color w:val="auto"/>
              <w:kern w:val="44"/>
              <w:sz w:val="32"/>
              <w:szCs w:val="32"/>
              <w:highlight w:val="none"/>
              <w:u w:val="none" w:color="auto"/>
              <w:lang w:val="en-US" w:eastAsia="zh-CN"/>
            </w:rPr>
            <w:instrText xml:space="preserve">TOC \o "1-3" \h \u </w:instrText>
          </w:r>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separate"/>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_Toc30242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第一篇 新时代新阶段新起点 奋力谱写中国式现代化重庆篇章渝中精彩一页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_Toc30242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BEE2C6A">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_Toc22947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pacing w:val="-6"/>
              <w:sz w:val="32"/>
              <w:szCs w:val="32"/>
              <w:highlight w:val="none"/>
              <w:lang w:val="en-US" w:eastAsia="zh-CN"/>
            </w:rPr>
            <w:t xml:space="preserve">第一章 </w:t>
          </w:r>
          <w:r>
            <w:rPr>
              <w:rFonts w:hint="eastAsia" w:ascii="Times New Roman" w:hAnsi="Times New Roman" w:eastAsia="方正仿宋_GBK" w:cs="Times New Roman"/>
              <w:spacing w:val="-6"/>
              <w:sz w:val="32"/>
              <w:szCs w:val="32"/>
              <w:highlight w:val="none"/>
              <w:lang w:val="en-US" w:eastAsia="zh-CN"/>
            </w:rPr>
            <w:t>“</w:t>
          </w:r>
          <w:r>
            <w:rPr>
              <w:rFonts w:hint="default" w:ascii="Times New Roman" w:hAnsi="Times New Roman" w:eastAsia="方正黑体_GBK" w:cs="Times New Roman"/>
              <w:spacing w:val="-6"/>
              <w:sz w:val="32"/>
              <w:szCs w:val="32"/>
              <w:highlight w:val="none"/>
              <w:lang w:val="en-US" w:eastAsia="zh-CN"/>
            </w:rPr>
            <w:t>十四五</w:t>
          </w:r>
          <w:r>
            <w:rPr>
              <w:rFonts w:hint="eastAsia" w:ascii="Times New Roman" w:hAnsi="Times New Roman" w:eastAsia="方正仿宋_GBK" w:cs="Times New Roman"/>
              <w:spacing w:val="-6"/>
              <w:sz w:val="32"/>
              <w:szCs w:val="32"/>
              <w:highlight w:val="none"/>
              <w:lang w:val="en-US" w:eastAsia="zh-CN"/>
            </w:rPr>
            <w:t>”</w:t>
          </w:r>
          <w:r>
            <w:rPr>
              <w:rFonts w:hint="default" w:ascii="Times New Roman" w:hAnsi="Times New Roman" w:eastAsia="方正黑体_GBK" w:cs="Times New Roman"/>
              <w:spacing w:val="-6"/>
              <w:sz w:val="32"/>
              <w:szCs w:val="32"/>
              <w:highlight w:val="none"/>
              <w:lang w:val="en-US" w:eastAsia="zh-CN"/>
            </w:rPr>
            <w:t>时期渝中经济社会发展取得显著成效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_Toc22947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E58A516">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_Toc2769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 xml:space="preserve">第二章 </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十五五</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时期机遇挑战</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_Toc2769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E1F10A4">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_Toc6598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第三章 目标愿景</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_Toc6598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FBCC36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_Toc32131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指导思想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_Toc32131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9C1E56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_Toc10253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主要原则</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_Toc10253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CBFA56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_Toc18720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发展目标</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_Toc18720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6EC4765">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_Toc24069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第二篇 深度融入和服务国家战略 更好发挥辐射带动作用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_Toc24069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57B206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_Toc26733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第四章 全力助推成渝地区双城经济圈发展能级提升</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_Toc26733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E70246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_Toc6560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协同建设具有全国影响力的经济中心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_Toc6560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29D66D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_Toc20919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协同打造区域科技创新中心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_Toc20919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8908A6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_Toc20368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协同共建西部金融中心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_Toc20368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C3F55F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_Toc2072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第四节 协同建设巴蜀文化旅游走廊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2750887">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_Toc6899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五</w:t>
          </w:r>
          <w:r>
            <w:rPr>
              <w:rFonts w:hint="default" w:ascii="Times New Roman" w:hAnsi="Times New Roman" w:eastAsia="方正黑体_GBK" w:cs="Times New Roman"/>
              <w:sz w:val="32"/>
              <w:szCs w:val="32"/>
              <w:highlight w:val="none"/>
            </w:rPr>
            <w:t xml:space="preserve">章 </w:t>
          </w:r>
          <w:r>
            <w:rPr>
              <w:rFonts w:hint="default" w:ascii="Times New Roman" w:hAnsi="Times New Roman" w:eastAsia="方正黑体_GBK" w:cs="Times New Roman"/>
              <w:sz w:val="32"/>
              <w:szCs w:val="32"/>
              <w:highlight w:val="none"/>
              <w:lang w:val="en-US" w:eastAsia="zh-CN"/>
            </w:rPr>
            <w:t>参与</w:t>
          </w:r>
          <w:r>
            <w:rPr>
              <w:rFonts w:hint="default" w:ascii="Times New Roman" w:hAnsi="Times New Roman" w:eastAsia="方正黑体_GBK" w:cs="Times New Roman"/>
              <w:sz w:val="32"/>
              <w:szCs w:val="32"/>
              <w:highlight w:val="none"/>
            </w:rPr>
            <w:t>西部陆海新通道建设</w:t>
          </w:r>
          <w:r>
            <w:rPr>
              <w:rFonts w:hint="default" w:ascii="Times New Roman" w:hAnsi="Times New Roman" w:eastAsia="方正黑体_GBK" w:cs="Times New Roman"/>
              <w:sz w:val="32"/>
              <w:szCs w:val="32"/>
              <w:highlight w:val="none"/>
              <w:lang w:val="en-US" w:eastAsia="zh-CN"/>
            </w:rPr>
            <w:t>展现更大作为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_Toc6899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F09ECC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_Toc29951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0"/>
              <w:sz w:val="32"/>
              <w:szCs w:val="32"/>
              <w:highlight w:val="none"/>
              <w:lang w:val="en-US" w:eastAsia="zh-CN" w:bidi="ar"/>
            </w:rPr>
            <w:t>第一节 打造西部陆海新通道物流贸易总部基地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_Toc29951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AC81A9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_Toc5940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 xml:space="preserve">第二节 </w:t>
          </w:r>
          <w:r>
            <w:rPr>
              <w:rFonts w:hint="default" w:ascii="Times New Roman" w:hAnsi="Times New Roman" w:eastAsia="方正楷体_GBK" w:cs="Times New Roman"/>
              <w:sz w:val="32"/>
              <w:szCs w:val="32"/>
              <w:highlight w:val="none"/>
            </w:rPr>
            <w:t>打造西部陆海新通道国际消费中心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_Toc5940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5A7DE36">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_Toc9972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 xml:space="preserve">第三节 </w:t>
          </w:r>
          <w:r>
            <w:rPr>
              <w:rFonts w:hint="default" w:ascii="Times New Roman" w:hAnsi="Times New Roman" w:eastAsia="方正楷体_GBK" w:cs="Times New Roman"/>
              <w:sz w:val="32"/>
              <w:szCs w:val="32"/>
              <w:highlight w:val="none"/>
            </w:rPr>
            <w:t>打造西部陆海新通道金融服务</w:t>
          </w:r>
          <w:r>
            <w:rPr>
              <w:rFonts w:hint="default" w:ascii="Times New Roman" w:hAnsi="Times New Roman" w:eastAsia="方正楷体_GBK" w:cs="Times New Roman"/>
              <w:sz w:val="32"/>
              <w:szCs w:val="32"/>
              <w:highlight w:val="none"/>
              <w:lang w:val="en-US" w:eastAsia="zh-CN"/>
            </w:rPr>
            <w:t>和</w:t>
          </w:r>
          <w:r>
            <w:rPr>
              <w:rFonts w:hint="default" w:ascii="Times New Roman" w:hAnsi="Times New Roman" w:eastAsia="方正楷体_GBK" w:cs="Times New Roman"/>
              <w:sz w:val="32"/>
              <w:szCs w:val="32"/>
              <w:highlight w:val="none"/>
            </w:rPr>
            <w:t>专业服务中心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_Toc9972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D23624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_Toc15944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第四节 打造西部陆海新通道国际交往中心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_Toc15944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3E9808D">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_Toc26498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第六章 高标准建设长江经济带重要节点城市</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_Toc26498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20B8BDF">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_Toc5479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44"/>
              <w:sz w:val="32"/>
              <w:szCs w:val="32"/>
              <w:highlight w:val="none"/>
            </w:rPr>
            <w:t>第三篇 巩固现代服务业龙头地位</w:t>
          </w:r>
          <w:r>
            <w:rPr>
              <w:rFonts w:hint="default" w:ascii="Times New Roman" w:hAnsi="Times New Roman" w:eastAsia="方正黑体_GBK" w:cs="Times New Roman"/>
              <w:kern w:val="44"/>
              <w:sz w:val="32"/>
              <w:szCs w:val="32"/>
              <w:highlight w:val="none"/>
              <w:lang w:val="en-US" w:eastAsia="zh-CN"/>
            </w:rPr>
            <w:t xml:space="preserve"> </w:t>
          </w:r>
          <w:r>
            <w:rPr>
              <w:rFonts w:hint="default" w:ascii="Times New Roman" w:hAnsi="Times New Roman" w:eastAsia="方正黑体_GBK" w:cs="Times New Roman"/>
              <w:kern w:val="44"/>
              <w:sz w:val="32"/>
              <w:szCs w:val="32"/>
              <w:highlight w:val="none"/>
            </w:rPr>
            <w:t>迭代升级更具竞争力的</w:t>
          </w:r>
          <w:r>
            <w:rPr>
              <w:rFonts w:hint="eastAsia" w:ascii="Times New Roman" w:hAnsi="Times New Roman" w:eastAsia="方正仿宋_GBK" w:cs="Times New Roman"/>
              <w:kern w:val="44"/>
              <w:sz w:val="32"/>
              <w:szCs w:val="32"/>
              <w:highlight w:val="none"/>
              <w:lang w:eastAsia="zh-CN"/>
            </w:rPr>
            <w:t>“</w:t>
          </w:r>
          <w:r>
            <w:rPr>
              <w:rFonts w:hint="default" w:ascii="Times New Roman" w:hAnsi="Times New Roman" w:eastAsia="方正黑体_GBK" w:cs="Times New Roman"/>
              <w:kern w:val="44"/>
              <w:sz w:val="32"/>
              <w:szCs w:val="32"/>
              <w:highlight w:val="none"/>
            </w:rPr>
            <w:t>4311</w:t>
          </w:r>
          <w:r>
            <w:rPr>
              <w:rFonts w:hint="eastAsia" w:ascii="Times New Roman" w:hAnsi="Times New Roman" w:eastAsia="方正仿宋_GBK" w:cs="Times New Roman"/>
              <w:kern w:val="44"/>
              <w:sz w:val="32"/>
              <w:szCs w:val="32"/>
              <w:highlight w:val="none"/>
              <w:lang w:eastAsia="zh-CN"/>
            </w:rPr>
            <w:t>”</w:t>
          </w:r>
          <w:r>
            <w:rPr>
              <w:rFonts w:hint="default" w:ascii="Times New Roman" w:hAnsi="Times New Roman" w:eastAsia="方正黑体_GBK" w:cs="Times New Roman"/>
              <w:kern w:val="44"/>
              <w:sz w:val="32"/>
              <w:szCs w:val="32"/>
              <w:highlight w:val="none"/>
            </w:rPr>
            <w:t>现代化产业体系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_Toc5479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0CDF836">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_Toc26988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七</w:t>
          </w:r>
          <w:r>
            <w:rPr>
              <w:rFonts w:hint="default" w:ascii="Times New Roman" w:hAnsi="Times New Roman" w:eastAsia="方正黑体_GBK" w:cs="Times New Roman"/>
              <w:sz w:val="32"/>
              <w:szCs w:val="32"/>
              <w:highlight w:val="none"/>
            </w:rPr>
            <w:t>章 推动生产性服务业向专业化和价值链高端延伸</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_Toc26988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17CA7A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_Toc1264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第一节 </w:t>
          </w:r>
          <w:r>
            <w:rPr>
              <w:rFonts w:hint="default" w:ascii="Times New Roman" w:hAnsi="Times New Roman" w:eastAsia="方正楷体_GBK" w:cs="Times New Roman"/>
              <w:sz w:val="32"/>
              <w:szCs w:val="32"/>
              <w:highlight w:val="none"/>
              <w:lang w:val="en-US" w:eastAsia="zh-CN"/>
            </w:rPr>
            <w:t>基本建成</w:t>
          </w:r>
          <w:r>
            <w:rPr>
              <w:rFonts w:hint="default" w:ascii="Times New Roman" w:hAnsi="Times New Roman" w:eastAsia="方正楷体_GBK" w:cs="Times New Roman"/>
              <w:sz w:val="32"/>
              <w:szCs w:val="32"/>
              <w:highlight w:val="none"/>
            </w:rPr>
            <w:t>西部金融中心主承载区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_Toc1264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10D582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_Toc6556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第二节 </w:t>
          </w:r>
          <w:r>
            <w:rPr>
              <w:rFonts w:hint="default" w:ascii="Times New Roman" w:hAnsi="Times New Roman" w:eastAsia="方正楷体_GBK" w:cs="Times New Roman"/>
              <w:sz w:val="32"/>
              <w:szCs w:val="32"/>
              <w:highlight w:val="none"/>
              <w:lang w:val="en-US" w:eastAsia="zh-CN"/>
            </w:rPr>
            <w:t>基本建成</w:t>
          </w:r>
          <w:r>
            <w:rPr>
              <w:rFonts w:hint="default" w:ascii="Times New Roman" w:hAnsi="Times New Roman" w:eastAsia="方正楷体_GBK" w:cs="Times New Roman"/>
              <w:sz w:val="32"/>
              <w:szCs w:val="32"/>
              <w:highlight w:val="none"/>
            </w:rPr>
            <w:t>西部高端专业服务中心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_Toc6556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5421B6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_Toc12392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第三节 聚力建设科创中心特色功能区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_Toc12392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C3ADCD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_Toc18366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第四节 加快建设现代物流总部企业集聚区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_Toc18366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51A74E6">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_Toc31469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14:ligatures w14:val="none"/>
            </w:rPr>
            <w:t>五</w:t>
          </w:r>
          <w:r>
            <w:rPr>
              <w:rFonts w:hint="default" w:ascii="Times New Roman" w:hAnsi="Times New Roman" w:eastAsia="方正楷体_GBK" w:cs="Times New Roman"/>
              <w:sz w:val="32"/>
              <w:szCs w:val="32"/>
              <w:highlight w:val="none"/>
            </w:rPr>
            <w:t xml:space="preserve">节 </w:t>
          </w:r>
          <w:r>
            <w:rPr>
              <w:rFonts w:hint="default" w:ascii="Times New Roman" w:hAnsi="Times New Roman" w:eastAsia="方正楷体_GBK" w:cs="Times New Roman"/>
              <w:sz w:val="32"/>
              <w:szCs w:val="32"/>
              <w:highlight w:val="none"/>
              <w:lang w:val="en-US" w:eastAsia="zh-CN"/>
            </w:rPr>
            <w:t>全面</w:t>
          </w:r>
          <w:r>
            <w:rPr>
              <w:rFonts w:hint="default" w:ascii="Times New Roman" w:hAnsi="Times New Roman" w:eastAsia="方正楷体_GBK" w:cs="Times New Roman"/>
              <w:sz w:val="32"/>
              <w:szCs w:val="32"/>
              <w:highlight w:val="none"/>
            </w:rPr>
            <w:t>推进</w:t>
          </w:r>
          <w:r>
            <w:rPr>
              <w:rFonts w:hint="default" w:ascii="Times New Roman" w:hAnsi="Times New Roman" w:eastAsia="方正楷体_GBK" w:cs="Times New Roman"/>
              <w:sz w:val="32"/>
              <w:szCs w:val="32"/>
              <w:highlight w:val="none"/>
              <w:lang w:val="en-US" w:eastAsia="zh-CN"/>
            </w:rPr>
            <w:t>现代服务业和先进制造业深度融合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_Toc31469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- 29 -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2E0815A">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_Toc1303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pacing w:val="-6"/>
              <w:sz w:val="32"/>
              <w:szCs w:val="32"/>
              <w:highlight w:val="none"/>
            </w:rPr>
            <w:t>第</w:t>
          </w:r>
          <w:r>
            <w:rPr>
              <w:rFonts w:hint="default" w:ascii="Times New Roman" w:hAnsi="Times New Roman" w:eastAsia="方正黑体_GBK" w:cs="Times New Roman"/>
              <w:spacing w:val="-6"/>
              <w:sz w:val="32"/>
              <w:szCs w:val="32"/>
              <w:highlight w:val="none"/>
              <w:lang w:val="en-US" w:eastAsia="zh-CN"/>
            </w:rPr>
            <w:t>八</w:t>
          </w:r>
          <w:r>
            <w:rPr>
              <w:rFonts w:hint="default" w:ascii="Times New Roman" w:hAnsi="Times New Roman" w:eastAsia="方正黑体_GBK" w:cs="Times New Roman"/>
              <w:spacing w:val="-6"/>
              <w:sz w:val="32"/>
              <w:szCs w:val="32"/>
              <w:highlight w:val="none"/>
            </w:rPr>
            <w:t>章 促进生活性服务业高品质、多样化、便利化发展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_Toc1303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179756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_Toc957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第一节 </w:t>
          </w:r>
          <w:r>
            <w:rPr>
              <w:rFonts w:hint="default" w:ascii="Times New Roman" w:hAnsi="Times New Roman" w:eastAsia="方正楷体_GBK" w:cs="Times New Roman"/>
              <w:sz w:val="32"/>
              <w:szCs w:val="32"/>
              <w:highlight w:val="none"/>
              <w:lang w:val="en-US" w:eastAsia="zh-CN"/>
            </w:rPr>
            <w:t>基本建成国际消费中心城市核心区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F5031A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_Toc1102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第二节 </w:t>
          </w:r>
          <w:r>
            <w:rPr>
              <w:rFonts w:hint="default" w:ascii="Times New Roman" w:hAnsi="Times New Roman" w:eastAsia="方正楷体_GBK" w:cs="Times New Roman"/>
              <w:sz w:val="32"/>
              <w:szCs w:val="32"/>
              <w:highlight w:val="none"/>
              <w:lang w:val="en-US" w:eastAsia="zh-CN"/>
            </w:rPr>
            <w:t>加快打造文商旅体城科融合发展先行示范区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_Toc1102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E9794E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_Toc20799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第三节 </w:t>
          </w:r>
          <w:r>
            <w:rPr>
              <w:rFonts w:hint="default" w:ascii="Times New Roman" w:hAnsi="Times New Roman" w:eastAsia="方正楷体_GBK" w:cs="Times New Roman"/>
              <w:sz w:val="32"/>
              <w:szCs w:val="32"/>
              <w:highlight w:val="none"/>
              <w:lang w:val="en-US" w:eastAsia="zh-CN"/>
            </w:rPr>
            <w:t>着力建设西部健康服务高地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_Toc20799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3C95DE1">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_Toc29163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pacing w:val="-6"/>
              <w:sz w:val="32"/>
              <w:szCs w:val="32"/>
              <w:highlight w:val="none"/>
            </w:rPr>
            <w:t>第</w:t>
          </w:r>
          <w:r>
            <w:rPr>
              <w:rFonts w:hint="default" w:ascii="Times New Roman" w:hAnsi="Times New Roman" w:eastAsia="方正黑体_GBK" w:cs="Times New Roman"/>
              <w:spacing w:val="-6"/>
              <w:sz w:val="32"/>
              <w:szCs w:val="32"/>
              <w:highlight w:val="none"/>
              <w:lang w:val="en-US" w:eastAsia="zh-CN"/>
            </w:rPr>
            <w:t>九</w:t>
          </w:r>
          <w:r>
            <w:rPr>
              <w:rFonts w:hint="default" w:ascii="Times New Roman" w:hAnsi="Times New Roman" w:eastAsia="方正黑体_GBK" w:cs="Times New Roman"/>
              <w:spacing w:val="-6"/>
              <w:sz w:val="32"/>
              <w:szCs w:val="32"/>
              <w:highlight w:val="none"/>
            </w:rPr>
            <w:t>章 推动建筑业向工业化、数字化、绿色化转型升级</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_Toc29163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CE55688">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_Toc24350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十</w:t>
          </w:r>
          <w:r>
            <w:rPr>
              <w:rFonts w:hint="default" w:ascii="Times New Roman" w:hAnsi="Times New Roman" w:eastAsia="方正黑体_GBK" w:cs="Times New Roman"/>
              <w:sz w:val="32"/>
              <w:szCs w:val="32"/>
              <w:highlight w:val="none"/>
            </w:rPr>
            <w:t>章 培育壮大新兴产业和未来产业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_Toc24350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B5A81A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_Toc14544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发展壮大新兴产业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_Toc14544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BA826D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_Toc23304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前瞻布局未来产业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_Toc23304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351E697">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_Toc27877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rPr>
            <w:t>第</w:t>
          </w:r>
          <w:r>
            <w:rPr>
              <w:rFonts w:hint="default" w:ascii="Times New Roman" w:hAnsi="Times New Roman" w:eastAsia="方正黑体_GBK" w:cs="Times New Roman"/>
              <w:bCs w:val="0"/>
              <w:kern w:val="44"/>
              <w:sz w:val="32"/>
              <w:szCs w:val="32"/>
              <w:highlight w:val="none"/>
              <w:lang w:val="en-US" w:eastAsia="zh-CN"/>
            </w:rPr>
            <w:t>四</w:t>
          </w:r>
          <w:r>
            <w:rPr>
              <w:rFonts w:hint="default" w:ascii="Times New Roman" w:hAnsi="Times New Roman" w:eastAsia="方正黑体_GBK" w:cs="Times New Roman"/>
              <w:bCs w:val="0"/>
              <w:kern w:val="44"/>
              <w:sz w:val="32"/>
              <w:szCs w:val="32"/>
              <w:highlight w:val="none"/>
            </w:rPr>
            <w:t xml:space="preserve">篇 </w:t>
          </w:r>
          <w:r>
            <w:rPr>
              <w:rFonts w:hint="default" w:ascii="Times New Roman" w:hAnsi="Times New Roman" w:eastAsia="方正黑体_GBK" w:cs="Times New Roman"/>
              <w:bCs w:val="0"/>
              <w:kern w:val="44"/>
              <w:sz w:val="32"/>
              <w:szCs w:val="32"/>
              <w:highlight w:val="none"/>
              <w:lang w:val="en-US" w:eastAsia="zh-CN"/>
            </w:rPr>
            <w:t xml:space="preserve">完善科技创新支撑体系 </w:t>
          </w:r>
          <w:r>
            <w:rPr>
              <w:rFonts w:hint="default" w:ascii="Times New Roman" w:hAnsi="Times New Roman" w:eastAsia="方正黑体_GBK" w:cs="Times New Roman"/>
              <w:bCs w:val="0"/>
              <w:kern w:val="44"/>
              <w:sz w:val="32"/>
              <w:szCs w:val="32"/>
              <w:highlight w:val="none"/>
            </w:rPr>
            <w:t>因地制宜发展新质生产力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_Toc27877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4E7C026">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_Toc31348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第十</w:t>
          </w:r>
          <w:r>
            <w:rPr>
              <w:rFonts w:hint="default" w:ascii="Times New Roman" w:hAnsi="Times New Roman" w:eastAsia="方正黑体_GBK" w:cs="Times New Roman"/>
              <w:sz w:val="32"/>
              <w:szCs w:val="32"/>
              <w:highlight w:val="none"/>
              <w:lang w:val="en-US" w:eastAsia="zh-CN"/>
            </w:rPr>
            <w:t>一</w:t>
          </w:r>
          <w:r>
            <w:rPr>
              <w:rFonts w:hint="default" w:ascii="Times New Roman" w:hAnsi="Times New Roman" w:eastAsia="方正黑体_GBK" w:cs="Times New Roman"/>
              <w:sz w:val="32"/>
              <w:szCs w:val="32"/>
              <w:highlight w:val="none"/>
            </w:rPr>
            <w:t>章 融入</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黑体_GBK" w:cs="Times New Roman"/>
              <w:sz w:val="32"/>
              <w:szCs w:val="32"/>
              <w:highlight w:val="none"/>
            </w:rPr>
            <w:t>416</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黑体_GBK" w:cs="Times New Roman"/>
              <w:sz w:val="32"/>
              <w:szCs w:val="32"/>
              <w:highlight w:val="none"/>
            </w:rPr>
            <w:t>科技创新布局</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_Toc31348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F041F2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_Toc16964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第一节 </w:t>
          </w:r>
          <w:r>
            <w:rPr>
              <w:rFonts w:hint="default" w:ascii="Times New Roman" w:hAnsi="Times New Roman" w:eastAsia="方正楷体_GBK" w:cs="Times New Roman"/>
              <w:sz w:val="32"/>
              <w:szCs w:val="32"/>
              <w:highlight w:val="none"/>
              <w:lang w:val="en-US" w:eastAsia="zh-CN"/>
            </w:rPr>
            <w:t>提升</w:t>
          </w:r>
          <w:r>
            <w:rPr>
              <w:rFonts w:hint="default" w:ascii="Times New Roman" w:hAnsi="Times New Roman" w:eastAsia="方正楷体_GBK" w:cs="Times New Roman"/>
              <w:sz w:val="32"/>
              <w:szCs w:val="32"/>
              <w:highlight w:val="none"/>
              <w:lang w:val="en-US" w:eastAsia="zh-CN"/>
              <w14:ligatures w14:val="none"/>
            </w:rPr>
            <w:t>企业创新</w:t>
          </w:r>
          <w:r>
            <w:rPr>
              <w:rFonts w:hint="default" w:ascii="Times New Roman" w:hAnsi="Times New Roman" w:eastAsia="方正楷体_GBK" w:cs="Times New Roman"/>
              <w:sz w:val="32"/>
              <w:szCs w:val="32"/>
              <w:highlight w:val="none"/>
            </w:rPr>
            <w:t>能力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_Toc16964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99F7C0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_Toc11144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提质建设科技创新平台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_Toc11144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BD0AD0D">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_Toc14098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十二</w:t>
          </w:r>
          <w:r>
            <w:rPr>
              <w:rFonts w:hint="default" w:ascii="Times New Roman" w:hAnsi="Times New Roman" w:eastAsia="方正黑体_GBK" w:cs="Times New Roman"/>
              <w:sz w:val="32"/>
              <w:szCs w:val="32"/>
              <w:highlight w:val="none"/>
            </w:rPr>
            <w:t>章 推动科技创新和产业创新深度融合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_Toc14098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E777BE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_Toc25124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科技赋能产业发展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_Toc25124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B40A0A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_Toc19662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高效能推进科技成果转化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_Toc19662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A702A8C">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_Toc2659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十三</w:t>
          </w:r>
          <w:r>
            <w:rPr>
              <w:rFonts w:hint="default" w:ascii="Times New Roman" w:hAnsi="Times New Roman" w:eastAsia="方正黑体_GBK" w:cs="Times New Roman"/>
              <w:sz w:val="32"/>
              <w:szCs w:val="32"/>
              <w:highlight w:val="none"/>
            </w:rPr>
            <w:t>章 统筹推进教育科技人才一体化发展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_Toc2659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5532783">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_Toc21846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构建高层次多元化人才体系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_Toc21846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965188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_Toc13334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打造一流科技创新生态</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_Toc13334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- 39 -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32C6598">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_Toc14590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第五篇  全力推进超大城市中心城区现代化治理 构建智慧高效城市治理体系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_Toc14590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F31F2DD">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_Toc26360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 xml:space="preserve">第十四章 </w:t>
          </w:r>
          <w:r>
            <w:rPr>
              <w:rFonts w:hint="default" w:ascii="Times New Roman" w:hAnsi="Times New Roman" w:eastAsia="方正黑体_GBK" w:cs="Times New Roman"/>
              <w:bCs w:val="0"/>
              <w:sz w:val="32"/>
              <w:szCs w:val="32"/>
              <w:highlight w:val="none"/>
              <w:lang w:val="en-US" w:eastAsia="zh-CN"/>
            </w:rPr>
            <w:t>加快建设融通智联城市感知系统</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_Toc26360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26A41A9">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_Toc1640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第十五章 建设高效能城市运行实战体系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_Toc1640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C5E908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_Toc25080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迭代一体化智能化公共数据平台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_Toc25080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89F023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_Toc5614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强化数字化城市运行和治理中心主轴功能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_Toc5614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223591B">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_Toc23070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第十六章 加快打造人工智能应用场景</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_Toc23070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B40ED8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_Toc5639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强化人工智能基础能力体系建设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_Toc5639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8F8C58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_Toc3794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实施</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人工智能+</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综合应用场景赋能行动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_Toc3794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FC4588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_Toc3343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打造人工智能合作伙伴生态圈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_Toc3343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2D3D5B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_Toc19947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第十七章 创新</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大综合一体化</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城市综合治理体制机制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_Toc19947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E722D0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_Toc14412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健全城市规建运治一体管控机制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_Toc14412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C6E45C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_Toc4925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 xml:space="preserve">第二节 </w:t>
          </w:r>
          <w:r>
            <w:rPr>
              <w:rFonts w:hint="default" w:ascii="Times New Roman" w:hAnsi="Times New Roman" w:eastAsia="方正楷体_GBK" w:cs="Times New Roman"/>
              <w:sz w:val="32"/>
              <w:szCs w:val="32"/>
              <w:highlight w:val="none"/>
              <w:lang w:val="en-US" w:eastAsia="zh-CN"/>
            </w:rPr>
            <w:t>深化</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rPr>
            <w:t>大综合一体化</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lang w:val="en-US" w:eastAsia="zh-CN"/>
            </w:rPr>
            <w:t>行政执法改革</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_Toc4925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C4C8CE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_Toc4442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健全城市共建共治共享机制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_Toc4442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7D0D1DF">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_Toc4774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44"/>
              <w:sz w:val="32"/>
              <w:szCs w:val="32"/>
              <w:highlight w:val="none"/>
            </w:rPr>
            <w:t>第</w:t>
          </w:r>
          <w:r>
            <w:rPr>
              <w:rFonts w:hint="default" w:ascii="Times New Roman" w:hAnsi="Times New Roman" w:eastAsia="方正黑体_GBK" w:cs="Times New Roman"/>
              <w:kern w:val="44"/>
              <w:sz w:val="32"/>
              <w:szCs w:val="32"/>
              <w:highlight w:val="none"/>
              <w:lang w:val="en-US" w:eastAsia="zh-CN"/>
            </w:rPr>
            <w:t>六</w:t>
          </w:r>
          <w:r>
            <w:rPr>
              <w:rFonts w:hint="default" w:ascii="Times New Roman" w:hAnsi="Times New Roman" w:eastAsia="方正黑体_GBK" w:cs="Times New Roman"/>
              <w:kern w:val="44"/>
              <w:sz w:val="32"/>
              <w:szCs w:val="32"/>
              <w:highlight w:val="none"/>
            </w:rPr>
            <w:t>篇 牢牢把握扩大内需战略基点</w:t>
          </w:r>
          <w:r>
            <w:rPr>
              <w:rFonts w:hint="default" w:ascii="Times New Roman" w:hAnsi="Times New Roman" w:eastAsia="方正黑体_GBK" w:cs="Times New Roman"/>
              <w:kern w:val="44"/>
              <w:sz w:val="32"/>
              <w:szCs w:val="32"/>
              <w:highlight w:val="none"/>
              <w:lang w:val="en-US" w:eastAsia="zh-CN"/>
            </w:rPr>
            <w:t xml:space="preserve"> </w:t>
          </w:r>
          <w:r>
            <w:rPr>
              <w:rFonts w:hint="default" w:ascii="Times New Roman" w:hAnsi="Times New Roman" w:eastAsia="方正黑体_GBK" w:cs="Times New Roman"/>
              <w:kern w:val="44"/>
              <w:sz w:val="32"/>
              <w:szCs w:val="32"/>
              <w:highlight w:val="none"/>
            </w:rPr>
            <w:t>全面释放发展潜力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_Toc4774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5D29854">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_Toc25229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第十八章 全面提升消费品质能级</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_Toc25229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37909C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_Toc25448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第一节 大力集聚高端消费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_Toc25448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1B92F9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第二节 发展新型特色消费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46708E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_Toc24460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第三节 提质扩容服务消费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_Toc24460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8B532C9">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_Toc23710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第十九章 创新多元融合消费场景</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_Toc23710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AE1DE56">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_Toc7969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 xml:space="preserve">第一节 </w:t>
          </w:r>
          <w:r>
            <w:rPr>
              <w:rFonts w:hint="default" w:ascii="Times New Roman" w:hAnsi="Times New Roman" w:eastAsia="方正楷体_GBK" w:cs="Times New Roman"/>
              <w:sz w:val="32"/>
              <w:szCs w:val="32"/>
              <w:highlight w:val="none"/>
              <w:lang w:val="en-US" w:eastAsia="zh-CN"/>
            </w:rPr>
            <w:t>强化</w:t>
          </w:r>
          <w:r>
            <w:rPr>
              <w:rFonts w:hint="default" w:ascii="Times New Roman" w:hAnsi="Times New Roman" w:eastAsia="方正楷体_GBK" w:cs="Times New Roman"/>
              <w:sz w:val="32"/>
              <w:szCs w:val="32"/>
              <w:highlight w:val="none"/>
            </w:rPr>
            <w:t>地标</w:t>
          </w:r>
          <w:r>
            <w:rPr>
              <w:rFonts w:hint="default" w:ascii="Times New Roman" w:hAnsi="Times New Roman" w:eastAsia="方正楷体_GBK" w:cs="Times New Roman"/>
              <w:sz w:val="32"/>
              <w:szCs w:val="32"/>
              <w:highlight w:val="none"/>
              <w:lang w:val="en-US" w:eastAsia="zh-CN"/>
            </w:rPr>
            <w:t>商圈</w:t>
          </w:r>
          <w:r>
            <w:rPr>
              <w:rFonts w:hint="default" w:ascii="Times New Roman" w:hAnsi="Times New Roman" w:eastAsia="方正楷体_GBK" w:cs="Times New Roman"/>
              <w:sz w:val="32"/>
              <w:szCs w:val="32"/>
              <w:highlight w:val="none"/>
            </w:rPr>
            <w:t>场景引领</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_Toc7969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B75D42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_Toc30110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第二节 促进消费场景多元融合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_Toc30110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5256B4B">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_Toc30345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第二十章 激发重点群体消费活力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_Toc30345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17A8FB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_Toc2901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第一节 大力发展美丽消费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_Toc2901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- 49 -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8DA8443">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_Toc22590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第二节 积极发展育幼消费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_Toc22590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EE27FA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_Toc6604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第三节 加快发展情绪消费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_Toc6604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6B48CC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_Toc15795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第四节 支持拓展银发消费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_Toc15795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49E2D32">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_Toc13301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第二十一章 完善消费升级支撑体系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_Toc13301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C44464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_Toc6203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第二十二章 全面提升投资效益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_Toc6203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B55105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_Toc3957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第一节 加大力度投资于人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_Toc3957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AF710A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_Toc4631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第二节 创新市场主导的有效投资内生增长机制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_Toc4631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CA54373">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_Toc5101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第二十三章 深度融入全国统一大市场建设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_Toc5101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EFE3000">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_Toc26916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pacing w:val="-11"/>
              <w:kern w:val="44"/>
              <w:sz w:val="32"/>
              <w:szCs w:val="32"/>
              <w:highlight w:val="none"/>
            </w:rPr>
            <w:t>第</w:t>
          </w:r>
          <w:r>
            <w:rPr>
              <w:rFonts w:hint="default" w:ascii="Times New Roman" w:hAnsi="Times New Roman" w:eastAsia="方正黑体_GBK" w:cs="Times New Roman"/>
              <w:spacing w:val="-11"/>
              <w:kern w:val="44"/>
              <w:sz w:val="32"/>
              <w:szCs w:val="32"/>
              <w:highlight w:val="none"/>
              <w:lang w:val="en-US" w:eastAsia="zh-CN"/>
            </w:rPr>
            <w:t>七</w:t>
          </w:r>
          <w:r>
            <w:rPr>
              <w:rFonts w:hint="default" w:ascii="Times New Roman" w:hAnsi="Times New Roman" w:eastAsia="方正黑体_GBK" w:cs="Times New Roman"/>
              <w:spacing w:val="-11"/>
              <w:kern w:val="44"/>
              <w:sz w:val="32"/>
              <w:szCs w:val="32"/>
              <w:highlight w:val="none"/>
            </w:rPr>
            <w:t>篇 发挥经济体制改革牵引作用</w:t>
          </w:r>
          <w:r>
            <w:rPr>
              <w:rFonts w:hint="default" w:ascii="Times New Roman" w:hAnsi="Times New Roman" w:eastAsia="方正黑体_GBK" w:cs="Times New Roman"/>
              <w:spacing w:val="-11"/>
              <w:kern w:val="44"/>
              <w:sz w:val="32"/>
              <w:szCs w:val="32"/>
              <w:highlight w:val="none"/>
              <w:lang w:eastAsia="zh-CN"/>
            </w:rPr>
            <w:t xml:space="preserve"> </w:t>
          </w:r>
          <w:r>
            <w:rPr>
              <w:rFonts w:hint="default" w:ascii="Times New Roman" w:hAnsi="Times New Roman" w:eastAsia="方正黑体_GBK" w:cs="Times New Roman"/>
              <w:spacing w:val="-11"/>
              <w:kern w:val="44"/>
              <w:sz w:val="32"/>
              <w:szCs w:val="32"/>
              <w:highlight w:val="none"/>
            </w:rPr>
            <w:t>激发内生动力和发展活力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_Toc26916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C89D79F">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_Toc12679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四</w:t>
          </w:r>
          <w:r>
            <w:rPr>
              <w:rFonts w:hint="default" w:ascii="Times New Roman" w:hAnsi="Times New Roman" w:eastAsia="方正黑体_GBK" w:cs="Times New Roman"/>
              <w:sz w:val="32"/>
              <w:szCs w:val="32"/>
              <w:highlight w:val="none"/>
            </w:rPr>
            <w:t>章 充分激发各类经营主体活力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_Toc12679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34F145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_Toc14265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推动国资国企改革纵深发展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_Toc14265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78B868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_Toc8387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促进民营经济高质量发展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_Toc8387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D3ECB0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_Toc26037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第三节 </w:t>
          </w:r>
          <w:r>
            <w:rPr>
              <w:rFonts w:hint="default" w:ascii="Times New Roman" w:hAnsi="Times New Roman" w:eastAsia="方正楷体_GBK" w:cs="Times New Roman"/>
              <w:sz w:val="32"/>
              <w:szCs w:val="32"/>
              <w:highlight w:val="none"/>
              <w:lang w:val="en-US" w:eastAsia="zh-CN"/>
            </w:rPr>
            <w:t>完善外资企业全流程服务体系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_Toc26037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CCEBDE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_Toc32221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eastAsia="zh-CN"/>
            </w:rPr>
            <w:t>四</w:t>
          </w:r>
          <w:r>
            <w:rPr>
              <w:rFonts w:hint="default" w:ascii="Times New Roman" w:hAnsi="Times New Roman" w:eastAsia="方正楷体_GBK" w:cs="Times New Roman"/>
              <w:sz w:val="32"/>
              <w:szCs w:val="32"/>
              <w:highlight w:val="none"/>
            </w:rPr>
            <w:t>节 深化</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rPr>
            <w:t>楼均论英雄</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rPr>
            <w:t>改革</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_Toc32221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C08F79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_Toc2774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五</w:t>
          </w:r>
          <w:r>
            <w:rPr>
              <w:rFonts w:hint="default" w:ascii="Times New Roman" w:hAnsi="Times New Roman" w:eastAsia="方正黑体_GBK" w:cs="Times New Roman"/>
              <w:sz w:val="32"/>
              <w:szCs w:val="32"/>
              <w:highlight w:val="none"/>
            </w:rPr>
            <w:t>章 扎实推进全域要素市场化配置综合改革试点</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_Toc2774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CD9CEB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_Toc1099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深化传统要素市场化配置改革</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_Toc1099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11E5E8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_Toc5313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第二节 加快融入新型要素市场体系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_Toc5313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E93F3E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_Toc4884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第三节 全面提升要素协同配置效率</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_Toc4884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48DAC7A">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_Toc22124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六</w:t>
          </w:r>
          <w:r>
            <w:rPr>
              <w:rFonts w:hint="default" w:ascii="Times New Roman" w:hAnsi="Times New Roman" w:eastAsia="方正黑体_GBK" w:cs="Times New Roman"/>
              <w:sz w:val="32"/>
              <w:szCs w:val="32"/>
              <w:highlight w:val="none"/>
            </w:rPr>
            <w:t>章 持续深入打造一流营商环境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_Toc22124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ACDCD5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_Toc10524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第一节 数字赋能政务服务效能提升</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_Toc10524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- 59 -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CC8CBA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_Toc5072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第二节 </w:t>
          </w:r>
          <w:r>
            <w:rPr>
              <w:rFonts w:hint="default" w:ascii="Times New Roman" w:hAnsi="Times New Roman" w:eastAsia="方正楷体_GBK" w:cs="Times New Roman"/>
              <w:sz w:val="32"/>
              <w:szCs w:val="32"/>
              <w:highlight w:val="none"/>
              <w:lang w:val="en-US" w:eastAsia="zh-CN"/>
            </w:rPr>
            <w:t>创新</w:t>
          </w:r>
          <w:r>
            <w:rPr>
              <w:rFonts w:hint="default" w:ascii="Times New Roman" w:hAnsi="Times New Roman" w:eastAsia="方正楷体_GBK" w:cs="Times New Roman"/>
              <w:sz w:val="32"/>
              <w:szCs w:val="32"/>
              <w:highlight w:val="none"/>
            </w:rPr>
            <w:t>企业</w:t>
          </w:r>
          <w:r>
            <w:rPr>
              <w:rFonts w:hint="default" w:ascii="Times New Roman" w:hAnsi="Times New Roman" w:eastAsia="方正楷体_GBK" w:cs="Times New Roman"/>
              <w:sz w:val="32"/>
              <w:szCs w:val="32"/>
              <w:highlight w:val="none"/>
              <w:lang w:val="en-US" w:eastAsia="zh-CN"/>
            </w:rPr>
            <w:t>主体服务和市场监管</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_Toc5072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6DAF9C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_Toc16538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七</w:t>
          </w:r>
          <w:r>
            <w:rPr>
              <w:rFonts w:hint="default" w:ascii="Times New Roman" w:hAnsi="Times New Roman" w:eastAsia="方正黑体_GBK" w:cs="Times New Roman"/>
              <w:sz w:val="32"/>
              <w:szCs w:val="32"/>
              <w:highlight w:val="none"/>
            </w:rPr>
            <w:t>章 创新投融资体制机制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_Toc16538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FDB908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_Toc29693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八</w:t>
          </w:r>
          <w:r>
            <w:rPr>
              <w:rFonts w:hint="default" w:ascii="Times New Roman" w:hAnsi="Times New Roman" w:eastAsia="方正黑体_GBK" w:cs="Times New Roman"/>
              <w:sz w:val="32"/>
              <w:szCs w:val="32"/>
              <w:highlight w:val="none"/>
            </w:rPr>
            <w:t xml:space="preserve">章 </w:t>
          </w:r>
          <w:r>
            <w:rPr>
              <w:rFonts w:hint="default" w:ascii="Times New Roman" w:hAnsi="Times New Roman" w:eastAsia="方正黑体_GBK" w:cs="Times New Roman"/>
              <w:sz w:val="32"/>
              <w:szCs w:val="32"/>
              <w:highlight w:val="none"/>
              <w:lang w:val="en-US" w:eastAsia="zh-CN"/>
            </w:rPr>
            <w:t>落实</w:t>
          </w:r>
          <w:r>
            <w:rPr>
              <w:rFonts w:hint="default" w:ascii="Times New Roman" w:hAnsi="Times New Roman" w:eastAsia="方正黑体_GBK" w:cs="Times New Roman"/>
              <w:sz w:val="32"/>
              <w:szCs w:val="32"/>
              <w:highlight w:val="none"/>
            </w:rPr>
            <w:t>以数字财政为牵引的</w:t>
          </w:r>
          <w:r>
            <w:rPr>
              <w:rFonts w:hint="default" w:ascii="Times New Roman" w:hAnsi="Times New Roman" w:eastAsia="方正黑体_GBK" w:cs="Times New Roman"/>
              <w:sz w:val="32"/>
              <w:szCs w:val="32"/>
              <w:highlight w:val="none"/>
              <w:lang w:val="en-US" w:eastAsia="zh-CN"/>
            </w:rPr>
            <w:t>大</w:t>
          </w:r>
          <w:r>
            <w:rPr>
              <w:rFonts w:hint="default" w:ascii="Times New Roman" w:hAnsi="Times New Roman" w:eastAsia="方正黑体_GBK" w:cs="Times New Roman"/>
              <w:sz w:val="32"/>
              <w:szCs w:val="32"/>
              <w:highlight w:val="none"/>
            </w:rPr>
            <w:t>财政治理</w:t>
          </w:r>
          <w:r>
            <w:rPr>
              <w:rFonts w:hint="default" w:ascii="Times New Roman" w:hAnsi="Times New Roman" w:eastAsia="方正黑体_GBK" w:cs="Times New Roman"/>
              <w:sz w:val="32"/>
              <w:szCs w:val="32"/>
              <w:highlight w:val="none"/>
              <w:lang w:val="en-US" w:eastAsia="zh-CN"/>
            </w:rPr>
            <w:t>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_Toc29693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E36274D">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_Toc27460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44"/>
              <w:sz w:val="32"/>
              <w:szCs w:val="32"/>
              <w:lang w:val="en-US" w:eastAsia="zh-CN"/>
            </w:rPr>
            <w:t xml:space="preserve">第八篇 </w:t>
          </w:r>
          <w:r>
            <w:rPr>
              <w:rFonts w:hint="default" w:ascii="Times New Roman" w:hAnsi="Times New Roman" w:eastAsia="方正黑体_GBK" w:cs="Times New Roman"/>
              <w:kern w:val="44"/>
              <w:sz w:val="32"/>
              <w:szCs w:val="32"/>
              <w:highlight w:val="none"/>
              <w:lang w:val="en-US" w:eastAsia="zh-CN"/>
            </w:rPr>
            <w:t>持续扩大高水平对外开放 努力在西部地区带头开放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_Toc27460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12DE918">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_Toc23815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44"/>
              <w:sz w:val="32"/>
              <w:szCs w:val="32"/>
              <w:highlight w:val="none"/>
              <w:lang w:val="en-US" w:eastAsia="zh-CN"/>
            </w:rPr>
            <w:t>带动开放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_Toc23815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2FCE8F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_Toc6287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第二十</w:t>
          </w:r>
          <w:r>
            <w:rPr>
              <w:rFonts w:hint="default" w:ascii="Times New Roman" w:hAnsi="Times New Roman" w:eastAsia="方正黑体_GBK" w:cs="Times New Roman"/>
              <w:sz w:val="32"/>
              <w:szCs w:val="32"/>
              <w:highlight w:val="none"/>
              <w:lang w:val="en-US" w:eastAsia="zh-CN"/>
            </w:rPr>
            <w:t>九</w:t>
          </w:r>
          <w:r>
            <w:rPr>
              <w:rFonts w:hint="default" w:ascii="Times New Roman" w:hAnsi="Times New Roman" w:eastAsia="方正黑体_GBK" w:cs="Times New Roman"/>
              <w:sz w:val="32"/>
              <w:szCs w:val="32"/>
              <w:highlight w:val="none"/>
            </w:rPr>
            <w:t xml:space="preserve">章 </w:t>
          </w:r>
          <w:r>
            <w:rPr>
              <w:rFonts w:hint="default" w:ascii="Times New Roman" w:hAnsi="Times New Roman" w:eastAsia="方正黑体_GBK" w:cs="Times New Roman"/>
              <w:sz w:val="32"/>
              <w:szCs w:val="32"/>
              <w:highlight w:val="none"/>
              <w:lang w:val="en-US" w:eastAsia="zh-CN"/>
            </w:rPr>
            <w:t>全面提升</w:t>
          </w:r>
          <w:r>
            <w:rPr>
              <w:rFonts w:hint="default" w:ascii="Times New Roman" w:hAnsi="Times New Roman" w:eastAsia="方正黑体_GBK" w:cs="Times New Roman"/>
              <w:sz w:val="32"/>
              <w:szCs w:val="32"/>
              <w:highlight w:val="none"/>
            </w:rPr>
            <w:t>开放平台发展能级</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_Toc6287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99421A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_Toc16699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rPr>
            <w:t>一</w:t>
          </w:r>
          <w:r>
            <w:rPr>
              <w:rFonts w:hint="default" w:ascii="Times New Roman" w:hAnsi="Times New Roman" w:eastAsia="方正楷体_GBK" w:cs="Times New Roman"/>
              <w:sz w:val="32"/>
              <w:szCs w:val="32"/>
              <w:highlight w:val="none"/>
            </w:rPr>
            <w:t>节 打造中新互联互通</w:t>
          </w:r>
          <w:r>
            <w:rPr>
              <w:rFonts w:hint="default" w:ascii="Times New Roman" w:hAnsi="Times New Roman" w:eastAsia="方正楷体_GBK" w:cs="Times New Roman"/>
              <w:sz w:val="32"/>
              <w:szCs w:val="32"/>
              <w:highlight w:val="none"/>
              <w:lang w:val="en-US" w:eastAsia="zh-CN"/>
            </w:rPr>
            <w:t>标志性成果</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_Toc16699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16805D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_Toc29790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rPr>
            <w:t>二</w:t>
          </w:r>
          <w:r>
            <w:rPr>
              <w:rFonts w:hint="default" w:ascii="Times New Roman" w:hAnsi="Times New Roman" w:eastAsia="方正楷体_GBK" w:cs="Times New Roman"/>
              <w:sz w:val="32"/>
              <w:szCs w:val="32"/>
              <w:highlight w:val="none"/>
            </w:rPr>
            <w:t>节 深化落实自贸试验区提升战略</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_Toc29790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33A3F5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_Toc22193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第三节 高质量建设国际货代集聚区核心区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_Toc22193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005E80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_Toc28950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w:t>
          </w:r>
          <w:r>
            <w:rPr>
              <w:rFonts w:hint="default" w:ascii="Times New Roman" w:hAnsi="Times New Roman" w:eastAsia="方正黑体_GBK" w:cs="Times New Roman"/>
              <w:sz w:val="32"/>
              <w:szCs w:val="32"/>
              <w:highlight w:val="none"/>
              <w:lang w:val="en-US" w:eastAsia="zh-CN"/>
            </w:rPr>
            <w:t>三十</w:t>
          </w:r>
          <w:r>
            <w:rPr>
              <w:rFonts w:hint="default" w:ascii="Times New Roman" w:hAnsi="Times New Roman" w:eastAsia="方正黑体_GBK" w:cs="Times New Roman"/>
              <w:sz w:val="32"/>
              <w:szCs w:val="32"/>
              <w:highlight w:val="none"/>
            </w:rPr>
            <w:t>章 提升开放</w:t>
          </w:r>
          <w:r>
            <w:rPr>
              <w:rFonts w:hint="default" w:ascii="Times New Roman" w:hAnsi="Times New Roman" w:eastAsia="方正黑体_GBK" w:cs="Times New Roman"/>
              <w:sz w:val="32"/>
              <w:szCs w:val="32"/>
              <w:highlight w:val="none"/>
              <w:lang w:val="en-US" w:eastAsia="zh-CN"/>
            </w:rPr>
            <w:t>型</w:t>
          </w:r>
          <w:r>
            <w:rPr>
              <w:rFonts w:hint="default" w:ascii="Times New Roman" w:hAnsi="Times New Roman" w:eastAsia="方正黑体_GBK" w:cs="Times New Roman"/>
              <w:sz w:val="32"/>
              <w:szCs w:val="32"/>
              <w:highlight w:val="none"/>
            </w:rPr>
            <w:t>经济规模质量</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_Toc28950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4CB5CE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_Toc26580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第一节 </w:t>
          </w:r>
          <w:r>
            <w:rPr>
              <w:rFonts w:hint="default" w:ascii="Times New Roman" w:hAnsi="Times New Roman" w:eastAsia="方正楷体_GBK" w:cs="Times New Roman"/>
              <w:sz w:val="32"/>
              <w:szCs w:val="32"/>
              <w:highlight w:val="none"/>
              <w:lang w:val="en-US" w:eastAsia="zh-CN"/>
            </w:rPr>
            <w:t>加快推进高水平</w:t>
          </w:r>
          <w:r>
            <w:rPr>
              <w:rFonts w:hint="default" w:ascii="Times New Roman" w:hAnsi="Times New Roman" w:eastAsia="方正楷体_GBK" w:cs="Times New Roman"/>
              <w:sz w:val="32"/>
              <w:szCs w:val="32"/>
              <w:highlight w:val="none"/>
            </w:rPr>
            <w:t>制度型开放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_Toc26580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3E7D89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_Toc12922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 xml:space="preserve">第二节 </w:t>
          </w:r>
          <w:r>
            <w:rPr>
              <w:rFonts w:hint="default" w:ascii="Times New Roman" w:hAnsi="Times New Roman" w:eastAsia="方正楷体_GBK" w:cs="Times New Roman"/>
              <w:sz w:val="32"/>
              <w:szCs w:val="32"/>
              <w:highlight w:val="none"/>
              <w:lang w:val="en-US" w:eastAsia="zh-CN"/>
            </w:rPr>
            <w:t>推动对外贸易创新发展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_Toc12922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72A05F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_Toc32599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rPr>
            <w:t>三</w:t>
          </w:r>
          <w:r>
            <w:rPr>
              <w:rFonts w:hint="default" w:ascii="Times New Roman" w:hAnsi="Times New Roman" w:eastAsia="方正楷体_GBK" w:cs="Times New Roman"/>
              <w:sz w:val="32"/>
              <w:szCs w:val="32"/>
              <w:highlight w:val="none"/>
            </w:rPr>
            <w:t xml:space="preserve">节 </w:t>
          </w:r>
          <w:r>
            <w:rPr>
              <w:rFonts w:hint="default" w:ascii="Times New Roman" w:hAnsi="Times New Roman" w:eastAsia="方正楷体_GBK" w:cs="Times New Roman"/>
              <w:sz w:val="32"/>
              <w:szCs w:val="32"/>
              <w:highlight w:val="none"/>
              <w:lang w:val="en-US" w:eastAsia="zh-CN"/>
            </w:rPr>
            <w:t>构建高质量外向型市场格局</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_Toc32599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3BD1F77">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_Toc9725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rPr>
            <w:t>第三十</w:t>
          </w:r>
          <w:r>
            <w:rPr>
              <w:rFonts w:hint="default" w:ascii="Times New Roman" w:hAnsi="Times New Roman" w:eastAsia="方正黑体_GBK" w:cs="Times New Roman"/>
              <w:sz w:val="32"/>
              <w:szCs w:val="32"/>
              <w:highlight w:val="none"/>
              <w:lang w:val="en-US" w:eastAsia="zh-CN"/>
            </w:rPr>
            <w:t>一</w:t>
          </w:r>
          <w:r>
            <w:rPr>
              <w:rFonts w:hint="default" w:ascii="Times New Roman" w:hAnsi="Times New Roman" w:eastAsia="方正黑体_GBK" w:cs="Times New Roman"/>
              <w:sz w:val="32"/>
              <w:szCs w:val="32"/>
              <w:highlight w:val="none"/>
            </w:rPr>
            <w:t>章 高水平</w:t>
          </w:r>
          <w:r>
            <w:rPr>
              <w:rFonts w:hint="default" w:ascii="Times New Roman" w:hAnsi="Times New Roman" w:eastAsia="方正黑体_GBK" w:cs="Times New Roman"/>
              <w:sz w:val="32"/>
              <w:szCs w:val="32"/>
              <w:highlight w:val="none"/>
              <w:lang w:val="en-US" w:eastAsia="zh-CN"/>
            </w:rPr>
            <w:t>建成</w:t>
          </w:r>
          <w:r>
            <w:rPr>
              <w:rFonts w:hint="default" w:ascii="Times New Roman" w:hAnsi="Times New Roman" w:eastAsia="方正黑体_GBK" w:cs="Times New Roman"/>
              <w:sz w:val="32"/>
              <w:szCs w:val="32"/>
              <w:highlight w:val="none"/>
            </w:rPr>
            <w:t>中西部国际交往中心核心区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_Toc9725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C57DD5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_Toc3910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 xml:space="preserve">第一节 </w:t>
          </w:r>
          <w:r>
            <w:rPr>
              <w:rFonts w:hint="default" w:ascii="Times New Roman" w:hAnsi="Times New Roman" w:eastAsia="方正楷体_GBK" w:cs="Times New Roman"/>
              <w:sz w:val="32"/>
              <w:szCs w:val="32"/>
              <w:highlight w:val="none"/>
            </w:rPr>
            <w:t>深化</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rPr>
            <w:t>一带一路</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楷体_GBK" w:cs="Times New Roman"/>
              <w:sz w:val="32"/>
              <w:szCs w:val="32"/>
              <w:highlight w:val="none"/>
            </w:rPr>
            <w:t>产业链国际合作</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_Toc3910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216A54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_Toc27885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丰富多元开放的国际交往体系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_Toc27885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7C8CA84">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_Toc13286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spacing w:val="-6"/>
              <w:kern w:val="44"/>
              <w:sz w:val="32"/>
              <w:szCs w:val="32"/>
              <w:highlight w:val="none"/>
              <w:lang w:val="en-US" w:eastAsia="zh-CN"/>
            </w:rPr>
            <w:t>第九篇 促进城市品质焕新升级 全力建设宜居宜业美好城市</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_Toc13286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523848F">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_Toc31199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 xml:space="preserve">第三十二章 </w:t>
          </w:r>
          <w:r>
            <w:rPr>
              <w:rFonts w:hint="default" w:ascii="Times New Roman" w:hAnsi="Times New Roman" w:eastAsia="方正黑体_GBK" w:cs="Times New Roman"/>
              <w:kern w:val="2"/>
              <w:sz w:val="32"/>
              <w:szCs w:val="32"/>
              <w:highlight w:val="none"/>
              <w:lang w:val="en-US" w:eastAsia="zh-CN" w:bidi="ar-SA"/>
            </w:rPr>
            <w:t>优化城市区域功能布局</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_Toc31199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CBEAF8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_Toc26425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pacing w:val="10"/>
              <w:kern w:val="2"/>
              <w:sz w:val="32"/>
              <w:szCs w:val="32"/>
              <w:highlight w:val="none"/>
              <w:lang w:val="en-US" w:eastAsia="zh-CN" w:bidi="ar-SA"/>
            </w:rPr>
            <w:t>第一节 强化</w:t>
          </w:r>
          <w:r>
            <w:rPr>
              <w:rFonts w:hint="eastAsia" w:ascii="Times New Roman" w:hAnsi="Times New Roman" w:eastAsia="方正仿宋_GBK" w:cs="Times New Roman"/>
              <w:spacing w:val="10"/>
              <w:kern w:val="2"/>
              <w:sz w:val="32"/>
              <w:szCs w:val="32"/>
              <w:highlight w:val="none"/>
              <w:lang w:val="en-US" w:eastAsia="zh-CN" w:bidi="ar-SA"/>
            </w:rPr>
            <w:t>“</w:t>
          </w:r>
          <w:r>
            <w:rPr>
              <w:rFonts w:hint="default" w:ascii="Times New Roman" w:hAnsi="Times New Roman" w:eastAsia="方正楷体_GBK" w:cs="Times New Roman"/>
              <w:spacing w:val="10"/>
              <w:kern w:val="2"/>
              <w:sz w:val="32"/>
              <w:szCs w:val="32"/>
              <w:highlight w:val="none"/>
              <w:lang w:val="en-US" w:eastAsia="zh-CN" w:bidi="ar-SA"/>
            </w:rPr>
            <w:t>一核</w:t>
          </w:r>
          <w:r>
            <w:rPr>
              <w:rFonts w:hint="eastAsia" w:ascii="Times New Roman" w:hAnsi="Times New Roman" w:eastAsia="方正仿宋_GBK" w:cs="Times New Roman"/>
              <w:spacing w:val="10"/>
              <w:kern w:val="2"/>
              <w:sz w:val="32"/>
              <w:szCs w:val="32"/>
              <w:highlight w:val="none"/>
              <w:lang w:val="en-US" w:eastAsia="zh-CN" w:bidi="ar-SA"/>
            </w:rPr>
            <w:t>”</w:t>
          </w:r>
          <w:r>
            <w:rPr>
              <w:rFonts w:hint="default" w:ascii="Times New Roman" w:hAnsi="Times New Roman" w:eastAsia="方正楷体_GBK" w:cs="Times New Roman"/>
              <w:spacing w:val="10"/>
              <w:kern w:val="2"/>
              <w:sz w:val="32"/>
              <w:szCs w:val="32"/>
              <w:highlight w:val="none"/>
              <w:lang w:val="en-US" w:eastAsia="zh-CN" w:bidi="ar-SA"/>
            </w:rPr>
            <w:t>引领示范</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_Toc26425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89402F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_Toc29066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第二节 深化</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两翼</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协同带动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_Toc29066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4AA731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_Toc27375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第三节 提升</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三带</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涵养品质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_Toc27375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- 69 -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E5F5E5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_Toc18276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第四节 实化</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五片区</w:t>
          </w:r>
          <w:r>
            <w:rPr>
              <w:rFonts w:hint="eastAsia" w:ascii="Times New Roman" w:hAnsi="Times New Roman" w:eastAsia="方正仿宋_GBK" w:cs="Times New Roman"/>
              <w:bCs w:val="0"/>
              <w:kern w:val="2"/>
              <w:sz w:val="32"/>
              <w:szCs w:val="32"/>
              <w:highlight w:val="none"/>
              <w:lang w:val="en-US" w:eastAsia="zh-CN" w:bidi="ar-SA"/>
            </w:rPr>
            <w:t>”</w:t>
          </w:r>
          <w:r>
            <w:rPr>
              <w:rFonts w:hint="default" w:ascii="Times New Roman" w:hAnsi="Times New Roman" w:eastAsia="方正楷体_GBK" w:cs="Times New Roman"/>
              <w:bCs w:val="0"/>
              <w:kern w:val="2"/>
              <w:sz w:val="32"/>
              <w:szCs w:val="32"/>
              <w:highlight w:val="none"/>
              <w:lang w:val="en-US" w:eastAsia="zh-CN" w:bidi="ar-SA"/>
            </w:rPr>
            <w:t>发展支撑</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_Toc18276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1B48105">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_Toc25347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i w:val="0"/>
              <w:iCs w:val="0"/>
              <w:caps w:val="0"/>
              <w:spacing w:val="0"/>
              <w:kern w:val="0"/>
              <w:sz w:val="32"/>
              <w:szCs w:val="32"/>
              <w:highlight w:val="none"/>
              <w:shd w:val="clear" w:color="auto" w:fill="FFFFFF"/>
              <w:lang w:val="en-US" w:eastAsia="zh-CN"/>
            </w:rPr>
            <w:t>第三十三章 高质量开展可持续城市更新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_Toc25347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903502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_Toc7261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kern w:val="2"/>
              <w:sz w:val="32"/>
              <w:szCs w:val="32"/>
              <w:highlight w:val="none"/>
              <w:lang w:val="en-US" w:eastAsia="zh-CN" w:bidi="ar-SA"/>
            </w:rPr>
            <w:t xml:space="preserve">第一节 </w:t>
          </w:r>
          <w:r>
            <w:rPr>
              <w:rFonts w:hint="default" w:ascii="Times New Roman" w:hAnsi="Times New Roman" w:eastAsia="方正楷体_GBK" w:cs="Times New Roman"/>
              <w:sz w:val="32"/>
              <w:szCs w:val="32"/>
              <w:highlight w:val="none"/>
              <w:lang w:val="en-US" w:eastAsia="zh-CN"/>
            </w:rPr>
            <w:t>推动城市片区更新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_Toc7261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8CECE7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_Toc11805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推进老旧小区改造</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_Toc11805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3A7CF6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_Toc22564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推进</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山城后巷</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活力复兴</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_Toc22564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55DAEE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_Toc12848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第四节 创新多元推进机制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_Toc12848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F2D050A">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_Toc31190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第三十四章 推动现代化基础设施建设提质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_Toc31190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FDC8D1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_Toc18165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 xml:space="preserve">第一节 </w:t>
          </w:r>
          <w:r>
            <w:rPr>
              <w:rFonts w:hint="default" w:ascii="Times New Roman" w:hAnsi="Times New Roman" w:eastAsia="方正楷体_GBK" w:cs="Times New Roman"/>
              <w:bCs w:val="0"/>
              <w:sz w:val="32"/>
              <w:szCs w:val="32"/>
              <w:highlight w:val="none"/>
              <w:lang w:val="en-US" w:eastAsia="zh-CN"/>
            </w:rPr>
            <w:t>构建内畅外联的综合交通体系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_Toc18165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F450A8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_Toc17174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第二节 提质升级市政基础设施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_Toc17174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9EC8EF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_Toc29989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完善新型基础设施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_Toc29989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F47DAB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_Toc14548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第三十五章 提升城市精细化管理水平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_Toc14548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C001F7B">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_Toc14500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44"/>
              <w:sz w:val="32"/>
              <w:szCs w:val="32"/>
              <w:highlight w:val="none"/>
            </w:rPr>
            <w:t>第</w:t>
          </w:r>
          <w:r>
            <w:rPr>
              <w:rFonts w:hint="default" w:ascii="Times New Roman" w:hAnsi="Times New Roman" w:eastAsia="方正黑体_GBK" w:cs="Times New Roman"/>
              <w:kern w:val="44"/>
              <w:sz w:val="32"/>
              <w:szCs w:val="32"/>
              <w:highlight w:val="none"/>
              <w:lang w:val="en-US" w:eastAsia="zh-CN"/>
            </w:rPr>
            <w:t>十</w:t>
          </w:r>
          <w:r>
            <w:rPr>
              <w:rFonts w:hint="default" w:ascii="Times New Roman" w:hAnsi="Times New Roman" w:eastAsia="方正黑体_GBK" w:cs="Times New Roman"/>
              <w:kern w:val="44"/>
              <w:sz w:val="32"/>
              <w:szCs w:val="32"/>
              <w:highlight w:val="none"/>
            </w:rPr>
            <w:t>篇 加快建设新时代文化</w:t>
          </w:r>
          <w:r>
            <w:rPr>
              <w:rFonts w:hint="default" w:ascii="Times New Roman" w:hAnsi="Times New Roman" w:eastAsia="方正黑体_GBK" w:cs="Times New Roman"/>
              <w:kern w:val="44"/>
              <w:sz w:val="32"/>
              <w:szCs w:val="32"/>
              <w:highlight w:val="none"/>
              <w:lang w:val="en-US" w:eastAsia="zh-CN"/>
            </w:rPr>
            <w:t>旅游</w:t>
          </w:r>
          <w:r>
            <w:rPr>
              <w:rFonts w:hint="default" w:ascii="Times New Roman" w:hAnsi="Times New Roman" w:eastAsia="方正黑体_GBK" w:cs="Times New Roman"/>
              <w:kern w:val="44"/>
              <w:sz w:val="32"/>
              <w:szCs w:val="32"/>
              <w:highlight w:val="none"/>
            </w:rPr>
            <w:t>强区</w:t>
          </w:r>
          <w:r>
            <w:rPr>
              <w:rFonts w:hint="default" w:ascii="Times New Roman" w:hAnsi="Times New Roman" w:eastAsia="方正黑体_GBK" w:cs="Times New Roman"/>
              <w:kern w:val="44"/>
              <w:sz w:val="32"/>
              <w:szCs w:val="32"/>
              <w:highlight w:val="none"/>
              <w:lang w:val="en-US" w:eastAsia="zh-CN"/>
            </w:rPr>
            <w:t xml:space="preserve"> </w:t>
          </w:r>
          <w:r>
            <w:rPr>
              <w:rFonts w:hint="default" w:ascii="Times New Roman" w:hAnsi="Times New Roman" w:eastAsia="方正黑体_GBK" w:cs="Times New Roman"/>
              <w:kern w:val="44"/>
              <w:sz w:val="32"/>
              <w:szCs w:val="32"/>
              <w:highlight w:val="none"/>
            </w:rPr>
            <w:t>全面提升社会文明程度</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_Toc14500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6B7B5F5">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_Toc3915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第三十六章 全面践行社会主义核心价值观</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_Toc3915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527B81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_Toc9475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推动理想信念教育常态化制度化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_Toc9475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- 79 -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5291F0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_Toc771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巩固壮大主流思想舆论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_Toc771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C9C6F93">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_Toc1787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rPr>
            <w:t>三</w:t>
          </w:r>
          <w:r>
            <w:rPr>
              <w:rFonts w:hint="default" w:ascii="Times New Roman" w:hAnsi="Times New Roman" w:eastAsia="方正楷体_GBK" w:cs="Times New Roman"/>
              <w:sz w:val="32"/>
              <w:szCs w:val="32"/>
              <w:highlight w:val="none"/>
            </w:rPr>
            <w:t xml:space="preserve">节 </w:t>
          </w:r>
          <w:r>
            <w:rPr>
              <w:rFonts w:hint="default" w:ascii="Times New Roman" w:hAnsi="Times New Roman" w:eastAsia="方正楷体_GBK" w:cs="Times New Roman"/>
              <w:sz w:val="32"/>
              <w:szCs w:val="32"/>
              <w:highlight w:val="none"/>
              <w:lang w:val="en-US" w:eastAsia="zh-CN"/>
            </w:rPr>
            <w:t>推进新时代精神文明建设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_Toc1787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A15076D">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_Toc28380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第三十七章 加强历史文化保护传承</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_Toc28380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C1D0DA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_Toc13006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加强文物系统性保护</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_Toc13006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BFCFEA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_Toc12136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深化母城文化研究阐释与成果转化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_Toc12136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C5289B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_Toc28344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加强文化遗产活化利用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_Toc28344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2BC2D5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_Toc9761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第三十八章 大力繁荣发展文化事业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_Toc9761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B3D21B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_Toc8655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rPr>
            <w:t>第</w:t>
          </w:r>
          <w:r>
            <w:rPr>
              <w:rFonts w:hint="default" w:ascii="Times New Roman" w:hAnsi="Times New Roman" w:eastAsia="方正楷体_GBK" w:cs="Times New Roman"/>
              <w:sz w:val="32"/>
              <w:szCs w:val="32"/>
              <w:highlight w:val="none"/>
              <w:lang w:val="en-US" w:eastAsia="zh-CN"/>
            </w:rPr>
            <w:t>一</w:t>
          </w:r>
          <w:r>
            <w:rPr>
              <w:rFonts w:hint="default" w:ascii="Times New Roman" w:hAnsi="Times New Roman" w:eastAsia="方正楷体_GBK" w:cs="Times New Roman"/>
              <w:sz w:val="32"/>
              <w:szCs w:val="32"/>
              <w:highlight w:val="none"/>
            </w:rPr>
            <w:t>节 深入推进文化惠民</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_Toc8655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CA67718">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_Toc826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推动文化艺术创新发展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_Toc826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AC67F99">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_Toc29447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第三十九章 完善现代文化产业体系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_Toc29447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E7FAAB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_Toc29475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推动传统文化产业转型升级</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_Toc29475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8B23FD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_Toc8502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大力发展新质文化产业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_Toc8502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FB0510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_Toc29940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完善文化产业发展生态</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_Toc29940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CBE0A48">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_Toc25672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第四十章 打造世界知名文化旅游目的地核心区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_Toc25672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3D147C6">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_Toc2388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优化大都市文旅发展格局</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_Toc2388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DD1B93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_Toc26884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丰富高品质旅游产品供给</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_Toc26884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AE3D5F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_Toc9640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提升旅游服务智能化国际化水平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_Toc9640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61F223E">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_Toc17427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sz w:val="32"/>
              <w:szCs w:val="32"/>
              <w:highlight w:val="none"/>
              <w:lang w:val="en-US" w:eastAsia="zh-CN"/>
            </w:rPr>
            <w:t>第十一篇 顺应人民美好生活新期待 以生活品质全面提升推动共同富裕取得更多实质性突破</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_Toc17427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4CB422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_Toc30078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第四十一章 千方百计促进就业创业增收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_Toc30078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EB1A01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_Toc24104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更大力度稳定和扩大就业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_Toc24104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7A657E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_Toc1174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强化吸引人才集聚的创业服务</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_Toc1174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1011BBF">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_Toc10873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多措并举增加居民收入</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_Toc10873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DA919DD">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_Toc32250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第四十二章 加快建设全国一流教育强区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_Toc32250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F94046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_Toc16872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 xml:space="preserve">第一节 </w:t>
          </w:r>
          <w:r>
            <w:rPr>
              <w:rFonts w:hint="default" w:ascii="Times New Roman" w:hAnsi="Times New Roman" w:eastAsia="方正楷体_GBK" w:cs="Times New Roman"/>
              <w:sz w:val="32"/>
              <w:szCs w:val="32"/>
              <w:highlight w:val="none"/>
            </w:rPr>
            <w:t>实施新时代立德树人工程</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_Toc16872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EDE238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_Toc20733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打造全生命周期高质量教育体系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_Toc20733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- 89 -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3BE752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_Toc4237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完善教育保障体系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_Toc4237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3ABBF19">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_Toc21282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 xml:space="preserve">第四十三章 </w:t>
          </w:r>
          <w:r>
            <w:rPr>
              <w:rFonts w:hint="default" w:ascii="Times New Roman" w:hAnsi="Times New Roman" w:eastAsia="方正黑体_GBK" w:cs="Times New Roman"/>
              <w:sz w:val="32"/>
              <w:szCs w:val="32"/>
              <w:highlight w:val="none"/>
            </w:rPr>
            <w:t>完善多层次社会保障体系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_Toc21282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0BADED3">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_Toc28803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完善社会保险制度</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_Toc28803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8C86EF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_Toc28209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提高医疗保障水平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_Toc28209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19D7C0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_Toc9252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 xml:space="preserve">第三节 </w:t>
          </w:r>
          <w:r>
            <w:rPr>
              <w:rFonts w:hint="default" w:ascii="Times New Roman" w:hAnsi="Times New Roman" w:eastAsia="方正楷体_GBK" w:cs="Times New Roman"/>
              <w:sz w:val="32"/>
              <w:szCs w:val="32"/>
              <w:highlight w:val="none"/>
            </w:rPr>
            <w:t>完善社会救助体系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_Toc9252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150E34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_Toc9224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第四节 促进男女平等和</w:t>
          </w:r>
          <w:r>
            <w:rPr>
              <w:rFonts w:hint="default" w:ascii="Times New Roman" w:hAnsi="Times New Roman" w:eastAsia="方正楷体_GBK" w:cs="Times New Roman"/>
              <w:sz w:val="32"/>
              <w:szCs w:val="32"/>
              <w:highlight w:val="none"/>
            </w:rPr>
            <w:t>妇女</w:t>
          </w:r>
          <w:r>
            <w:rPr>
              <w:rFonts w:hint="default" w:ascii="Times New Roman" w:hAnsi="Times New Roman" w:eastAsia="方正楷体_GBK" w:cs="Times New Roman"/>
              <w:sz w:val="32"/>
              <w:szCs w:val="32"/>
              <w:highlight w:val="none"/>
              <w:lang w:val="en-US" w:eastAsia="zh-CN"/>
            </w:rPr>
            <w:t>全面发展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_Toc9224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E9C88B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_Toc29461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第五节 扎实推进拥军优抚服务</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_Toc29461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03CC138">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_Toc15854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第四十四章 持续改善人居环境品质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_Toc15854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44567C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_Toc27497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第四十五章 提供更加优质的健康服务</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_Toc27497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ACB664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_Toc26810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保障超大城市中心城区公共卫生安全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_Toc26810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9D9158D">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_Toc29932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提升医疗服务优质共享水平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_Toc29932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6B99FE2">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_Toc10835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提质</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家门口</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的健康管理服务</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_Toc10835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391E7D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_Toc2268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第四节 建设现代化体育强区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_Toc2268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7911D1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_Toc2806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第四十六章 促进人口高质量发展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_Toc2806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D7834DC">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_Toc7603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推进青年发展型城市建设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_Toc7603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0D10AC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_Toc31311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巩固提升儿童友好城市建设成效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_Toc31311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E906C2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_Toc15793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打造老龄友好型社会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_Toc15793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49D844C">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_Toc199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第四十七章 构建与人口变化相适应的公共服务体系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_Toc199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3FA58C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_Toc18868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全域构建</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15分钟高品质生活服务圈</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_Toc18868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6122181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_Toc20618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深入推进基本公共服务标准化均等化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_Toc20618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9F0684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_Toc23340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完善流动人群即时响应设施配置</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_Toc23340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- 99 -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C211D8D">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_Toc760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第十二篇 加快绿色低碳转型发展 着力建设美丽渝中</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C36597E">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_Toc28525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 xml:space="preserve">第四十八章 </w:t>
          </w:r>
          <w:r>
            <w:rPr>
              <w:rFonts w:hint="default" w:ascii="Times New Roman" w:hAnsi="Times New Roman" w:eastAsia="方正黑体_GBK" w:cs="Times New Roman"/>
              <w:sz w:val="32"/>
              <w:szCs w:val="32"/>
              <w:highlight w:val="none"/>
            </w:rPr>
            <w:t>坚持</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黑体_GBK" w:cs="Times New Roman"/>
              <w:sz w:val="32"/>
              <w:szCs w:val="32"/>
              <w:highlight w:val="none"/>
            </w:rPr>
            <w:t>双碳</w:t>
          </w:r>
          <w:r>
            <w:rPr>
              <w:rFonts w:hint="eastAsia" w:ascii="Times New Roman" w:hAnsi="Times New Roman" w:eastAsia="方正仿宋_GBK" w:cs="Times New Roman"/>
              <w:sz w:val="32"/>
              <w:szCs w:val="32"/>
              <w:highlight w:val="none"/>
              <w:lang w:eastAsia="zh-CN"/>
            </w:rPr>
            <w:t>”</w:t>
          </w:r>
          <w:r>
            <w:rPr>
              <w:rFonts w:hint="default" w:ascii="Times New Roman" w:hAnsi="Times New Roman" w:eastAsia="方正黑体_GBK" w:cs="Times New Roman"/>
              <w:sz w:val="32"/>
              <w:szCs w:val="32"/>
              <w:highlight w:val="none"/>
            </w:rPr>
            <w:t>引领推动全面绿色转型</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_Toc28525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D5DBC1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_Toc6773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完善碳排放双控机制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_Toc6773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40ECA3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_Toc17973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构建现代化的绿色低碳产业体系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_Toc17973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A3B121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_Toc29362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践行绿色低碳生活方式</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_Toc29362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D73B8B0">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_Toc11314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第四十九章  持续深入推进污染防治攻坚和生态系统优化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_Toc11314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0913C2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_Toc6205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持续深入推进污染防治攻坚</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_Toc6205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1F8707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_Toc18984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提升生态系统稳定性</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_Toc18984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61B9675">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_Toc21300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kern w:val="2"/>
              <w:sz w:val="32"/>
              <w:szCs w:val="32"/>
              <w:highlight w:val="none"/>
              <w:lang w:val="en-US" w:eastAsia="zh-CN" w:bidi="ar-SA"/>
            </w:rPr>
            <w:t xml:space="preserve">第五十章 </w:t>
          </w:r>
          <w:r>
            <w:rPr>
              <w:rFonts w:hint="default" w:ascii="Times New Roman" w:hAnsi="Times New Roman" w:eastAsia="方正黑体_GBK" w:cs="Times New Roman"/>
              <w:sz w:val="32"/>
              <w:szCs w:val="32"/>
              <w:highlight w:val="none"/>
              <w:lang w:val="en-US" w:eastAsia="zh-CN"/>
            </w:rPr>
            <w:t>构建清洁低碳安全高效新型能源体系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_Toc21300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F756FB9">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_Toc6361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第五十一章 系统塑造整体大美都市风貌</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_Toc6361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AEF6EC0">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_Toc11779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 xml:space="preserve">第一节 </w:t>
          </w:r>
          <w:r>
            <w:rPr>
              <w:rFonts w:hint="default" w:ascii="Times New Roman" w:hAnsi="Times New Roman" w:eastAsia="方正楷体_GBK" w:cs="Times New Roman"/>
              <w:bCs w:val="0"/>
              <w:sz w:val="32"/>
              <w:szCs w:val="32"/>
              <w:highlight w:val="none"/>
              <w:lang w:val="en-US" w:eastAsia="zh-CN"/>
            </w:rPr>
            <w:t>提升半岛</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美丽风貌</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_Toc11779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860275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_Toc25317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kern w:val="2"/>
              <w:sz w:val="32"/>
              <w:szCs w:val="32"/>
              <w:highlight w:val="none"/>
              <w:lang w:val="en-US" w:eastAsia="zh-CN" w:bidi="ar-SA"/>
            </w:rPr>
            <w:t>第二节</w:t>
          </w:r>
          <w:r>
            <w:rPr>
              <w:rFonts w:hint="default" w:ascii="Times New Roman" w:hAnsi="Times New Roman" w:eastAsia="方正楷体_GBK" w:cs="Times New Roman"/>
              <w:bCs w:val="0"/>
              <w:sz w:val="32"/>
              <w:szCs w:val="32"/>
              <w:highlight w:val="none"/>
              <w:lang w:val="en-US" w:eastAsia="zh-CN"/>
            </w:rPr>
            <w:t xml:space="preserve"> 打造生态</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立体绿城</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_Toc25317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902C712">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_Toc13065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第十三篇 推动平安渝中法治渝中建设 以高水平安全护航高质量发展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_Toc13065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C48FCF3">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_Toc21105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第五十二章 加强维护国家安全体系和能力建设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_Toc21105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F82431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_Toc28719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坚定捍卫政治安全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_Toc28719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8F029C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_Toc24777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防范化解重点领域风险</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_Toc24777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B8604CA">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_Toc14442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第五十三章 提升大平安体系建设水平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_Toc14442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70FDF5DA">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_Toc24676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保障食品药品安全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_Toc24676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- 108 -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58EB6A1">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_Toc6736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持续打好安全生产保卫战</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_Toc6736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B9BAE73">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_Toc23473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加强社会整体防控体系和能力建设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_Toc23473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74F11CB">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_Toc31763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第四节 加强防灾减灾救灾能力建设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_Toc31763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- 109 -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92C3742">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_Toc6030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第五十四章 建设更高水平法治渝中</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_Toc6030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AC49985">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_Toc4264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深化法治政府建设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_Toc4264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E5778B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_Toc15977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第二节 推进公正高效权威司法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_Toc15977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- 110 -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5846A44">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_Toc14057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第三节 推进法治社会建设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_Toc14057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3CE9E625">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_Toc8525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sz w:val="32"/>
              <w:szCs w:val="32"/>
              <w:highlight w:val="none"/>
              <w:lang w:val="en-US" w:eastAsia="zh-CN"/>
            </w:rPr>
            <w:t>第五十五章 推进社会治理现代化</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_Toc8525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34C29C9">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_Toc9832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highlight w:val="none"/>
              <w:lang w:val="en-US" w:eastAsia="zh-CN"/>
            </w:rPr>
            <w:t>第一节 健全党建引领基层治理体系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_Toc9832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- 111 -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B15EBA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_Toc29407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sz w:val="32"/>
              <w:szCs w:val="32"/>
              <w:lang w:val="en-US" w:eastAsia="zh-CN"/>
            </w:rPr>
            <w:t xml:space="preserve">第二节 </w:t>
          </w:r>
          <w:r>
            <w:rPr>
              <w:rFonts w:hint="default" w:ascii="Times New Roman" w:hAnsi="Times New Roman" w:eastAsia="方正楷体_GBK" w:cs="Times New Roman"/>
              <w:sz w:val="32"/>
              <w:szCs w:val="32"/>
              <w:highlight w:val="none"/>
              <w:lang w:val="en-US" w:eastAsia="zh-CN"/>
            </w:rPr>
            <w:t>深化新时代</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枫桥经验</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楷体_GBK" w:cs="Times New Roman"/>
              <w:sz w:val="32"/>
              <w:szCs w:val="32"/>
              <w:highlight w:val="none"/>
              <w:lang w:val="en-US" w:eastAsia="zh-CN"/>
            </w:rPr>
            <w:t>渝中实践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_Toc29407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- 112 -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5CF0AC9">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_Toc30935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第十四篇 健全规划实施保障机制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_Toc30935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AA00AD3">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_Toc15426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第五十六章 坚持党对经济社会发展的全面领导</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_Toc15426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- 113 -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9488116">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_Toc27578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第五十七章 深化全过程人民民主渝中实践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_Toc27578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- 114 -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26BEAC1">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_Toc17178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sz w:val="32"/>
              <w:szCs w:val="32"/>
              <w:highlight w:val="none"/>
              <w:lang w:val="en-US" w:eastAsia="zh-CN"/>
            </w:rPr>
            <w:t>第五十八章 加强规划组织实施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_Toc17178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4F00050E">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_Toc21201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第一节 完善规划管理制度</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_Toc21201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A9E1A46">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_Toc19606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第二节 强化</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四个重大</w:t>
          </w:r>
          <w:r>
            <w:rPr>
              <w:rFonts w:hint="eastAsia" w:ascii="Times New Roman" w:hAnsi="Times New Roman" w:eastAsia="方正仿宋_GBK" w:cs="Times New Roman"/>
              <w:bCs w:val="0"/>
              <w:sz w:val="32"/>
              <w:szCs w:val="32"/>
              <w:highlight w:val="none"/>
              <w:lang w:val="en-US" w:eastAsia="zh-CN"/>
            </w:rPr>
            <w:t>”</w:t>
          </w:r>
          <w:r>
            <w:rPr>
              <w:rFonts w:hint="default" w:ascii="Times New Roman" w:hAnsi="Times New Roman" w:eastAsia="方正楷体_GBK" w:cs="Times New Roman"/>
              <w:bCs w:val="0"/>
              <w:sz w:val="32"/>
              <w:szCs w:val="32"/>
              <w:highlight w:val="none"/>
              <w:lang w:val="en-US" w:eastAsia="zh-CN"/>
            </w:rPr>
            <w:t>支撑</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_Toc19606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- 115 -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1545BED7">
          <w:pPr>
            <w:pStyle w:val="10"/>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_Toc25917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楷体_GBK" w:cs="Times New Roman"/>
              <w:bCs w:val="0"/>
              <w:sz w:val="32"/>
              <w:szCs w:val="32"/>
              <w:highlight w:val="none"/>
              <w:lang w:val="en-US" w:eastAsia="zh-CN"/>
            </w:rPr>
            <w:t>第三节 加强规划实施监测评估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_Toc25917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- 116 -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57132EF7">
          <w:pPr>
            <w:pStyle w:val="14"/>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hint="default" w:ascii="Times New Roman" w:hAnsi="Times New Roman" w:cs="Times New Roman"/>
              <w:sz w:val="32"/>
              <w:szCs w:val="32"/>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_Toc18260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黑体_GBK" w:cs="Times New Roman"/>
              <w:bCs w:val="0"/>
              <w:kern w:val="44"/>
              <w:sz w:val="32"/>
              <w:szCs w:val="32"/>
              <w:highlight w:val="none"/>
              <w:lang w:val="en-US" w:eastAsia="zh-CN"/>
            </w:rPr>
            <w:t>附件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_Toc18260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25C0BE55">
          <w:pPr>
            <w:pStyle w:val="16"/>
            <w:keepNext w:val="0"/>
            <w:keepLines w:val="0"/>
            <w:pageBreakBefore w:val="0"/>
            <w:widowControl w:val="0"/>
            <w:tabs>
              <w:tab w:val="right" w:leader="dot" w:pos="8958"/>
            </w:tabs>
            <w:kinsoku/>
            <w:wordWrap/>
            <w:overflowPunct/>
            <w:topLinePunct w:val="0"/>
            <w:autoSpaceDE/>
            <w:autoSpaceDN/>
            <w:bidi w:val="0"/>
            <w:adjustRightInd/>
            <w:snapToGrid/>
            <w:spacing w:line="600" w:lineRule="exact"/>
            <w:textAlignment w:val="auto"/>
            <w:rPr>
              <w:rFonts w:ascii="Times New Roman" w:hAnsi="Times New Roman"/>
            </w:rPr>
          </w:pP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Cs w:val="0"/>
              <w:kern w:val="44"/>
              <w:sz w:val="32"/>
              <w:szCs w:val="32"/>
              <w:highlight w:val="none"/>
              <w:lang w:val="en-US" w:eastAsia="zh-CN"/>
            </w:rPr>
            <w:instrText xml:space="preserve"> HYPERLINK \l _Toc8989 </w:instrText>
          </w:r>
          <w:r>
            <w:rPr>
              <w:rFonts w:hint="default" w:ascii="Times New Roman" w:hAnsi="Times New Roman" w:eastAsia="方正黑体_GBK" w:cs="Times New Roman"/>
              <w:bCs w:val="0"/>
              <w:kern w:val="44"/>
              <w:sz w:val="32"/>
              <w:szCs w:val="32"/>
              <w:highlight w:val="none"/>
              <w:lang w:val="en-US" w:eastAsia="zh-CN"/>
            </w:rPr>
            <w:fldChar w:fldCharType="separate"/>
          </w:r>
          <w:r>
            <w:rPr>
              <w:rFonts w:hint="default" w:ascii="Times New Roman" w:hAnsi="Times New Roman" w:eastAsia="方正小标宋_GBK" w:cs="Times New Roman"/>
              <w:bCs w:val="0"/>
              <w:kern w:val="44"/>
              <w:sz w:val="32"/>
              <w:szCs w:val="32"/>
              <w:highlight w:val="none"/>
              <w:lang w:val="en-US" w:eastAsia="zh-CN"/>
            </w:rPr>
            <w:t>名词解释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_Toc8989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- 117 -</w:t>
          </w:r>
          <w:r>
            <w:rPr>
              <w:rFonts w:hint="default" w:ascii="Times New Roman" w:hAnsi="Times New Roman" w:cs="Times New Roman"/>
              <w:sz w:val="32"/>
              <w:szCs w:val="32"/>
            </w:rPr>
            <w:fldChar w:fldCharType="end"/>
          </w:r>
          <w:r>
            <w:rPr>
              <w:rFonts w:hint="default" w:ascii="Times New Roman" w:hAnsi="Times New Roman" w:eastAsia="方正黑体_GBK" w:cs="Times New Roman"/>
              <w:bCs w:val="0"/>
              <w:color w:val="auto"/>
              <w:kern w:val="44"/>
              <w:sz w:val="32"/>
              <w:szCs w:val="32"/>
              <w:highlight w:val="none"/>
              <w:u w:val="none" w:color="auto"/>
              <w:lang w:val="en-US" w:eastAsia="zh-CN"/>
            </w:rPr>
            <w:fldChar w:fldCharType="end"/>
          </w:r>
        </w:p>
        <w:p w14:paraId="0483983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outlineLvl w:val="0"/>
            <w:rPr>
              <w:rFonts w:hint="default" w:ascii="Times New Roman" w:hAnsi="Times New Roman" w:eastAsia="方正黑体_GBK" w:cs="Times New Roman"/>
              <w:bCs w:val="0"/>
              <w:color w:val="auto"/>
              <w:kern w:val="44"/>
              <w:sz w:val="21"/>
              <w:szCs w:val="32"/>
              <w:highlight w:val="none"/>
              <w:u w:val="none" w:color="auto"/>
              <w:lang w:val="en-US" w:eastAsia="zh-CN" w:bidi="ar-SA"/>
            </w:rPr>
          </w:pPr>
          <w:r>
            <w:rPr>
              <w:rFonts w:hint="default" w:ascii="Times New Roman" w:hAnsi="Times New Roman" w:eastAsia="方正黑体_GBK" w:cs="Times New Roman"/>
              <w:bCs w:val="0"/>
              <w:color w:val="auto"/>
              <w:kern w:val="44"/>
              <w:szCs w:val="32"/>
              <w:highlight w:val="none"/>
              <w:u w:val="none" w:color="auto"/>
              <w:lang w:val="en-US" w:eastAsia="zh-CN"/>
            </w:rPr>
            <w:fldChar w:fldCharType="end"/>
          </w:r>
        </w:p>
      </w:sdtContent>
    </w:sdt>
    <w:p w14:paraId="699FE5CB">
      <w:pPr>
        <w:pStyle w:val="2"/>
        <w:keepNext w:val="0"/>
        <w:keepLines w:val="0"/>
        <w:pageBreakBefore w:val="0"/>
        <w:kinsoku/>
        <w:wordWrap/>
        <w:topLinePunct w:val="0"/>
        <w:autoSpaceDE/>
        <w:autoSpaceDN/>
        <w:bidi w:val="0"/>
        <w:spacing w:line="600" w:lineRule="exact"/>
        <w:rPr>
          <w:rFonts w:hint="default" w:ascii="Times New Roman" w:hAnsi="Times New Roman" w:cs="Times New Roman"/>
          <w:color w:val="auto"/>
          <w:highlight w:val="none"/>
          <w:u w:val="none" w:color="auto"/>
          <w:lang w:val="en-US" w:eastAsia="zh-CN"/>
        </w:rPr>
        <w:sectPr>
          <w:footerReference r:id="rId6" w:type="default"/>
          <w:pgSz w:w="11906" w:h="16838"/>
          <w:pgMar w:top="1984" w:right="1474" w:bottom="1644" w:left="1474" w:header="851" w:footer="992" w:gutter="0"/>
          <w:pgBorders>
            <w:top w:val="none" w:sz="0" w:space="0"/>
            <w:left w:val="none" w:sz="0" w:space="0"/>
            <w:bottom w:val="none" w:sz="0" w:space="0"/>
            <w:right w:val="none" w:sz="0" w:space="0"/>
          </w:pgBorders>
          <w:pgNumType w:fmt="upperRoman" w:start="1"/>
          <w:cols w:space="425" w:num="1"/>
          <w:rtlGutter w:val="0"/>
          <w:docGrid w:type="lines" w:linePitch="312" w:charSpace="0"/>
        </w:sectPr>
      </w:pPr>
    </w:p>
    <w:p w14:paraId="469E70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r>
        <w:rPr>
          <w:rFonts w:hint="default" w:ascii="Times New Roman" w:hAnsi="Times New Roman" w:eastAsia="方正小标宋_GBK" w:cs="Times New Roman"/>
          <w:b w:val="0"/>
          <w:bCs w:val="0"/>
          <w:color w:val="auto"/>
          <w:kern w:val="44"/>
          <w:sz w:val="44"/>
          <w:szCs w:val="44"/>
          <w:highlight w:val="none"/>
          <w:u w:val="none" w:color="auto"/>
          <w:lang w:val="en-US" w:eastAsia="zh-CN"/>
        </w:rPr>
        <w:t>重庆市渝中区国民经济和社会发展</w:t>
      </w:r>
    </w:p>
    <w:p w14:paraId="793194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小标宋_GBK" w:cs="Times New Roman"/>
          <w:b w:val="0"/>
          <w:bCs w:val="0"/>
          <w:color w:val="auto"/>
          <w:kern w:val="44"/>
          <w:sz w:val="44"/>
          <w:szCs w:val="44"/>
          <w:highlight w:val="none"/>
          <w:u w:val="none" w:color="auto"/>
          <w:lang w:val="en-US" w:eastAsia="zh-CN"/>
        </w:rPr>
      </w:pPr>
      <w:r>
        <w:rPr>
          <w:rFonts w:hint="default" w:ascii="Times New Roman" w:hAnsi="Times New Roman" w:eastAsia="方正小标宋_GBK" w:cs="Times New Roman"/>
          <w:b w:val="0"/>
          <w:bCs w:val="0"/>
          <w:color w:val="auto"/>
          <w:kern w:val="44"/>
          <w:sz w:val="44"/>
          <w:szCs w:val="44"/>
          <w:highlight w:val="none"/>
          <w:u w:val="none" w:color="auto"/>
          <w:lang w:val="en-US" w:eastAsia="zh-CN"/>
        </w:rPr>
        <w:t>第十五个五年规划纲要</w:t>
      </w:r>
    </w:p>
    <w:p w14:paraId="1FC1D3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bCs/>
          <w:color w:val="auto"/>
          <w:kern w:val="44"/>
          <w:sz w:val="32"/>
          <w:szCs w:val="32"/>
          <w:highlight w:val="none"/>
          <w:u w:val="none" w:color="auto"/>
          <w:lang w:val="en-US" w:eastAsia="zh-CN"/>
        </w:rPr>
      </w:pPr>
    </w:p>
    <w:p w14:paraId="1A32E1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eastAsia="zh-CN"/>
        </w:rPr>
      </w:pPr>
      <w:r>
        <w:rPr>
          <w:rFonts w:hint="default" w:ascii="Times New Roman" w:hAnsi="Times New Roman" w:eastAsia="方正仿宋_GBK" w:cs="Times New Roman"/>
          <w:color w:val="auto"/>
          <w:sz w:val="32"/>
          <w:szCs w:val="32"/>
          <w:highlight w:val="none"/>
          <w:u w:val="none" w:color="auto"/>
        </w:rPr>
        <w:t>重庆市</w:t>
      </w:r>
      <w:r>
        <w:rPr>
          <w:rFonts w:hint="default" w:ascii="Times New Roman" w:hAnsi="Times New Roman" w:eastAsia="方正仿宋_GBK" w:cs="Times New Roman"/>
          <w:color w:val="auto"/>
          <w:sz w:val="32"/>
          <w:szCs w:val="32"/>
          <w:highlight w:val="none"/>
          <w:u w:val="none" w:color="auto"/>
          <w:lang w:val="en-US" w:eastAsia="zh-CN"/>
        </w:rPr>
        <w:t>渝中区</w:t>
      </w:r>
      <w:r>
        <w:rPr>
          <w:rFonts w:hint="default" w:ascii="Times New Roman" w:hAnsi="Times New Roman" w:eastAsia="方正仿宋_GBK" w:cs="Times New Roman"/>
          <w:color w:val="auto"/>
          <w:sz w:val="32"/>
          <w:szCs w:val="32"/>
          <w:highlight w:val="none"/>
          <w:u w:val="none" w:color="auto"/>
        </w:rPr>
        <w:t>国民经济和社会发展第十五个五年</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2026</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2030年</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规划纲要</w:t>
      </w:r>
      <w:r>
        <w:rPr>
          <w:rFonts w:hint="default" w:ascii="Times New Roman" w:hAnsi="Times New Roman" w:eastAsia="方正仿宋_GBK" w:cs="Times New Roman"/>
          <w:color w:val="auto"/>
          <w:sz w:val="32"/>
          <w:szCs w:val="32"/>
          <w:highlight w:val="none"/>
          <w:u w:val="none" w:color="auto"/>
          <w:lang w:eastAsia="zh-CN"/>
        </w:rPr>
        <w:t>深入贯彻《中共中央关于制定国民经济和社会发展第十</w:t>
      </w:r>
      <w:r>
        <w:rPr>
          <w:rFonts w:hint="default" w:ascii="Times New Roman" w:hAnsi="Times New Roman" w:eastAsia="方正仿宋_GBK" w:cs="Times New Roman"/>
          <w:color w:val="auto"/>
          <w:sz w:val="32"/>
          <w:szCs w:val="32"/>
          <w:highlight w:val="none"/>
          <w:u w:val="none" w:color="auto"/>
          <w:lang w:val="en-US" w:eastAsia="zh-CN"/>
        </w:rPr>
        <w:t>五</w:t>
      </w:r>
      <w:r>
        <w:rPr>
          <w:rFonts w:hint="default" w:ascii="Times New Roman" w:hAnsi="Times New Roman" w:eastAsia="方正仿宋_GBK" w:cs="Times New Roman"/>
          <w:color w:val="auto"/>
          <w:sz w:val="32"/>
          <w:szCs w:val="32"/>
          <w:highlight w:val="none"/>
          <w:u w:val="none" w:color="auto"/>
          <w:lang w:eastAsia="zh-CN"/>
        </w:rPr>
        <w:t>个五年规划的建议》和习近平总书记对重庆提出的系列重要指示要求，</w:t>
      </w:r>
      <w:r>
        <w:rPr>
          <w:rFonts w:hint="default" w:ascii="Times New Roman" w:hAnsi="Times New Roman" w:eastAsia="方正仿宋_GBK" w:cs="Times New Roman"/>
          <w:color w:val="auto"/>
          <w:sz w:val="32"/>
          <w:szCs w:val="32"/>
          <w:highlight w:val="none"/>
          <w:u w:val="none" w:color="auto"/>
          <w:lang w:val="en-US" w:eastAsia="zh-CN"/>
        </w:rPr>
        <w:t>落实</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中共重庆市委关于制定重庆市</w:t>
      </w:r>
      <w:r>
        <w:rPr>
          <w:rFonts w:hint="default" w:ascii="Times New Roman" w:hAnsi="Times New Roman" w:eastAsia="方正仿宋_GBK" w:cs="Times New Roman"/>
          <w:color w:val="auto"/>
          <w:sz w:val="32"/>
          <w:szCs w:val="32"/>
          <w:highlight w:val="none"/>
          <w:u w:val="none" w:color="auto"/>
        </w:rPr>
        <w:t>国民经济和社会发展第十五个五年规划的建议》和市委市政府部署安排，</w:t>
      </w:r>
      <w:r>
        <w:rPr>
          <w:rFonts w:hint="default" w:ascii="Times New Roman" w:hAnsi="Times New Roman" w:eastAsia="方正仿宋_GBK" w:cs="Times New Roman"/>
          <w:color w:val="auto"/>
          <w:sz w:val="32"/>
          <w:szCs w:val="32"/>
          <w:highlight w:val="none"/>
          <w:u w:val="none" w:color="auto"/>
          <w:lang w:val="en-US" w:eastAsia="zh-CN"/>
        </w:rPr>
        <w:t>根据</w:t>
      </w:r>
      <w:r>
        <w:rPr>
          <w:rFonts w:hint="default" w:ascii="Times New Roman" w:hAnsi="Times New Roman" w:eastAsia="方正仿宋_GBK" w:cs="Times New Roman"/>
          <w:color w:val="auto"/>
          <w:sz w:val="32"/>
          <w:szCs w:val="32"/>
          <w:highlight w:val="none"/>
          <w:u w:val="none" w:color="auto"/>
        </w:rPr>
        <w:t>《中共重庆市</w:t>
      </w:r>
      <w:r>
        <w:rPr>
          <w:rFonts w:hint="default" w:ascii="Times New Roman" w:hAnsi="Times New Roman" w:eastAsia="方正仿宋_GBK" w:cs="Times New Roman"/>
          <w:color w:val="auto"/>
          <w:sz w:val="32"/>
          <w:szCs w:val="32"/>
          <w:highlight w:val="none"/>
          <w:u w:val="none" w:color="auto"/>
          <w:lang w:val="en-US" w:eastAsia="zh-CN"/>
        </w:rPr>
        <w:t>渝中区</w:t>
      </w:r>
      <w:r>
        <w:rPr>
          <w:rFonts w:hint="default" w:ascii="Times New Roman" w:hAnsi="Times New Roman" w:eastAsia="方正仿宋_GBK" w:cs="Times New Roman"/>
          <w:color w:val="auto"/>
          <w:sz w:val="32"/>
          <w:szCs w:val="32"/>
          <w:highlight w:val="none"/>
          <w:u w:val="none" w:color="auto"/>
        </w:rPr>
        <w:t>委关于制定重庆市</w:t>
      </w:r>
      <w:r>
        <w:rPr>
          <w:rFonts w:hint="default" w:ascii="Times New Roman" w:hAnsi="Times New Roman" w:eastAsia="方正仿宋_GBK" w:cs="Times New Roman"/>
          <w:color w:val="auto"/>
          <w:sz w:val="32"/>
          <w:szCs w:val="32"/>
          <w:highlight w:val="none"/>
          <w:u w:val="none" w:color="auto"/>
          <w:lang w:val="en-US" w:eastAsia="zh-CN"/>
        </w:rPr>
        <w:t>渝中区</w:t>
      </w:r>
      <w:r>
        <w:rPr>
          <w:rFonts w:hint="default" w:ascii="Times New Roman" w:hAnsi="Times New Roman" w:eastAsia="方正仿宋_GBK" w:cs="Times New Roman"/>
          <w:color w:val="auto"/>
          <w:sz w:val="32"/>
          <w:szCs w:val="32"/>
          <w:highlight w:val="none"/>
          <w:u w:val="none" w:color="auto"/>
        </w:rPr>
        <w:t>国民经济和社会发展第十五个五年规划的建议》编制，主要阐明</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十五五</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时期的发展思路、主要目标、</w:t>
      </w:r>
      <w:r>
        <w:rPr>
          <w:rFonts w:hint="default" w:ascii="Times New Roman" w:hAnsi="Times New Roman" w:eastAsia="方正仿宋_GBK" w:cs="Times New Roman"/>
          <w:color w:val="auto"/>
          <w:sz w:val="32"/>
          <w:szCs w:val="32"/>
          <w:highlight w:val="none"/>
          <w:u w:val="none" w:color="auto"/>
          <w:lang w:val="en-US" w:eastAsia="zh-CN"/>
        </w:rPr>
        <w:t>重点任务</w:t>
      </w:r>
      <w:r>
        <w:rPr>
          <w:rFonts w:hint="default" w:ascii="Times New Roman" w:hAnsi="Times New Roman" w:eastAsia="方正仿宋_GBK" w:cs="Times New Roman"/>
          <w:color w:val="auto"/>
          <w:sz w:val="32"/>
          <w:szCs w:val="32"/>
          <w:highlight w:val="none"/>
          <w:u w:val="none" w:color="auto"/>
        </w:rPr>
        <w:t>等，是未来五年全区经济社会发展的宏伟蓝图，是全区人民共同奋斗的行动路线，是政府履行经济调节、市场监管、社会管理和公共服务职责的重要依据</w:t>
      </w:r>
      <w:r>
        <w:rPr>
          <w:rFonts w:hint="default" w:ascii="Times New Roman" w:hAnsi="Times New Roman" w:eastAsia="方正仿宋_GBK" w:cs="Times New Roman"/>
          <w:color w:val="auto"/>
          <w:sz w:val="32"/>
          <w:szCs w:val="32"/>
          <w:highlight w:val="none"/>
          <w:u w:val="none" w:color="auto"/>
          <w:lang w:eastAsia="zh-CN"/>
        </w:rPr>
        <w:t>。</w:t>
      </w:r>
    </w:p>
    <w:p w14:paraId="6A0D9DE1">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8" w:name="_Toc14939"/>
      <w:bookmarkStart w:id="9" w:name="_Toc8017"/>
      <w:bookmarkStart w:id="10" w:name="_Toc3574"/>
    </w:p>
    <w:p w14:paraId="232FDB5D">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0" w:firstLineChars="0"/>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11" w:name="_Toc18221"/>
      <w:bookmarkStart w:id="12" w:name="_Toc27434"/>
      <w:bookmarkStart w:id="13" w:name="_Toc30242"/>
      <w:bookmarkStart w:id="14" w:name="_Toc15533"/>
      <w:bookmarkStart w:id="15" w:name="_Toc29857"/>
      <w:bookmarkStart w:id="16" w:name="_Toc1609"/>
      <w:bookmarkStart w:id="17" w:name="_Toc1759"/>
      <w:bookmarkStart w:id="18" w:name="_Toc24703"/>
      <w:bookmarkStart w:id="19" w:name="_Toc14558"/>
      <w:r>
        <w:rPr>
          <w:rFonts w:hint="default" w:ascii="Times New Roman" w:hAnsi="Times New Roman" w:eastAsia="方正黑体_GBK" w:cs="Times New Roman"/>
          <w:b w:val="0"/>
          <w:bCs w:val="0"/>
          <w:color w:val="auto"/>
          <w:kern w:val="44"/>
          <w:sz w:val="32"/>
          <w:szCs w:val="32"/>
          <w:highlight w:val="none"/>
          <w:u w:val="none" w:color="auto"/>
          <w:lang w:val="en-US" w:eastAsia="zh-CN"/>
        </w:rPr>
        <w:t>第一篇 新时代新阶段新起点 奋力谱写中国式现代化</w:t>
      </w:r>
      <w:bookmarkEnd w:id="8"/>
      <w:bookmarkEnd w:id="9"/>
      <w:bookmarkEnd w:id="10"/>
      <w:bookmarkEnd w:id="11"/>
      <w:bookmarkEnd w:id="12"/>
      <w:bookmarkStart w:id="20" w:name="_Toc9112"/>
      <w:r>
        <w:rPr>
          <w:rFonts w:hint="default" w:ascii="Times New Roman" w:hAnsi="Times New Roman" w:eastAsia="方正黑体_GBK" w:cs="Times New Roman"/>
          <w:b w:val="0"/>
          <w:bCs w:val="0"/>
          <w:color w:val="auto"/>
          <w:kern w:val="44"/>
          <w:sz w:val="32"/>
          <w:szCs w:val="32"/>
          <w:highlight w:val="none"/>
          <w:u w:val="none" w:color="auto"/>
          <w:lang w:val="en-US" w:eastAsia="zh-CN"/>
        </w:rPr>
        <w:t>重庆篇章渝中精彩一页</w:t>
      </w:r>
      <w:bookmarkEnd w:id="13"/>
      <w:bookmarkEnd w:id="14"/>
      <w:bookmarkEnd w:id="15"/>
      <w:bookmarkEnd w:id="16"/>
      <w:bookmarkEnd w:id="17"/>
      <w:bookmarkEnd w:id="18"/>
      <w:bookmarkEnd w:id="19"/>
      <w:bookmarkEnd w:id="20"/>
    </w:p>
    <w:p w14:paraId="60E6B6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rPr>
      </w:pPr>
    </w:p>
    <w:p w14:paraId="7013F4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after="0" w:line="600" w:lineRule="exact"/>
        <w:ind w:firstLine="640" w:firstLineChars="200"/>
        <w:contextualSpacing/>
        <w:jc w:val="both"/>
        <w:textAlignment w:val="center"/>
        <w:outlineLvl w:val="9"/>
        <w:rPr>
          <w:rFonts w:hint="default" w:ascii="Times New Roman" w:hAnsi="Times New Roman" w:eastAsia="方正仿宋_GBK" w:cs="Times New Roman"/>
          <w:color w:val="auto"/>
          <w:spacing w:val="0"/>
          <w:kern w:val="0"/>
          <w:sz w:val="32"/>
          <w:szCs w:val="32"/>
          <w:highlight w:val="none"/>
          <w:u w:val="none" w:color="auto"/>
          <w:lang w:val="en-US" w:eastAsia="zh-CN" w:bidi="ar-SA"/>
        </w:rPr>
      </w:pP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十五五</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时期在基本实现社会主义现代化进程中具有承前启后的重要地位，是夯实基础、全面发力的关键时期，也是现代化新重庆建设进入积厚成势、整体跃升的关键时期</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必须立足新起点，把握新形势，适应新变化，</w:t>
      </w:r>
      <w:r>
        <w:rPr>
          <w:rFonts w:hint="default" w:ascii="Times New Roman" w:hAnsi="Times New Roman" w:eastAsia="方正仿宋_GBK" w:cs="Times New Roman"/>
          <w:color w:val="auto"/>
          <w:spacing w:val="0"/>
          <w:kern w:val="0"/>
          <w:sz w:val="32"/>
          <w:szCs w:val="32"/>
          <w:highlight w:val="none"/>
          <w:u w:val="none" w:color="auto"/>
          <w:lang w:val="en-US" w:eastAsia="zh-CN" w:bidi="ar-SA"/>
        </w:rPr>
        <w:t>巩固拓展既有优势、开辟塑造新优势、破除瓶颈制约、补短板强弱项，推动事关现代化新重庆渝中建设全局的战略任务取得重大突破，为基本实现社会主义现代化奠定更加坚实的基础。</w:t>
      </w:r>
    </w:p>
    <w:p w14:paraId="69E4DE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600" w:lineRule="exact"/>
        <w:ind w:firstLine="616" w:firstLineChars="200"/>
        <w:contextualSpacing/>
        <w:jc w:val="center"/>
        <w:textAlignment w:val="center"/>
        <w:outlineLvl w:val="1"/>
        <w:rPr>
          <w:rFonts w:hint="default" w:ascii="Times New Roman" w:hAnsi="Times New Roman" w:eastAsia="方正黑体_GBK" w:cs="Times New Roman"/>
          <w:color w:val="auto"/>
          <w:spacing w:val="-6"/>
          <w:sz w:val="32"/>
          <w:szCs w:val="32"/>
          <w:highlight w:val="none"/>
          <w:u w:val="none" w:color="auto"/>
          <w:lang w:val="en-US" w:eastAsia="zh-CN"/>
        </w:rPr>
      </w:pPr>
      <w:bookmarkStart w:id="21" w:name="_Toc23813"/>
      <w:bookmarkStart w:id="22" w:name="_Toc8379"/>
      <w:bookmarkStart w:id="23" w:name="_Toc31920"/>
      <w:bookmarkStart w:id="24" w:name="_Toc19285"/>
      <w:bookmarkStart w:id="25" w:name="_Toc10291"/>
      <w:bookmarkStart w:id="26" w:name="_Toc7653"/>
      <w:bookmarkStart w:id="27" w:name="_Toc5053"/>
      <w:bookmarkStart w:id="28" w:name="_Toc1330"/>
      <w:bookmarkStart w:id="29" w:name="_Toc22066"/>
      <w:bookmarkStart w:id="30" w:name="_Toc21861"/>
      <w:bookmarkStart w:id="31" w:name="_Toc22947"/>
      <w:bookmarkStart w:id="32" w:name="_Toc20007"/>
    </w:p>
    <w:p w14:paraId="4F7E93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line="600" w:lineRule="exact"/>
        <w:ind w:firstLine="616" w:firstLineChars="200"/>
        <w:contextualSpacing/>
        <w:jc w:val="center"/>
        <w:textAlignment w:val="center"/>
        <w:outlineLvl w:val="1"/>
        <w:rPr>
          <w:rFonts w:hint="default" w:ascii="Times New Roman" w:hAnsi="Times New Roman" w:eastAsia="方正黑体_GBK" w:cs="Times New Roman"/>
          <w:color w:val="auto"/>
          <w:spacing w:val="-6"/>
          <w:sz w:val="32"/>
          <w:szCs w:val="32"/>
          <w:highlight w:val="none"/>
          <w:u w:val="none" w:color="auto"/>
          <w:lang w:val="en-US" w:eastAsia="zh-CN"/>
        </w:rPr>
      </w:pPr>
      <w:r>
        <w:rPr>
          <w:rFonts w:hint="default" w:ascii="Times New Roman" w:hAnsi="Times New Roman" w:eastAsia="方正黑体_GBK" w:cs="Times New Roman"/>
          <w:color w:val="auto"/>
          <w:spacing w:val="-6"/>
          <w:sz w:val="32"/>
          <w:szCs w:val="32"/>
          <w:highlight w:val="none"/>
          <w:u w:val="none" w:color="auto"/>
          <w:lang w:val="en-US" w:eastAsia="zh-CN"/>
        </w:rPr>
        <w:t xml:space="preserve">第一章 </w:t>
      </w:r>
      <w:r>
        <w:rPr>
          <w:rFonts w:hint="eastAsia" w:ascii="Times New Roman" w:hAnsi="Times New Roman" w:eastAsia="方正仿宋_GBK" w:cs="方正仿宋_GBK"/>
          <w:color w:val="auto"/>
          <w:spacing w:val="-6"/>
          <w:sz w:val="32"/>
          <w:szCs w:val="32"/>
          <w:highlight w:val="none"/>
          <w:u w:val="none" w:color="auto"/>
          <w:lang w:val="en-US" w:eastAsia="zh-CN"/>
        </w:rPr>
        <w:t>“</w:t>
      </w:r>
      <w:r>
        <w:rPr>
          <w:rFonts w:hint="default" w:ascii="Times New Roman" w:hAnsi="Times New Roman" w:eastAsia="方正黑体_GBK" w:cs="Times New Roman"/>
          <w:color w:val="auto"/>
          <w:spacing w:val="-6"/>
          <w:sz w:val="32"/>
          <w:szCs w:val="32"/>
          <w:highlight w:val="none"/>
          <w:u w:val="none" w:color="auto"/>
          <w:lang w:val="en-US" w:eastAsia="zh-CN"/>
        </w:rPr>
        <w:t>十四五</w:t>
      </w:r>
      <w:r>
        <w:rPr>
          <w:rFonts w:hint="eastAsia" w:ascii="Times New Roman" w:hAnsi="Times New Roman" w:eastAsia="方正仿宋_GBK" w:cs="方正仿宋_GBK"/>
          <w:color w:val="auto"/>
          <w:spacing w:val="-6"/>
          <w:sz w:val="32"/>
          <w:szCs w:val="32"/>
          <w:highlight w:val="none"/>
          <w:u w:val="none" w:color="auto"/>
          <w:lang w:val="en-US" w:eastAsia="zh-CN"/>
        </w:rPr>
        <w:t>”</w:t>
      </w:r>
      <w:r>
        <w:rPr>
          <w:rFonts w:hint="default" w:ascii="Times New Roman" w:hAnsi="Times New Roman" w:eastAsia="方正黑体_GBK" w:cs="Times New Roman"/>
          <w:color w:val="auto"/>
          <w:spacing w:val="-6"/>
          <w:sz w:val="32"/>
          <w:szCs w:val="32"/>
          <w:highlight w:val="none"/>
          <w:u w:val="none" w:color="auto"/>
          <w:lang w:val="en-US" w:eastAsia="zh-CN"/>
        </w:rPr>
        <w:t>时期渝中经济社会发展取得显著</w:t>
      </w:r>
      <w:bookmarkEnd w:id="21"/>
      <w:r>
        <w:rPr>
          <w:rFonts w:hint="default" w:ascii="Times New Roman" w:hAnsi="Times New Roman" w:eastAsia="方正黑体_GBK" w:cs="Times New Roman"/>
          <w:color w:val="auto"/>
          <w:spacing w:val="-6"/>
          <w:sz w:val="32"/>
          <w:szCs w:val="32"/>
          <w:highlight w:val="none"/>
          <w:u w:val="none" w:color="auto"/>
          <w:lang w:val="en-US" w:eastAsia="zh-CN"/>
        </w:rPr>
        <w:t>成效</w:t>
      </w:r>
      <w:bookmarkEnd w:id="22"/>
      <w:bookmarkEnd w:id="23"/>
      <w:bookmarkEnd w:id="24"/>
      <w:bookmarkEnd w:id="25"/>
      <w:bookmarkEnd w:id="26"/>
      <w:bookmarkEnd w:id="27"/>
      <w:bookmarkEnd w:id="28"/>
      <w:bookmarkEnd w:id="29"/>
      <w:bookmarkEnd w:id="30"/>
      <w:bookmarkEnd w:id="31"/>
      <w:bookmarkEnd w:id="32"/>
    </w:p>
    <w:p w14:paraId="4F6D11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color w:val="auto"/>
          <w:spacing w:val="0"/>
          <w:sz w:val="32"/>
          <w:szCs w:val="32"/>
          <w:highlight w:val="none"/>
          <w:u w:val="none" w:color="auto"/>
          <w:lang w:val="en-US" w:eastAsia="zh-CN"/>
        </w:rPr>
      </w:pP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十</w:t>
      </w:r>
      <w:r>
        <w:rPr>
          <w:rFonts w:hint="default" w:ascii="Times New Roman" w:hAnsi="Times New Roman" w:eastAsia="方正仿宋_GBK" w:cs="Times New Roman"/>
          <w:color w:val="auto"/>
          <w:spacing w:val="0"/>
          <w:sz w:val="32"/>
          <w:szCs w:val="32"/>
          <w:highlight w:val="none"/>
          <w:u w:val="none" w:color="auto"/>
          <w:lang w:val="en-US" w:eastAsia="zh-CN"/>
        </w:rPr>
        <w:t>四</w:t>
      </w:r>
      <w:r>
        <w:rPr>
          <w:rFonts w:hint="default" w:ascii="Times New Roman" w:hAnsi="Times New Roman" w:eastAsia="方正仿宋_GBK" w:cs="Times New Roman"/>
          <w:color w:val="auto"/>
          <w:spacing w:val="0"/>
          <w:sz w:val="32"/>
          <w:szCs w:val="32"/>
          <w:highlight w:val="none"/>
          <w:u w:val="none" w:color="auto"/>
        </w:rPr>
        <w:t>五</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时期是</w:t>
      </w:r>
      <w:r>
        <w:rPr>
          <w:rFonts w:hint="default" w:ascii="Times New Roman" w:hAnsi="Times New Roman" w:eastAsia="方正仿宋_GBK" w:cs="Times New Roman"/>
          <w:color w:val="auto"/>
          <w:spacing w:val="0"/>
          <w:sz w:val="32"/>
          <w:szCs w:val="32"/>
          <w:highlight w:val="none"/>
          <w:u w:val="none" w:color="auto"/>
          <w:lang w:val="en-US" w:eastAsia="zh-CN"/>
        </w:rPr>
        <w:t>渝中发展历程中具有里程碑意义的</w:t>
      </w:r>
      <w:r>
        <w:rPr>
          <w:rFonts w:hint="default" w:ascii="Times New Roman" w:hAnsi="Times New Roman" w:eastAsia="方正仿宋_GBK" w:cs="Times New Roman"/>
          <w:color w:val="auto"/>
          <w:spacing w:val="0"/>
          <w:sz w:val="32"/>
          <w:szCs w:val="32"/>
          <w:highlight w:val="none"/>
          <w:u w:val="none" w:color="auto"/>
        </w:rPr>
        <w:t>五年</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习近平总书记亲临重庆视察并发表重要讲话，赋予重庆打造新时代西部大开发重要战略支点、内陆开放综合枢纽</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两大定位</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，要求重庆在发挥</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三个作用</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上展现更大作为，为现代化新重庆建设标定了时代坐标、注入了强大动力。</w:t>
      </w:r>
      <w:r>
        <w:rPr>
          <w:rFonts w:hint="default" w:ascii="Times New Roman" w:hAnsi="Times New Roman" w:eastAsia="方正仿宋_GBK" w:cs="Times New Roman"/>
          <w:color w:val="auto"/>
          <w:spacing w:val="0"/>
          <w:sz w:val="32"/>
          <w:szCs w:val="32"/>
          <w:highlight w:val="none"/>
          <w:u w:val="none" w:color="auto"/>
        </w:rPr>
        <w:t>五年来，面对错综复杂形势和世纪疫情冲击</w:t>
      </w:r>
      <w:r>
        <w:rPr>
          <w:rFonts w:hint="default" w:ascii="Times New Roman" w:hAnsi="Times New Roman" w:eastAsia="方正仿宋_GBK" w:cs="Times New Roman"/>
          <w:color w:val="auto"/>
          <w:spacing w:val="0"/>
          <w:sz w:val="32"/>
          <w:szCs w:val="32"/>
          <w:highlight w:val="none"/>
          <w:u w:val="none" w:color="auto"/>
          <w:lang w:val="en-US" w:eastAsia="zh-CN"/>
        </w:rPr>
        <w:t>等多重超预期因素影响</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区委区政府始终牢记习近平总书记殷殷嘱托，坚决贯彻党中央决策部署，在市委市政府</w:t>
      </w:r>
      <w:r>
        <w:rPr>
          <w:rFonts w:hint="default" w:ascii="Times New Roman" w:hAnsi="Times New Roman" w:eastAsia="方正仿宋_GBK" w:cs="Times New Roman"/>
          <w:color w:val="auto"/>
          <w:spacing w:val="0"/>
          <w:sz w:val="32"/>
          <w:szCs w:val="32"/>
          <w:highlight w:val="none"/>
          <w:u w:val="none" w:color="auto"/>
        </w:rPr>
        <w:t>的坚强领导下，主动服务</w:t>
      </w:r>
      <w:r>
        <w:rPr>
          <w:rFonts w:hint="default" w:ascii="Times New Roman" w:hAnsi="Times New Roman" w:eastAsia="方正仿宋_GBK" w:cs="Times New Roman"/>
          <w:color w:val="auto"/>
          <w:spacing w:val="0"/>
          <w:sz w:val="32"/>
          <w:szCs w:val="32"/>
          <w:highlight w:val="none"/>
          <w:u w:val="none" w:color="auto"/>
          <w:lang w:val="en-US" w:eastAsia="zh-CN"/>
        </w:rPr>
        <w:t>全国、全市</w:t>
      </w:r>
      <w:r>
        <w:rPr>
          <w:rFonts w:hint="default" w:ascii="Times New Roman" w:hAnsi="Times New Roman" w:eastAsia="方正仿宋_GBK" w:cs="Times New Roman"/>
          <w:color w:val="auto"/>
          <w:spacing w:val="0"/>
          <w:sz w:val="32"/>
          <w:szCs w:val="32"/>
          <w:highlight w:val="none"/>
          <w:u w:val="none" w:color="auto"/>
        </w:rPr>
        <w:t>发展大局，</w:t>
      </w:r>
      <w:r>
        <w:rPr>
          <w:rFonts w:hint="default" w:ascii="Times New Roman" w:hAnsi="Times New Roman" w:eastAsia="方正仿宋_GBK" w:cs="Times New Roman"/>
          <w:color w:val="auto"/>
          <w:spacing w:val="0"/>
          <w:sz w:val="32"/>
          <w:szCs w:val="32"/>
          <w:highlight w:val="none"/>
          <w:u w:val="none" w:color="auto"/>
          <w:lang w:val="en-US" w:eastAsia="zh-CN"/>
        </w:rPr>
        <w:t>紧紧围绕锚定</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四大定位</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发挥</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八大优势</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、加快打造</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六个新高地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rPr>
        <w:t>总体</w:t>
      </w:r>
      <w:r>
        <w:rPr>
          <w:rFonts w:hint="default" w:ascii="Times New Roman" w:hAnsi="Times New Roman" w:eastAsia="方正仿宋_GBK" w:cs="Times New Roman"/>
          <w:color w:val="auto"/>
          <w:spacing w:val="0"/>
          <w:sz w:val="32"/>
          <w:szCs w:val="32"/>
          <w:highlight w:val="none"/>
          <w:u w:val="none" w:color="auto"/>
          <w:lang w:val="en-US" w:eastAsia="zh-CN"/>
        </w:rPr>
        <w:t>思路，扎实推动中国式现代化在渝中的生动实践，地区生产总值实现1781.8亿元、较2020年增长30%，人均突破31万元、地均迈上76亿元/平方公里新台阶、均居西部第1</w:t>
      </w:r>
      <w:r>
        <w:rPr>
          <w:rFonts w:hint="eastAsia"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固定资产投资强度保持年均10亿元/平方公里，社会消费品零售总额</w:t>
      </w:r>
      <w:r>
        <w:rPr>
          <w:rFonts w:hint="eastAsia" w:ascii="Times New Roman" w:hAnsi="Times New Roman" w:eastAsia="方正仿宋_GBK" w:cs="Times New Roman"/>
          <w:color w:val="auto"/>
          <w:spacing w:val="0"/>
          <w:sz w:val="32"/>
          <w:szCs w:val="32"/>
          <w:highlight w:val="none"/>
          <w:u w:val="none" w:color="auto"/>
          <w:lang w:val="en-US" w:eastAsia="zh-CN"/>
        </w:rPr>
        <w:t>是</w:t>
      </w:r>
      <w:r>
        <w:rPr>
          <w:rFonts w:hint="default" w:ascii="Times New Roman" w:hAnsi="Times New Roman" w:eastAsia="方正仿宋_GBK" w:cs="Times New Roman"/>
          <w:color w:val="auto"/>
          <w:spacing w:val="0"/>
          <w:sz w:val="32"/>
          <w:szCs w:val="32"/>
          <w:highlight w:val="none"/>
          <w:u w:val="none" w:color="auto"/>
          <w:lang w:val="en-US" w:eastAsia="zh-CN"/>
        </w:rPr>
        <w:t>2020年的1.4倍</w:t>
      </w:r>
      <w:r>
        <w:rPr>
          <w:rFonts w:hint="eastAsia" w:ascii="Times New Roman" w:hAnsi="Times New Roman" w:eastAsia="方正仿宋_GBK" w:cs="Times New Roman"/>
          <w:color w:val="auto"/>
          <w:spacing w:val="0"/>
          <w:sz w:val="32"/>
          <w:szCs w:val="32"/>
          <w:highlight w:val="none"/>
          <w:u w:val="none" w:color="auto"/>
          <w:lang w:val="en-US" w:eastAsia="zh-CN"/>
        </w:rPr>
        <w:t>、跃升至1851.7亿元</w:t>
      </w:r>
      <w:r>
        <w:rPr>
          <w:rFonts w:hint="default" w:ascii="Times New Roman" w:hAnsi="Times New Roman" w:eastAsia="方正仿宋_GBK" w:cs="Times New Roman"/>
          <w:color w:val="auto"/>
          <w:spacing w:val="0"/>
          <w:sz w:val="32"/>
          <w:szCs w:val="32"/>
          <w:highlight w:val="none"/>
          <w:u w:val="none" w:color="auto"/>
          <w:lang w:val="en-US" w:eastAsia="zh-CN"/>
        </w:rPr>
        <w:t>，楼宇经济（总部经济）逐年进位、位列全国第10，</w:t>
      </w:r>
      <w:r>
        <w:rPr>
          <w:rFonts w:hint="default" w:ascii="Times New Roman" w:hAnsi="Times New Roman" w:eastAsia="方正仿宋_GBK" w:cs="Times New Roman"/>
          <w:color w:val="auto"/>
          <w:spacing w:val="0"/>
          <w:sz w:val="32"/>
          <w:szCs w:val="32"/>
          <w:highlight w:val="none"/>
          <w:u w:val="none" w:color="auto"/>
        </w:rPr>
        <w:t>经济密度、投资强度、</w:t>
      </w:r>
      <w:r>
        <w:rPr>
          <w:rFonts w:hint="default" w:ascii="Times New Roman" w:hAnsi="Times New Roman" w:eastAsia="方正仿宋_GBK" w:cs="Times New Roman"/>
          <w:color w:val="auto"/>
          <w:spacing w:val="0"/>
          <w:sz w:val="32"/>
          <w:szCs w:val="32"/>
          <w:highlight w:val="none"/>
          <w:u w:val="none" w:color="auto"/>
          <w:lang w:val="en-US" w:eastAsia="zh-CN"/>
        </w:rPr>
        <w:t>开放程度、</w:t>
      </w:r>
      <w:r>
        <w:rPr>
          <w:rFonts w:hint="default" w:ascii="Times New Roman" w:hAnsi="Times New Roman" w:eastAsia="方正仿宋_GBK" w:cs="Times New Roman"/>
          <w:color w:val="auto"/>
          <w:spacing w:val="0"/>
          <w:sz w:val="32"/>
          <w:szCs w:val="32"/>
          <w:highlight w:val="none"/>
          <w:u w:val="none" w:color="auto"/>
        </w:rPr>
        <w:t>消费热度</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治理效度领先领跑</w:t>
      </w:r>
      <w:r>
        <w:rPr>
          <w:rFonts w:hint="default" w:ascii="Times New Roman" w:hAnsi="Times New Roman" w:eastAsia="方正仿宋_GBK" w:cs="Times New Roman"/>
          <w:b w:val="0"/>
          <w:bCs w:val="0"/>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rPr>
        <w:t>现代化新重庆渝中建设实现良好开局。</w:t>
      </w:r>
    </w:p>
    <w:p w14:paraId="04AA1C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pPr>
      <w:r>
        <w:rPr>
          <w:rFonts w:hint="eastAsia" w:ascii="方正楷体_GBK" w:hAnsi="方正楷体_GBK" w:eastAsia="方正楷体_GBK" w:cs="方正楷体_GBK"/>
          <w:color w:val="auto"/>
          <w:spacing w:val="0"/>
          <w:sz w:val="32"/>
          <w:szCs w:val="32"/>
          <w:highlight w:val="none"/>
          <w:u w:val="none" w:color="auto"/>
          <w:shd w:val="clear" w:color="auto" w:fill="auto"/>
        </w:rPr>
        <w:t>融入成渝地区双城经济圈建设实现新提升</w:t>
      </w:r>
      <w:r>
        <w:rPr>
          <w:rFonts w:hint="eastAsia" w:ascii="方正楷体_GBK" w:hAnsi="方正楷体_GBK" w:eastAsia="方正楷体_GBK" w:cs="方正楷体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成渝金融法院成功落地，联合共建川渝重点实验室2个。解放碑—朝天门世界知名商圈成功打造西部首个</w:t>
      </w:r>
      <w:r>
        <w:rPr>
          <w:rFonts w:hint="eastAsia" w:ascii="Times New Roman" w:hAnsi="Times New Roman" w:eastAsia="方正仿宋_GBK" w:cs="方正仿宋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双千亿</w:t>
      </w:r>
      <w:r>
        <w:rPr>
          <w:rFonts w:hint="eastAsia" w:ascii="Times New Roman" w:hAnsi="Times New Roman" w:eastAsia="方正仿宋_GBK" w:cs="方正仿宋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商圈，</w:t>
      </w:r>
      <w:r>
        <w:rPr>
          <w:rFonts w:hint="eastAsia" w:ascii="Times New Roman" w:hAnsi="Times New Roman" w:eastAsia="方正仿宋_GBK" w:cs="方正仿宋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宽洪大量</w:t>
      </w:r>
      <w:r>
        <w:rPr>
          <w:rFonts w:hint="eastAsia" w:ascii="Times New Roman" w:hAnsi="Times New Roman" w:eastAsia="方正仿宋_GBK" w:cs="方正仿宋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锦渝满堂</w:t>
      </w:r>
      <w:r>
        <w:rPr>
          <w:rFonts w:hint="eastAsia" w:ascii="Times New Roman" w:hAnsi="Times New Roman" w:eastAsia="方正仿宋_GBK" w:cs="方正仿宋_GBK"/>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等成渝文旅品牌辐射力、影响力不断增强。陆海国际中心、重庆站、重庆万象新华等标志性项目全力推进，成渝双城（重庆）国际商务中心、成渝涉外商会联盟、成渝蜀绣保护与发展联盟等平台作用充分发挥。</w:t>
      </w:r>
    </w:p>
    <w:p w14:paraId="2E3D196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640" w:firstLineChars="200"/>
        <w:contextualSpacing w:val="0"/>
        <w:jc w:val="both"/>
        <w:textAlignment w:val="auto"/>
        <w:outlineLvl w:val="9"/>
        <w:rPr>
          <w:rFonts w:hint="default" w:ascii="Times New Roman" w:hAnsi="Times New Roman" w:eastAsia="方正仿宋_GBK" w:cs="Times New Roman"/>
          <w:b w:val="0"/>
          <w:bCs w:val="0"/>
          <w:color w:val="auto"/>
          <w:spacing w:val="0"/>
          <w:sz w:val="32"/>
          <w:szCs w:val="32"/>
          <w:highlight w:val="none"/>
          <w:u w:val="none" w:color="auto"/>
          <w:lang w:val="en-US" w:eastAsia="zh-CN" w:bidi="ar"/>
        </w:rPr>
      </w:pPr>
      <w:r>
        <w:rPr>
          <w:rFonts w:hint="default" w:ascii="方正楷体_GBK" w:hAnsi="方正楷体_GBK" w:eastAsia="方正楷体_GBK" w:cs="方正楷体_GBK"/>
          <w:color w:val="auto"/>
          <w:spacing w:val="0"/>
          <w:sz w:val="32"/>
          <w:szCs w:val="32"/>
          <w:highlight w:val="none"/>
          <w:u w:val="none" w:color="auto"/>
          <w:shd w:val="clear" w:color="auto" w:fill="auto"/>
          <w:lang w:eastAsia="zh-CN"/>
        </w:rPr>
        <w:t>现代服务业能级</w:t>
      </w:r>
      <w:r>
        <w:rPr>
          <w:rFonts w:hint="default" w:ascii="方正楷体_GBK" w:hAnsi="方正楷体_GBK" w:eastAsia="方正楷体_GBK" w:cs="方正楷体_GBK"/>
          <w:color w:val="auto"/>
          <w:spacing w:val="0"/>
          <w:sz w:val="32"/>
          <w:szCs w:val="32"/>
          <w:highlight w:val="none"/>
          <w:u w:val="none" w:color="auto"/>
          <w:shd w:val="clear" w:color="auto" w:fill="auto"/>
        </w:rPr>
        <w:t>实现新提升</w:t>
      </w:r>
      <w:r>
        <w:rPr>
          <w:rFonts w:hint="default" w:ascii="方正楷体_GBK" w:hAnsi="方正楷体_GBK" w:eastAsia="方正楷体_GBK" w:cs="方正楷体_GBK"/>
          <w:color w:val="auto"/>
          <w:spacing w:val="0"/>
          <w:sz w:val="32"/>
          <w:szCs w:val="32"/>
          <w:highlight w:val="none"/>
          <w:u w:val="none" w:color="auto"/>
          <w:shd w:val="clear" w:color="auto" w:fill="auto"/>
          <w:lang w:eastAsia="zh-CN"/>
        </w:rPr>
        <w:t>。</w:t>
      </w:r>
      <w:r>
        <w:rPr>
          <w:rFonts w:hint="eastAsia" w:ascii="Times New Roman" w:hAnsi="Times New Roman" w:eastAsia="方正仿宋_GBK" w:cs="方正仿宋_GBK"/>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rPr>
        <w:t>4311</w:t>
      </w:r>
      <w:r>
        <w:rPr>
          <w:rFonts w:hint="eastAsia" w:ascii="Times New Roman" w:hAnsi="Times New Roman" w:eastAsia="方正仿宋_GBK" w:cs="方正仿宋_GBK"/>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rPr>
        <w:t>现代化产业体系加快构建，</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重庆服务业高质量发展示范区</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建设步伐坚实，现代服务业增加值跨过千亿元关口。</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西部金融中心主承载区地位巩固，存贷款余额增长超4000亿元、达到1.47万亿元，保费收入总量占全市比重超过30%，</w:t>
      </w:r>
      <w:r>
        <w:rPr>
          <w:rFonts w:hint="default" w:ascii="Times New Roman" w:hAnsi="Times New Roman" w:eastAsia="方正仿宋_GBK" w:cs="Times New Roman"/>
          <w:color w:val="auto"/>
          <w:spacing w:val="0"/>
          <w:sz w:val="32"/>
          <w:szCs w:val="32"/>
          <w:highlight w:val="none"/>
          <w:u w:val="none" w:color="auto"/>
          <w:shd w:val="clear" w:color="auto" w:fill="auto"/>
          <w:lang w:eastAsia="zh-CN"/>
        </w:rPr>
        <w:t>数字金融后市场服务体系</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构建完善，绿色债券余额全市第1</w:t>
      </w:r>
      <w:r>
        <w:rPr>
          <w:rFonts w:hint="default" w:ascii="Times New Roman" w:hAnsi="Times New Roman" w:eastAsia="方正仿宋_GBK" w:cs="Times New Roman"/>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sz w:val="32"/>
          <w:szCs w:val="32"/>
          <w:lang w:val="en-US" w:eastAsia="zh-CN"/>
        </w:rPr>
        <w:t>软信服务业</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满天星</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行动计划实现企业数量、楼宇面积、从业人员</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三个翻番</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w:t>
      </w:r>
      <w:r>
        <w:rPr>
          <w:rFonts w:hint="default" w:ascii="Times New Roman" w:hAnsi="Times New Roman" w:eastAsia="方正仿宋_GBK" w:cs="Times New Roman"/>
          <w:color w:val="auto"/>
          <w:spacing w:val="0"/>
          <w:sz w:val="32"/>
          <w:szCs w:val="32"/>
        </w:rPr>
        <w:t>科研服务业规模占全市1/3</w:t>
      </w:r>
      <w:r>
        <w:rPr>
          <w:rFonts w:hint="default"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highlight w:val="none"/>
          <w:lang w:val="en-US" w:eastAsia="zh-CN"/>
        </w:rPr>
        <w:t>律所、税务、会计、资产评估机构数量分别占全市1/7、1/6、1/5、1/4，</w:t>
      </w:r>
      <w:r>
        <w:rPr>
          <w:rFonts w:hint="default" w:ascii="Times New Roman" w:hAnsi="Times New Roman" w:eastAsia="方正仿宋_GBK" w:cs="Times New Roman"/>
          <w:color w:val="auto"/>
          <w:spacing w:val="0"/>
          <w:sz w:val="32"/>
          <w:szCs w:val="32"/>
          <w:lang w:val="en-US" w:eastAsia="zh-CN"/>
        </w:rPr>
        <w:t>邮政业务总量年均增长27%。</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国际消费中心城市核心区建设纵深推进，首店首牌数量增长2.6倍、占全市1/3。文旅产业发展质效获国务院督查激励。</w:t>
      </w:r>
      <w:r>
        <w:rPr>
          <w:rFonts w:hint="default" w:ascii="Times New Roman" w:hAnsi="Times New Roman" w:eastAsia="方正仿宋_GBK" w:cs="Times New Roman"/>
          <w:color w:val="auto"/>
          <w:spacing w:val="0"/>
          <w:sz w:val="32"/>
          <w:szCs w:val="32"/>
          <w:highlight w:val="none"/>
          <w:u w:val="none" w:color="auto"/>
          <w:shd w:val="clear" w:color="auto" w:fill="auto"/>
        </w:rPr>
        <w:t>重庆信息与智慧医学研究院</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成果转化、</w:t>
      </w:r>
      <w:r>
        <w:rPr>
          <w:rFonts w:hint="default" w:ascii="Times New Roman" w:hAnsi="Times New Roman" w:eastAsia="方正仿宋_GBK" w:cs="Times New Roman"/>
          <w:color w:val="auto"/>
          <w:spacing w:val="0"/>
          <w:sz w:val="32"/>
          <w:szCs w:val="32"/>
          <w:highlight w:val="none"/>
          <w:u w:val="none" w:color="auto"/>
          <w:shd w:val="clear" w:color="auto" w:fill="auto"/>
          <w:lang w:eastAsia="zh-CN"/>
        </w:rPr>
        <w:t>产业孵化</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牵引</w:t>
      </w:r>
      <w:r>
        <w:rPr>
          <w:rFonts w:hint="default" w:ascii="Times New Roman" w:hAnsi="Times New Roman" w:eastAsia="方正仿宋_GBK" w:cs="Times New Roman"/>
          <w:color w:val="auto"/>
          <w:spacing w:val="0"/>
          <w:sz w:val="32"/>
          <w:szCs w:val="32"/>
          <w:highlight w:val="none"/>
          <w:u w:val="none" w:color="auto"/>
          <w:shd w:val="clear" w:color="auto" w:fill="auto"/>
          <w:lang w:eastAsia="zh-CN"/>
        </w:rPr>
        <w:t>作用</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加快形成</w:t>
      </w:r>
      <w:r>
        <w:rPr>
          <w:rFonts w:hint="default" w:ascii="Times New Roman" w:hAnsi="Times New Roman" w:eastAsia="方正仿宋_GBK" w:cs="Times New Roman"/>
          <w:color w:val="auto"/>
          <w:spacing w:val="0"/>
          <w:sz w:val="32"/>
          <w:szCs w:val="32"/>
          <w:highlight w:val="none"/>
          <w:u w:val="none" w:color="auto"/>
          <w:shd w:val="clear" w:color="auto" w:fill="auto"/>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建成院士工作站5个，形成1个国家级、17个市级的重点实验室矩阵</w:t>
      </w:r>
      <w:r>
        <w:rPr>
          <w:rFonts w:hint="default" w:ascii="Times New Roman" w:hAnsi="Times New Roman" w:eastAsia="方正仿宋_GBK" w:cs="Times New Roman"/>
          <w:b w:val="0"/>
          <w:bCs w:val="0"/>
          <w:color w:val="auto"/>
          <w:spacing w:val="0"/>
          <w:sz w:val="32"/>
          <w:szCs w:val="32"/>
          <w:highlight w:val="none"/>
          <w:u w:val="none" w:color="auto"/>
          <w:lang w:val="en-US" w:eastAsia="zh-CN" w:bidi="ar"/>
        </w:rPr>
        <w:t>。</w:t>
      </w:r>
    </w:p>
    <w:p w14:paraId="0D28F9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val="0"/>
          <w:bCs w:val="0"/>
          <w:color w:val="auto"/>
          <w:spacing w:val="0"/>
          <w:sz w:val="32"/>
          <w:szCs w:val="32"/>
          <w:highlight w:val="none"/>
          <w:u w:val="none" w:color="auto"/>
          <w:lang w:val="en-US" w:eastAsia="zh-CN" w:bidi="ar-SA"/>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扩大高水平对外开放实现新提升。</w:t>
      </w:r>
      <w:r>
        <w:rPr>
          <w:rFonts w:hint="default" w:ascii="Times New Roman" w:hAnsi="Times New Roman" w:eastAsia="方正仿宋_GBK" w:cs="Times New Roman"/>
          <w:color w:val="auto"/>
          <w:spacing w:val="0"/>
          <w:sz w:val="32"/>
          <w:szCs w:val="32"/>
          <w:highlight w:val="none"/>
          <w:u w:val="none" w:color="auto"/>
          <w:lang w:val="en-US" w:eastAsia="zh-CN" w:bidi="ar-SA"/>
        </w:rPr>
        <w:t>西部陆海新通道、中新互联互通示范项目、自贸试验区建设稳步推进，</w:t>
      </w:r>
      <w:r>
        <w:rPr>
          <w:rFonts w:hint="default" w:ascii="Times New Roman" w:hAnsi="Times New Roman" w:eastAsia="方正仿宋_GBK" w:cs="Times New Roman"/>
          <w:color w:val="auto"/>
          <w:spacing w:val="0"/>
          <w:sz w:val="32"/>
          <w:szCs w:val="32"/>
          <w:highlight w:val="none"/>
          <w:u w:val="none" w:color="auto"/>
          <w:lang w:eastAsia="zh-CN"/>
        </w:rPr>
        <w:t>中新跨境融资</w:t>
      </w:r>
      <w:r>
        <w:rPr>
          <w:rFonts w:hint="default" w:ascii="Times New Roman" w:hAnsi="Times New Roman" w:eastAsia="方正仿宋_GBK" w:cs="Times New Roman"/>
          <w:color w:val="auto"/>
          <w:spacing w:val="0"/>
          <w:sz w:val="32"/>
          <w:szCs w:val="32"/>
          <w:highlight w:val="none"/>
          <w:u w:val="none" w:color="auto"/>
          <w:lang w:val="en-US" w:eastAsia="zh-CN"/>
        </w:rPr>
        <w:t>金额、自贸试验区</w:t>
      </w:r>
      <w:r>
        <w:rPr>
          <w:rFonts w:hint="default" w:ascii="Times New Roman" w:hAnsi="Times New Roman" w:eastAsia="方正仿宋_GBK" w:cs="Times New Roman"/>
          <w:b w:val="0"/>
          <w:bCs w:val="0"/>
          <w:color w:val="auto"/>
          <w:spacing w:val="0"/>
          <w:sz w:val="32"/>
          <w:szCs w:val="32"/>
          <w:highlight w:val="none"/>
          <w:u w:val="none" w:color="auto"/>
          <w:lang w:val="en-US" w:eastAsia="zh-CN"/>
        </w:rPr>
        <w:t>制度创新案例数量全市第1。实际使用外资占全市比重提高12.2%、达到17.4%。国际货代集聚区核心区启动建设。中国</w:t>
      </w:r>
      <w:r>
        <w:rPr>
          <w:rFonts w:hint="eastAsia" w:ascii="Times New Roman" w:hAnsi="Times New Roman" w:eastAsia="宋体" w:cs="宋体"/>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东盟法律服务中心揭牌成立。</w:t>
      </w:r>
      <w:r>
        <w:rPr>
          <w:rFonts w:hint="default" w:ascii="Times New Roman" w:hAnsi="Times New Roman" w:eastAsia="方正仿宋_GBK" w:cs="Times New Roman"/>
          <w:b w:val="0"/>
          <w:bCs w:val="0"/>
          <w:color w:val="auto"/>
          <w:spacing w:val="0"/>
          <w:sz w:val="32"/>
          <w:szCs w:val="32"/>
          <w:lang w:val="en-US" w:eastAsia="zh-CN"/>
        </w:rPr>
        <w:t>集聚全市1/2世界500强企业、2/3外资银行保险机构、全部15家驻渝领事机构。</w:t>
      </w:r>
      <w:r>
        <w:rPr>
          <w:rFonts w:hint="default" w:ascii="Times New Roman" w:hAnsi="Times New Roman" w:eastAsia="方正仿宋_GBK" w:cs="Times New Roman"/>
          <w:color w:val="auto"/>
          <w:spacing w:val="0"/>
          <w:sz w:val="32"/>
          <w:szCs w:val="32"/>
          <w:highlight w:val="none"/>
          <w:u w:val="none" w:color="auto"/>
        </w:rPr>
        <w:t>外向型经济发展水平、服务辐射</w:t>
      </w:r>
      <w:r>
        <w:rPr>
          <w:rFonts w:hint="default" w:ascii="Times New Roman" w:hAnsi="Times New Roman" w:eastAsia="方正仿宋_GBK" w:cs="Times New Roman"/>
          <w:color w:val="auto"/>
          <w:spacing w:val="0"/>
          <w:sz w:val="32"/>
          <w:szCs w:val="32"/>
          <w:highlight w:val="none"/>
          <w:u w:val="none" w:color="auto"/>
          <w:lang w:val="en-US" w:eastAsia="zh-CN"/>
        </w:rPr>
        <w:t>向西向南</w:t>
      </w:r>
      <w:r>
        <w:rPr>
          <w:rFonts w:hint="default" w:ascii="Times New Roman" w:hAnsi="Times New Roman" w:eastAsia="方正仿宋_GBK" w:cs="Times New Roman"/>
          <w:color w:val="auto"/>
          <w:spacing w:val="0"/>
          <w:sz w:val="32"/>
          <w:szCs w:val="32"/>
          <w:highlight w:val="none"/>
          <w:u w:val="none" w:color="auto"/>
        </w:rPr>
        <w:t>能级不断提升</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w:t>
      </w:r>
    </w:p>
    <w:p w14:paraId="4B5CCE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进一步全面深化改革实现新提升。</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三攻坚一盘活</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改革突破牵引重点领域改革取得积极进展，国企资产规模、营收年均分别增长6%、32%。</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高质量召开创业创新大会，每千人拥有市场经营主体数量全市第1。</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三同</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两不</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经验做法全市推广，</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投资渝中</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宜商渝中</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创享渝中</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品牌持续擦亮，</w:t>
      </w:r>
      <w:r>
        <w:rPr>
          <w:rFonts w:hint="default" w:ascii="Times New Roman" w:hAnsi="Times New Roman" w:eastAsia="方正仿宋_GBK" w:cs="Times New Roman"/>
          <w:color w:val="auto"/>
          <w:spacing w:val="0"/>
          <w:sz w:val="32"/>
          <w:szCs w:val="32"/>
        </w:rPr>
        <w:t>营商环境测评连续5年居全市第一方阵</w:t>
      </w:r>
      <w:r>
        <w:rPr>
          <w:rFonts w:hint="default"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z w:val="32"/>
          <w:szCs w:val="32"/>
          <w:lang w:val="en-US" w:eastAsia="zh-CN"/>
        </w:rPr>
        <w:t>荣膺全国营商环境典范城区、全市唯一</w:t>
      </w:r>
      <w:r>
        <w:rPr>
          <w:rFonts w:hint="default" w:ascii="Times New Roman" w:hAnsi="Times New Roman" w:eastAsia="方正仿宋_GBK" w:cs="Times New Roman"/>
          <w:color w:val="auto"/>
          <w:spacing w:val="0"/>
          <w:sz w:val="32"/>
          <w:szCs w:val="32"/>
        </w:rPr>
        <w:t>。</w:t>
      </w:r>
      <w:r>
        <w:rPr>
          <w:rFonts w:hint="default" w:ascii="Times New Roman" w:hAnsi="Times New Roman" w:eastAsia="方正仿宋_GBK" w:cs="Times New Roman"/>
          <w:b w:val="0"/>
          <w:bCs w:val="0"/>
          <w:color w:val="auto"/>
          <w:spacing w:val="0"/>
          <w:sz w:val="32"/>
          <w:szCs w:val="32"/>
          <w:lang w:val="en-US" w:eastAsia="zh-CN"/>
        </w:rPr>
        <w:t>国家服务业扩大开放综合试点等32项国家级试点落地见效，</w:t>
      </w:r>
      <w:r>
        <w:rPr>
          <w:rFonts w:hint="eastAsia" w:ascii="Times New Roman" w:hAnsi="Times New Roman" w:eastAsia="方正仿宋_GBK" w:cs="方正仿宋_GBK"/>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rPr>
        <w:t>探索可持续城市更新模式</w:t>
      </w:r>
      <w:r>
        <w:rPr>
          <w:rFonts w:hint="eastAsia" w:ascii="Times New Roman" w:hAnsi="Times New Roman" w:eastAsia="方正仿宋_GBK" w:cs="方正仿宋_GBK"/>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rPr>
        <w:t>等</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112</w:t>
      </w:r>
      <w:r>
        <w:rPr>
          <w:rFonts w:hint="default" w:ascii="Times New Roman" w:hAnsi="Times New Roman" w:eastAsia="方正仿宋_GBK" w:cs="Times New Roman"/>
          <w:color w:val="auto"/>
          <w:spacing w:val="0"/>
          <w:sz w:val="32"/>
          <w:szCs w:val="32"/>
          <w:highlight w:val="none"/>
          <w:u w:val="none" w:color="auto"/>
          <w:shd w:val="clear" w:color="auto" w:fill="auto"/>
        </w:rPr>
        <w:t>项改革经验入选全国、全市典型案例</w:t>
      </w:r>
      <w:r>
        <w:rPr>
          <w:rFonts w:hint="default" w:ascii="Times New Roman" w:hAnsi="Times New Roman" w:eastAsia="方正仿宋_GBK" w:cs="Times New Roman"/>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b w:val="0"/>
          <w:bCs w:val="0"/>
          <w:color w:val="auto"/>
          <w:spacing w:val="0"/>
          <w:sz w:val="32"/>
          <w:szCs w:val="32"/>
          <w:lang w:val="en-US" w:eastAsia="zh-CN"/>
        </w:rPr>
        <w:t>97项工作获国家部委肯定性评价</w:t>
      </w:r>
      <w:r>
        <w:rPr>
          <w:rFonts w:hint="default" w:ascii="Times New Roman" w:hAnsi="Times New Roman" w:eastAsia="方正仿宋_GBK" w:cs="Times New Roman"/>
          <w:color w:val="auto"/>
          <w:spacing w:val="0"/>
          <w:sz w:val="32"/>
          <w:szCs w:val="32"/>
          <w:highlight w:val="none"/>
          <w:u w:val="none" w:color="auto"/>
          <w:shd w:val="clear" w:color="auto" w:fill="auto"/>
        </w:rPr>
        <w:t>。</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rPr>
        <w:t>完善人员密集场所风险联防联控机制</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获全市改革创新奖。</w:t>
      </w:r>
    </w:p>
    <w:p w14:paraId="187E70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val="0"/>
          <w:bCs w:val="0"/>
          <w:color w:val="auto"/>
          <w:spacing w:val="0"/>
          <w:sz w:val="32"/>
          <w:szCs w:val="32"/>
          <w:highlight w:val="none"/>
          <w:u w:val="none" w:color="auto"/>
          <w:lang w:val="en-US" w:eastAsia="zh-CN" w:bidi="ar-SA"/>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城市功能品质实现新提升。</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全国首批城市更新试点取得显著成效，红岩村大桥、解放碑地下环道等重大基础设施项目建成投用，绿色金融大道、国际消费大道、朝天门广场等标志性项目提质建设，大都会广场、地王广场等老旧楼宇蝶变升级，十八梯、山城巷、鲁祖庙等传统风貌街区焕新亮相，鹅岭栈桥、半山崖线等特色场景火爆出圈。老旧小区改造累计完成810万平方米，惠及居民11万余户，城镇老旧小区改造、棚户区改造、发展保障性租赁住房工作获国务院督查激励。重庆中心、恒大云邸等</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保交楼</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保交房</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平稳交付，鼎好·世纪星城四期、泛华大厦等6个</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两久</w:t>
      </w:r>
      <w:r>
        <w:rPr>
          <w:rFonts w:hint="eastAsia" w:ascii="Times New Roman" w:hAnsi="Times New Roman" w:eastAsia="方正仿宋_GBK" w:cs="方正仿宋_GBK"/>
          <w:b w:val="0"/>
          <w:bCs w:val="0"/>
          <w:color w:val="auto"/>
          <w:spacing w:val="0"/>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bidi="ar-SA"/>
        </w:rPr>
        <w:t>项目完成攻坚，城市承载力、吸引力和可持续发展能力全面增强。</w:t>
      </w:r>
    </w:p>
    <w:p w14:paraId="0B1ABD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数字重庆赋能超大城市中心城区现代化治理实现新提升。</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eastAsia="zh-CN"/>
        </w:rPr>
        <w:t>全面贯彻落实</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1361</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eastAsia="zh-CN"/>
        </w:rPr>
        <w:t>数字重庆建设总体部署，</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创新构建</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1+8+N+11</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城市治理指挥体系。数字资源底座不断夯实，</w:t>
      </w:r>
      <w:r>
        <w:rPr>
          <w:rFonts w:hint="default" w:ascii="Times New Roman" w:hAnsi="Times New Roman" w:eastAsia="方正仿宋_GBK" w:cs="Times New Roman"/>
          <w:b w:val="0"/>
          <w:bCs w:val="0"/>
          <w:color w:val="auto"/>
          <w:spacing w:val="0"/>
          <w:kern w:val="2"/>
          <w:sz w:val="32"/>
          <w:szCs w:val="32"/>
          <w:highlight w:val="none"/>
          <w:u w:val="none" w:color="auto"/>
          <w:shd w:val="clear" w:color="auto" w:fill="auto"/>
          <w:lang w:val="en-US" w:eastAsia="zh-CN" w:bidi="ar"/>
        </w:rPr>
        <w:t>数字化城市运行和治理中心高效运行，</w:t>
      </w:r>
      <w:r>
        <w:rPr>
          <w:rFonts w:hint="eastAsia" w:ascii="Times New Roman" w:hAnsi="Times New Roman" w:eastAsia="方正仿宋_GBK" w:cs="方正仿宋_GBK"/>
          <w:b w:val="0"/>
          <w:bCs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shd w:val="clear" w:color="auto" w:fill="auto"/>
          <w:lang w:val="en-US" w:eastAsia="zh-CN" w:bidi="ar"/>
        </w:rPr>
        <w:t>大综合一体化</w:t>
      </w:r>
      <w:r>
        <w:rPr>
          <w:rFonts w:hint="eastAsia" w:ascii="Times New Roman" w:hAnsi="Times New Roman" w:eastAsia="方正仿宋_GBK" w:cs="方正仿宋_GBK"/>
          <w:b w:val="0"/>
          <w:bCs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治理体系协同发力，在全市率先实现</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多中心合一</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，城市便民服务效能和风险防控能力全面提升。网约房智管新模式、</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渝中消防</w:t>
      </w:r>
      <w:r>
        <w:rPr>
          <w:rFonts w:hint="eastAsia" w:ascii="Times New Roman" w:hAnsi="Times New Roman" w:eastAsia="方正仿宋_GBK" w:cs="方正仿宋_GBK"/>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综合场景、探索立体化安保新路子等经验做法获全国、全市推广</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，获评首批全国社会治安防控体系建设示范城市，城区治理科学化、精细化、智能化水平走在全市前列。</w:t>
      </w:r>
    </w:p>
    <w:p w14:paraId="20C106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color w:val="auto"/>
          <w:spacing w:val="0"/>
          <w:sz w:val="32"/>
          <w:szCs w:val="32"/>
          <w:highlight w:val="none"/>
          <w:u w:val="none" w:color="auto"/>
          <w:lang w:eastAsia="zh-CN"/>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新时代文化旅游强区建设实现新提升。</w:t>
      </w:r>
      <w:r>
        <w:rPr>
          <w:rFonts w:hint="default" w:ascii="Times New Roman" w:hAnsi="Times New Roman" w:eastAsia="方正仿宋_GBK" w:cs="Times New Roman"/>
          <w:color w:val="auto"/>
          <w:spacing w:val="0"/>
          <w:sz w:val="32"/>
          <w:szCs w:val="32"/>
          <w:highlight w:val="none"/>
          <w:u w:val="none" w:color="auto"/>
          <w:lang w:val="en-US" w:eastAsia="zh-CN"/>
        </w:rPr>
        <w:t>党的创新理论凝心铸魂成效显著提升</w:t>
      </w:r>
      <w:r>
        <w:rPr>
          <w:rFonts w:hint="default" w:ascii="Times New Roman" w:hAnsi="Times New Roman" w:eastAsia="方正仿宋_GBK" w:cs="Times New Roman"/>
          <w:color w:val="auto"/>
          <w:spacing w:val="0"/>
          <w:sz w:val="32"/>
          <w:szCs w:val="32"/>
          <w:highlight w:val="none"/>
          <w:u w:val="none" w:color="auto"/>
        </w:rPr>
        <w:t>，</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行走的思政课</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品牌、社会风气提升工作经验被中宣部推介。</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母城</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文化</w:t>
      </w:r>
      <w:r>
        <w:rPr>
          <w:rFonts w:hint="default" w:ascii="Times New Roman" w:hAnsi="Times New Roman" w:eastAsia="方正仿宋_GBK" w:cs="Times New Roman"/>
          <w:color w:val="auto"/>
          <w:spacing w:val="0"/>
          <w:sz w:val="32"/>
          <w:szCs w:val="32"/>
          <w:highlight w:val="none"/>
          <w:u w:val="none" w:color="auto"/>
          <w:lang w:val="en-US" w:eastAsia="zh-CN"/>
        </w:rPr>
        <w:t>实现更好</w:t>
      </w:r>
      <w:r>
        <w:rPr>
          <w:rFonts w:hint="default" w:ascii="Times New Roman" w:hAnsi="Times New Roman" w:eastAsia="方正仿宋_GBK" w:cs="Times New Roman"/>
          <w:color w:val="auto"/>
          <w:spacing w:val="0"/>
          <w:sz w:val="32"/>
          <w:szCs w:val="32"/>
          <w:highlight w:val="none"/>
          <w:u w:val="none" w:color="auto"/>
        </w:rPr>
        <w:t>保护利用</w:t>
      </w:r>
      <w:r>
        <w:rPr>
          <w:rFonts w:hint="default" w:ascii="Times New Roman" w:hAnsi="Times New Roman" w:eastAsia="方正仿宋_GBK" w:cs="Times New Roman"/>
          <w:color w:val="auto"/>
          <w:spacing w:val="0"/>
          <w:sz w:val="32"/>
          <w:szCs w:val="32"/>
          <w:highlight w:val="none"/>
          <w:u w:val="none" w:color="auto"/>
          <w:lang w:eastAsia="zh-CN"/>
        </w:rPr>
        <w:t>，全国首家省级区划地名历史文化展示馆</w:t>
      </w:r>
      <w:r>
        <w:rPr>
          <w:rFonts w:hint="default" w:ascii="Times New Roman" w:hAnsi="Times New Roman" w:eastAsia="方正仿宋_GBK" w:cs="Times New Roman"/>
          <w:color w:val="auto"/>
          <w:spacing w:val="0"/>
          <w:sz w:val="32"/>
          <w:szCs w:val="32"/>
          <w:highlight w:val="none"/>
          <w:u w:val="none" w:color="auto"/>
          <w:lang w:val="en-US" w:eastAsia="zh-CN"/>
        </w:rPr>
        <w:t>建成开放</w:t>
      </w:r>
      <w:r>
        <w:rPr>
          <w:rFonts w:hint="default" w:ascii="Times New Roman" w:hAnsi="Times New Roman" w:eastAsia="方正仿宋_GBK" w:cs="Times New Roman"/>
          <w:color w:val="auto"/>
          <w:spacing w:val="0"/>
          <w:sz w:val="32"/>
          <w:szCs w:val="32"/>
          <w:highlight w:val="none"/>
          <w:u w:val="none" w:color="auto"/>
          <w:lang w:eastAsia="zh-CN"/>
        </w:rPr>
        <w:t>，</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红色三岩</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革命文物保护利用项目入选全国十佳案例，老鼓楼衙署遗址成功列入《中国世界文化遗产预备名录》。文艺精品创作成绩斐然，荣获文华奖、群星奖等国家级文艺奖项3个。</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文商旅体城深度融合发展，常态化服务保障无人机灯光秀，渝中C位登场央视春晚重庆分会场，</w:t>
      </w:r>
      <w:r>
        <w:rPr>
          <w:rFonts w:hint="default" w:ascii="Times New Roman" w:hAnsi="Times New Roman" w:eastAsia="方正仿宋_GBK" w:cs="Times New Roman"/>
          <w:color w:val="auto"/>
          <w:spacing w:val="0"/>
          <w:sz w:val="32"/>
          <w:szCs w:val="32"/>
          <w:highlight w:val="none"/>
          <w:u w:val="none" w:color="auto"/>
          <w:lang w:eastAsia="zh-CN"/>
        </w:rPr>
        <w:t>作为全市唯一区县入选国家文化和旅游消费示范城市，连续13年保持</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全国文明城区</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金字招牌，连续七届获评</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全国双拥模范城</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社会文明程度</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市民文明素质</w:t>
      </w:r>
      <w:r>
        <w:rPr>
          <w:rFonts w:hint="default" w:ascii="Times New Roman" w:hAnsi="Times New Roman" w:eastAsia="方正仿宋_GBK" w:cs="Times New Roman"/>
          <w:color w:val="auto"/>
          <w:spacing w:val="0"/>
          <w:sz w:val="32"/>
          <w:szCs w:val="32"/>
          <w:highlight w:val="none"/>
          <w:u w:val="none" w:color="auto"/>
        </w:rPr>
        <w:t>达到新水平</w:t>
      </w:r>
      <w:r>
        <w:rPr>
          <w:rFonts w:hint="default" w:ascii="Times New Roman" w:hAnsi="Times New Roman" w:eastAsia="方正仿宋_GBK" w:cs="Times New Roman"/>
          <w:color w:val="auto"/>
          <w:spacing w:val="0"/>
          <w:sz w:val="32"/>
          <w:szCs w:val="32"/>
          <w:highlight w:val="none"/>
          <w:u w:val="none" w:color="auto"/>
          <w:lang w:eastAsia="zh-CN"/>
        </w:rPr>
        <w:t>。</w:t>
      </w:r>
    </w:p>
    <w:p w14:paraId="1F33BA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美丽渝中建设实现新提升。</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一体推进</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九治</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成效明显，空气质量首次实现</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六指标</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全达标，在全国率先开展内河船舶尾气治理，</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两江</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渝中段地表水水质稳定保持Ⅱ类标准。入选8个市级绿色低碳典型案例、全市最多，单位地区</w:t>
      </w:r>
      <w:r>
        <w:rPr>
          <w:rFonts w:hint="default" w:ascii="Times New Roman" w:hAnsi="Times New Roman" w:eastAsia="方正仿宋_GBK" w:cs="Times New Roman"/>
          <w:color w:val="auto"/>
          <w:spacing w:val="0"/>
          <w:sz w:val="32"/>
          <w:szCs w:val="32"/>
          <w:highlight w:val="none"/>
          <w:u w:val="none" w:color="auto"/>
          <w:lang w:val="en-US" w:eastAsia="zh-CN"/>
        </w:rPr>
        <w:t>生产总值</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碳排放量保持全国</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最优</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序列。</w:t>
      </w:r>
      <w:r>
        <w:rPr>
          <w:rFonts w:hint="default" w:ascii="Times New Roman" w:hAnsi="Times New Roman" w:eastAsia="方正仿宋_GBK" w:cs="Times New Roman"/>
          <w:color w:val="auto"/>
          <w:spacing w:val="0"/>
          <w:sz w:val="32"/>
          <w:szCs w:val="32"/>
          <w:lang w:val="en-US" w:eastAsia="zh-CN"/>
        </w:rPr>
        <w:t>建成</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一带六横十六纵</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shd w:val="clear" w:color="auto" w:fill="FFFFFF"/>
          <w:lang w:val="en-US" w:eastAsia="zh-CN"/>
        </w:rPr>
        <w:t>山城步道系统，完善</w:t>
      </w:r>
      <w:r>
        <w:rPr>
          <w:rFonts w:hint="eastAsia" w:ascii="Times New Roman" w:hAnsi="Times New Roman" w:eastAsia="方正仿宋_GBK" w:cs="方正仿宋_GBK"/>
          <w:color w:val="auto"/>
          <w:spacing w:val="0"/>
          <w:sz w:val="32"/>
          <w:szCs w:val="32"/>
          <w:shd w:val="clear" w:color="auto" w:fill="FFFFFF"/>
          <w:lang w:val="en-US" w:eastAsia="zh-CN"/>
        </w:rPr>
        <w:t>“</w:t>
      </w:r>
      <w:r>
        <w:rPr>
          <w:rFonts w:hint="default" w:ascii="Times New Roman" w:hAnsi="Times New Roman" w:eastAsia="方正仿宋_GBK" w:cs="Times New Roman"/>
          <w:color w:val="auto"/>
          <w:spacing w:val="0"/>
          <w:sz w:val="32"/>
          <w:szCs w:val="32"/>
          <w:shd w:val="clear" w:color="auto" w:fill="FFFFFF"/>
          <w:lang w:val="en-US" w:eastAsia="zh-CN"/>
        </w:rPr>
        <w:t>五横七纵</w:t>
      </w:r>
      <w:r>
        <w:rPr>
          <w:rFonts w:hint="eastAsia" w:ascii="Times New Roman" w:hAnsi="Times New Roman" w:eastAsia="方正仿宋_GBK" w:cs="方正仿宋_GBK"/>
          <w:color w:val="auto"/>
          <w:spacing w:val="0"/>
          <w:sz w:val="32"/>
          <w:szCs w:val="32"/>
          <w:shd w:val="clear" w:color="auto" w:fill="FFFFFF"/>
          <w:lang w:val="en-US" w:eastAsia="zh-CN"/>
        </w:rPr>
        <w:t>”</w:t>
      </w:r>
      <w:r>
        <w:rPr>
          <w:rFonts w:hint="default" w:ascii="Times New Roman" w:hAnsi="Times New Roman" w:eastAsia="方正仿宋_GBK" w:cs="Times New Roman"/>
          <w:color w:val="auto"/>
          <w:spacing w:val="0"/>
          <w:sz w:val="32"/>
          <w:szCs w:val="32"/>
          <w:shd w:val="clear" w:color="auto" w:fill="FFFFFF"/>
          <w:lang w:val="en-US" w:eastAsia="zh-CN"/>
        </w:rPr>
        <w:t>轨道交通网络</w:t>
      </w:r>
      <w:r>
        <w:rPr>
          <w:rFonts w:hint="default" w:ascii="Times New Roman" w:hAnsi="Times New Roman" w:eastAsia="方正仿宋_GBK" w:cs="Times New Roman"/>
          <w:color w:val="auto"/>
          <w:spacing w:val="0"/>
          <w:sz w:val="32"/>
          <w:szCs w:val="32"/>
          <w:lang w:val="en-US" w:eastAsia="zh-CN"/>
        </w:rPr>
        <w:t>，鹅岭—虎头岩10.8公里山脊线积翠成廊，21万平方米坡坎崖、143万平方米消落带蝶变</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城市绿毯</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亲水乐园</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，珊瑚公园、黄沙溪等6个生态修复项目焕新开放，</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开往春天的列车</w:t>
      </w:r>
      <w:r>
        <w:rPr>
          <w:rFonts w:hint="eastAsia" w:ascii="Times New Roman" w:hAnsi="Times New Roman" w:eastAsia="方正仿宋_GBK" w:cs="方正仿宋_GBK"/>
          <w:color w:val="auto"/>
          <w:spacing w:val="0"/>
          <w:sz w:val="32"/>
          <w:szCs w:val="32"/>
          <w:lang w:val="en-US" w:eastAsia="zh-CN"/>
        </w:rPr>
        <w:t>”</w:t>
      </w:r>
      <w:r>
        <w:rPr>
          <w:rFonts w:hint="default" w:ascii="Times New Roman" w:hAnsi="Times New Roman" w:eastAsia="方正仿宋_GBK" w:cs="Times New Roman"/>
          <w:color w:val="auto"/>
          <w:spacing w:val="0"/>
          <w:sz w:val="32"/>
          <w:szCs w:val="32"/>
          <w:lang w:val="en-US" w:eastAsia="zh-CN"/>
        </w:rPr>
        <w:t>成为山城新名片。</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成功入选绿色低碳交通强国建设第一批试点、</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中国美丽城市典范</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，均为全市唯一。成功申请全球环境基金（GEF）医疗机构无汞替代试点项目、中西部地区唯一。获评第八届世界金融论坛年会</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地方政府ESG创新奖</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、西部唯一。</w:t>
      </w:r>
    </w:p>
    <w:p w14:paraId="58E356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pPr>
      <w:r>
        <w:rPr>
          <w:rFonts w:hint="default" w:ascii="方正楷体_GBK" w:hAnsi="方正楷体_GBK" w:eastAsia="方正楷体_GBK" w:cs="方正楷体_GBK"/>
          <w:color w:val="auto"/>
          <w:spacing w:val="0"/>
          <w:sz w:val="32"/>
          <w:szCs w:val="32"/>
          <w:highlight w:val="none"/>
          <w:u w:val="none" w:color="auto"/>
          <w:shd w:val="clear" w:color="auto" w:fill="auto"/>
          <w:lang w:val="en-US" w:eastAsia="zh-CN"/>
        </w:rPr>
        <w:t>惠民富民安民质效实现新提升。</w:t>
      </w:r>
      <w:r>
        <w:rPr>
          <w:rFonts w:hint="default" w:ascii="Times New Roman" w:hAnsi="Times New Roman" w:eastAsia="方正仿宋_GBK" w:cs="Times New Roman"/>
          <w:b w:val="0"/>
          <w:bCs w:val="0"/>
          <w:color w:val="auto"/>
          <w:spacing w:val="0"/>
          <w:kern w:val="2"/>
          <w:sz w:val="32"/>
          <w:szCs w:val="32"/>
          <w:highlight w:val="none"/>
          <w:u w:val="none" w:color="auto"/>
          <w:shd w:val="clear" w:color="auto" w:fill="auto"/>
          <w:lang w:val="en-US" w:eastAsia="zh-CN" w:bidi="ar-SA"/>
        </w:rPr>
        <w:t>年度15件重点民生实事、</w:t>
      </w:r>
      <w:r>
        <w:rPr>
          <w:rFonts w:hint="eastAsia" w:ascii="Times New Roman" w:hAnsi="Times New Roman" w:eastAsia="方正仿宋_GBK" w:cs="方正仿宋_GBK"/>
          <w:b w:val="0"/>
          <w:bCs w:val="0"/>
          <w:color w:val="auto"/>
          <w:spacing w:val="0"/>
          <w:kern w:val="2"/>
          <w:sz w:val="32"/>
          <w:szCs w:val="32"/>
          <w:highlight w:val="none"/>
          <w:u w:val="none" w:color="auto"/>
          <w:shd w:val="clear" w:color="auto" w:fill="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shd w:val="clear" w:color="auto" w:fill="auto"/>
          <w:lang w:val="en-US" w:eastAsia="zh-CN" w:bidi="ar-SA"/>
        </w:rPr>
        <w:t>8大人生关怀</w:t>
      </w:r>
      <w:r>
        <w:rPr>
          <w:rFonts w:hint="eastAsia" w:ascii="Times New Roman" w:hAnsi="Times New Roman" w:eastAsia="方正仿宋_GBK" w:cs="方正仿宋_GBK"/>
          <w:b w:val="0"/>
          <w:bCs w:val="0"/>
          <w:color w:val="auto"/>
          <w:spacing w:val="0"/>
          <w:kern w:val="2"/>
          <w:sz w:val="32"/>
          <w:szCs w:val="32"/>
          <w:highlight w:val="none"/>
          <w:u w:val="none" w:color="auto"/>
          <w:shd w:val="clear" w:color="auto" w:fill="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shd w:val="clear" w:color="auto" w:fill="auto"/>
          <w:lang w:val="en-US" w:eastAsia="zh-CN" w:bidi="ar-SA"/>
        </w:rPr>
        <w:t>行动暖心于民，</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15分钟高品质生活服务圈</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加快打造。就业人口净增21万人、突破80万人，获评全市首批高质量充分就业区，城镇居民人均可支配收入</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保持全市第1</w:t>
      </w:r>
      <w:r>
        <w:rPr>
          <w:rFonts w:hint="default" w:ascii="Times New Roman" w:hAnsi="Times New Roman" w:eastAsia="方正仿宋_GBK" w:cs="Times New Roman"/>
          <w:b w:val="0"/>
          <w:bCs w:val="0"/>
          <w:color w:val="auto"/>
          <w:spacing w:val="0"/>
          <w:sz w:val="32"/>
          <w:szCs w:val="32"/>
          <w:highlight w:val="none"/>
          <w:u w:val="none" w:color="auto"/>
          <w:shd w:val="clear" w:color="auto" w:fill="auto"/>
          <w:lang w:val="en-US" w:eastAsia="zh-CN"/>
        </w:rPr>
        <w:t>。</w:t>
      </w:r>
      <w:r>
        <w:rPr>
          <w:rFonts w:hint="default" w:ascii="Times New Roman" w:hAnsi="Times New Roman" w:eastAsia="方正仿宋_GBK" w:cs="Times New Roman"/>
          <w:color w:val="auto"/>
          <w:spacing w:val="0"/>
          <w:sz w:val="32"/>
          <w:szCs w:val="32"/>
          <w:highlight w:val="none"/>
          <w:u w:val="none" w:color="auto"/>
          <w:shd w:val="clear" w:color="auto" w:fill="auto"/>
          <w:lang w:val="en-US" w:eastAsia="zh-CN"/>
        </w:rPr>
        <w:t>人均预期寿命达到国内发达城市水平，群众体育工作获全国表彰，入选首批国家儿童友好城市试点，创建全市首个全国学前教育普及普惠和义务教育优质均衡发展区，</w:t>
      </w:r>
      <w:r>
        <w:rPr>
          <w:rFonts w:hint="default" w:ascii="Times New Roman" w:hAnsi="Times New Roman" w:eastAsia="方正仿宋_GBK" w:cs="Times New Roman"/>
          <w:i w:val="0"/>
          <w:iCs w:val="0"/>
          <w:caps w:val="0"/>
          <w:color w:val="auto"/>
          <w:spacing w:val="0"/>
          <w:sz w:val="32"/>
          <w:szCs w:val="32"/>
          <w:highlight w:val="none"/>
          <w:u w:val="none" w:color="auto"/>
          <w:shd w:val="clear" w:color="auto" w:fill="auto"/>
        </w:rPr>
        <w:t>居家和社区基本养老服务提升行动获评全国优秀</w:t>
      </w:r>
      <w:r>
        <w:rPr>
          <w:rFonts w:hint="default" w:ascii="Times New Roman" w:hAnsi="Times New Roman" w:eastAsia="方正仿宋_GBK" w:cs="Times New Roman"/>
          <w:color w:val="auto"/>
          <w:spacing w:val="0"/>
          <w:kern w:val="2"/>
          <w:sz w:val="32"/>
          <w:szCs w:val="32"/>
          <w:highlight w:val="none"/>
          <w:u w:val="none" w:color="auto"/>
          <w:shd w:val="clear" w:color="auto" w:fill="auto"/>
          <w:lang w:val="en-US" w:eastAsia="zh-CN"/>
        </w:rPr>
        <w:t>。平安渝中法治渝中建设一体推进、成效显著，</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安全事故、火灾、刑事发案数量大幅下降，成功创建</w:t>
      </w:r>
      <w:r>
        <w:rPr>
          <w:rFonts w:hint="default" w:ascii="Times New Roman" w:hAnsi="Times New Roman" w:eastAsia="方正仿宋_GBK" w:cs="Times New Roman"/>
          <w:color w:val="auto"/>
          <w:spacing w:val="0"/>
          <w:sz w:val="32"/>
          <w:szCs w:val="32"/>
          <w:highlight w:val="none"/>
          <w:u w:val="none" w:color="auto"/>
          <w:lang w:val="en-US" w:eastAsia="zh-CN"/>
        </w:rPr>
        <w:t>首批全国法治政府建设示范区，</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群众获得感、幸福感、安全感和认同感明显增强。</w:t>
      </w:r>
    </w:p>
    <w:p w14:paraId="1CB2A320">
      <w:pPr>
        <w:keepNext w:val="0"/>
        <w:keepLines w:val="0"/>
        <w:pageBreakBefore w:val="0"/>
        <w:tabs>
          <w:tab w:val="left" w:pos="8400"/>
        </w:tabs>
        <w:kinsoku/>
        <w:wordWrap/>
        <w:topLinePunct w:val="0"/>
        <w:autoSpaceDE/>
        <w:autoSpaceDN/>
        <w:bidi w:val="0"/>
        <w:spacing w:line="600" w:lineRule="exact"/>
        <w:jc w:val="center"/>
        <w:rPr>
          <w:rFonts w:hint="default" w:ascii="Times New Roman" w:hAnsi="Times New Roman" w:eastAsia="方正黑体_GBK" w:cs="Times New Roman"/>
          <w:color w:val="auto"/>
          <w:kern w:val="2"/>
          <w:sz w:val="32"/>
          <w:szCs w:val="32"/>
          <w:highlight w:val="none"/>
          <w:u w:val="none" w:color="auto"/>
          <w:lang w:val="en-US" w:eastAsia="zh-CN" w:bidi="ar-SA"/>
        </w:rPr>
      </w:pPr>
      <w:r>
        <w:rPr>
          <w:rFonts w:hint="default" w:ascii="Times New Roman" w:hAnsi="Times New Roman" w:eastAsia="方正黑体_GBK" w:cs="Times New Roman"/>
          <w:color w:val="auto"/>
          <w:kern w:val="2"/>
          <w:sz w:val="32"/>
          <w:szCs w:val="32"/>
          <w:highlight w:val="none"/>
          <w:u w:val="none" w:color="auto"/>
          <w:lang w:val="en-US" w:eastAsia="zh-CN" w:bidi="ar-SA"/>
        </w:rPr>
        <w:t>表1  渝中区</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黑体_GBK" w:cs="Times New Roman"/>
          <w:color w:val="auto"/>
          <w:kern w:val="2"/>
          <w:sz w:val="32"/>
          <w:szCs w:val="32"/>
          <w:highlight w:val="none"/>
          <w:u w:val="none" w:color="auto"/>
          <w:lang w:val="en-US" w:eastAsia="zh-CN" w:bidi="ar-SA"/>
        </w:rPr>
        <w:t>十四五</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黑体_GBK" w:cs="Times New Roman"/>
          <w:color w:val="auto"/>
          <w:kern w:val="2"/>
          <w:sz w:val="32"/>
          <w:szCs w:val="32"/>
          <w:highlight w:val="none"/>
          <w:u w:val="none" w:color="auto"/>
          <w:lang w:val="en-US" w:eastAsia="zh-CN" w:bidi="ar-SA"/>
        </w:rPr>
        <w:t>规划主要指标完成情况</w:t>
      </w:r>
    </w:p>
    <w:tbl>
      <w:tblPr>
        <w:tblStyle w:val="20"/>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23" w:type="dxa"/>
          <w:bottom w:w="0" w:type="dxa"/>
          <w:right w:w="23" w:type="dxa"/>
        </w:tblCellMar>
      </w:tblPr>
      <w:tblGrid>
        <w:gridCol w:w="535"/>
        <w:gridCol w:w="1754"/>
        <w:gridCol w:w="803"/>
        <w:gridCol w:w="849"/>
        <w:gridCol w:w="877"/>
        <w:gridCol w:w="859"/>
        <w:gridCol w:w="868"/>
        <w:gridCol w:w="923"/>
        <w:gridCol w:w="1024"/>
        <w:gridCol w:w="905"/>
      </w:tblGrid>
      <w:tr w14:paraId="3922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23" w:type="dxa"/>
            <w:bottom w:w="0" w:type="dxa"/>
            <w:right w:w="23" w:type="dxa"/>
          </w:tblCellMar>
        </w:tblPrEx>
        <w:trPr>
          <w:trHeight w:val="567" w:hRule="atLeast"/>
          <w:tblHeader/>
          <w:jc w:val="center"/>
        </w:trPr>
        <w:tc>
          <w:tcPr>
            <w:tcW w:w="535" w:type="dxa"/>
            <w:shd w:val="clear" w:color="auto" w:fill="auto"/>
            <w:vAlign w:val="center"/>
          </w:tcPr>
          <w:p w14:paraId="6E32BB49">
            <w:pPr>
              <w:keepNext w:val="0"/>
              <w:keepLines w:val="0"/>
              <w:widowControl/>
              <w:suppressLineNumbers w:val="0"/>
              <w:spacing w:line="300" w:lineRule="exact"/>
              <w:jc w:val="center"/>
              <w:textAlignment w:val="center"/>
              <w:rPr>
                <w:rFonts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序号</w:t>
            </w:r>
          </w:p>
        </w:tc>
        <w:tc>
          <w:tcPr>
            <w:tcW w:w="1754" w:type="dxa"/>
            <w:shd w:val="clear" w:color="auto" w:fill="auto"/>
            <w:vAlign w:val="center"/>
          </w:tcPr>
          <w:p w14:paraId="3058648B">
            <w:pPr>
              <w:keepNext w:val="0"/>
              <w:keepLines w:val="0"/>
              <w:widowControl/>
              <w:suppressLineNumbers w:val="0"/>
              <w:spacing w:line="30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指标名称</w:t>
            </w:r>
          </w:p>
        </w:tc>
        <w:tc>
          <w:tcPr>
            <w:tcW w:w="803" w:type="dxa"/>
            <w:shd w:val="clear" w:color="auto" w:fill="auto"/>
            <w:vAlign w:val="center"/>
          </w:tcPr>
          <w:p w14:paraId="01B140E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2025</w:t>
            </w:r>
            <w:r>
              <w:rPr>
                <w:rFonts w:hint="default" w:ascii="Times New Roman" w:hAnsi="Times New Roman" w:eastAsia="方正黑体_GBK" w:cs="Times New Roman"/>
                <w:i w:val="0"/>
                <w:iCs w:val="0"/>
                <w:color w:val="auto"/>
                <w:kern w:val="0"/>
                <w:sz w:val="20"/>
                <w:szCs w:val="20"/>
                <w:u w:val="none"/>
                <w:lang w:val="en-US" w:eastAsia="zh-CN" w:bidi="ar"/>
              </w:rPr>
              <w:t>年目标</w:t>
            </w:r>
          </w:p>
        </w:tc>
        <w:tc>
          <w:tcPr>
            <w:tcW w:w="849" w:type="dxa"/>
            <w:shd w:val="clear" w:color="auto" w:fill="auto"/>
            <w:vAlign w:val="center"/>
          </w:tcPr>
          <w:p w14:paraId="7F4E0ED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2021</w:t>
            </w:r>
            <w:r>
              <w:rPr>
                <w:rFonts w:hint="default" w:ascii="Times New Roman" w:hAnsi="Times New Roman" w:eastAsia="方正黑体_GBK" w:cs="Times New Roman"/>
                <w:i w:val="0"/>
                <w:iCs w:val="0"/>
                <w:color w:val="auto"/>
                <w:kern w:val="0"/>
                <w:sz w:val="20"/>
                <w:szCs w:val="20"/>
                <w:u w:val="none"/>
                <w:lang w:val="en-US" w:eastAsia="zh-CN" w:bidi="ar"/>
              </w:rPr>
              <w:t>年完成情况</w:t>
            </w:r>
          </w:p>
        </w:tc>
        <w:tc>
          <w:tcPr>
            <w:tcW w:w="877" w:type="dxa"/>
            <w:shd w:val="clear" w:color="auto" w:fill="auto"/>
            <w:vAlign w:val="center"/>
          </w:tcPr>
          <w:p w14:paraId="339E428C">
            <w:pPr>
              <w:keepNext w:val="0"/>
              <w:keepLines w:val="0"/>
              <w:widowControl/>
              <w:suppressLineNumbers w:val="0"/>
              <w:spacing w:line="300" w:lineRule="exact"/>
              <w:jc w:val="center"/>
              <w:textAlignment w:val="center"/>
              <w:rPr>
                <w:rFonts w:hint="default" w:ascii="Times New Roman" w:hAnsi="Times New Roman" w:eastAsia="方正黑体_GBK"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2022</w:t>
            </w:r>
            <w:r>
              <w:rPr>
                <w:rFonts w:hint="default" w:ascii="Times New Roman" w:hAnsi="Times New Roman" w:eastAsia="方正黑体_GBK" w:cs="Times New Roman"/>
                <w:i w:val="0"/>
                <w:iCs w:val="0"/>
                <w:color w:val="auto"/>
                <w:kern w:val="0"/>
                <w:sz w:val="20"/>
                <w:szCs w:val="20"/>
                <w:u w:val="none"/>
                <w:lang w:val="en-US" w:eastAsia="zh-CN" w:bidi="ar"/>
              </w:rPr>
              <w:t>年</w:t>
            </w:r>
          </w:p>
          <w:p w14:paraId="4A0F123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完成情况</w:t>
            </w:r>
          </w:p>
        </w:tc>
        <w:tc>
          <w:tcPr>
            <w:tcW w:w="859" w:type="dxa"/>
            <w:shd w:val="clear" w:color="auto" w:fill="auto"/>
            <w:vAlign w:val="center"/>
          </w:tcPr>
          <w:p w14:paraId="4A3501C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2023</w:t>
            </w:r>
            <w:r>
              <w:rPr>
                <w:rFonts w:hint="default" w:ascii="Times New Roman" w:hAnsi="Times New Roman" w:eastAsia="方正黑体_GBK" w:cs="Times New Roman"/>
                <w:i w:val="0"/>
                <w:iCs w:val="0"/>
                <w:color w:val="auto"/>
                <w:kern w:val="0"/>
                <w:sz w:val="20"/>
                <w:szCs w:val="20"/>
                <w:u w:val="none"/>
                <w:lang w:val="en-US" w:eastAsia="zh-CN" w:bidi="ar"/>
              </w:rPr>
              <w:t>年完成情况</w:t>
            </w:r>
          </w:p>
        </w:tc>
        <w:tc>
          <w:tcPr>
            <w:tcW w:w="868" w:type="dxa"/>
            <w:shd w:val="clear" w:color="auto" w:fill="auto"/>
            <w:vAlign w:val="center"/>
          </w:tcPr>
          <w:p w14:paraId="1565752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2024</w:t>
            </w:r>
            <w:r>
              <w:rPr>
                <w:rFonts w:hint="default" w:ascii="Times New Roman" w:hAnsi="Times New Roman" w:eastAsia="方正黑体_GBK" w:cs="Times New Roman"/>
                <w:i w:val="0"/>
                <w:iCs w:val="0"/>
                <w:color w:val="auto"/>
                <w:kern w:val="0"/>
                <w:sz w:val="20"/>
                <w:szCs w:val="20"/>
                <w:u w:val="none"/>
                <w:lang w:val="en-US" w:eastAsia="zh-CN" w:bidi="ar"/>
              </w:rPr>
              <w:t>年完成情况</w:t>
            </w:r>
          </w:p>
        </w:tc>
        <w:tc>
          <w:tcPr>
            <w:tcW w:w="923" w:type="dxa"/>
            <w:shd w:val="clear" w:color="auto" w:fill="auto"/>
            <w:vAlign w:val="center"/>
          </w:tcPr>
          <w:p w14:paraId="6FA6392D">
            <w:pPr>
              <w:keepNext w:val="0"/>
              <w:keepLines w:val="0"/>
              <w:widowControl/>
              <w:suppressLineNumbers w:val="0"/>
              <w:spacing w:line="300" w:lineRule="exact"/>
              <w:jc w:val="center"/>
              <w:textAlignment w:val="center"/>
              <w:rPr>
                <w:rFonts w:hint="default" w:ascii="Times New Roman" w:hAnsi="Times New Roman" w:eastAsia="方正黑体_GBK" w:cs="Times New Roman"/>
                <w:i w:val="0"/>
                <w:iCs w:val="0"/>
                <w:color w:val="auto"/>
                <w:kern w:val="0"/>
                <w:sz w:val="20"/>
                <w:szCs w:val="20"/>
                <w:u w:val="none"/>
                <w:lang w:val="en-US" w:eastAsia="zh-CN" w:bidi="ar"/>
              </w:rPr>
            </w:pPr>
            <w:r>
              <w:rPr>
                <w:rFonts w:hint="default" w:ascii="Times New Roman" w:hAnsi="Times New Roman" w:eastAsia="宋体" w:cs="Times New Roman"/>
                <w:i w:val="0"/>
                <w:iCs w:val="0"/>
                <w:color w:val="auto"/>
                <w:kern w:val="0"/>
                <w:sz w:val="20"/>
                <w:szCs w:val="20"/>
                <w:u w:val="none"/>
                <w:lang w:val="en-US" w:eastAsia="zh-CN" w:bidi="ar"/>
              </w:rPr>
              <w:t>2025</w:t>
            </w:r>
            <w:r>
              <w:rPr>
                <w:rFonts w:hint="default" w:ascii="Times New Roman" w:hAnsi="Times New Roman" w:eastAsia="方正黑体_GBK" w:cs="Times New Roman"/>
                <w:i w:val="0"/>
                <w:iCs w:val="0"/>
                <w:color w:val="auto"/>
                <w:kern w:val="0"/>
                <w:sz w:val="20"/>
                <w:szCs w:val="20"/>
                <w:u w:val="none"/>
                <w:lang w:val="en-US" w:eastAsia="zh-CN" w:bidi="ar"/>
              </w:rPr>
              <w:t>年</w:t>
            </w:r>
          </w:p>
          <w:p w14:paraId="34A7310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方正黑体_GBK" w:cs="Times New Roman"/>
                <w:i w:val="0"/>
                <w:iCs w:val="0"/>
                <w:color w:val="auto"/>
                <w:kern w:val="0"/>
                <w:sz w:val="20"/>
                <w:szCs w:val="20"/>
                <w:u w:val="none"/>
                <w:lang w:val="en-US" w:eastAsia="zh-CN" w:bidi="ar"/>
              </w:rPr>
              <w:t>完成</w:t>
            </w:r>
            <w:r>
              <w:rPr>
                <w:rFonts w:hint="eastAsia" w:ascii="Times New Roman" w:hAnsi="Times New Roman" w:eastAsia="方正黑体_GBK" w:cs="Times New Roman"/>
                <w:i w:val="0"/>
                <w:iCs w:val="0"/>
                <w:color w:val="auto"/>
                <w:kern w:val="0"/>
                <w:sz w:val="20"/>
                <w:szCs w:val="20"/>
                <w:u w:val="none"/>
                <w:lang w:val="en-US" w:eastAsia="zh-CN" w:bidi="ar"/>
              </w:rPr>
              <w:t>情况</w:t>
            </w:r>
          </w:p>
        </w:tc>
        <w:tc>
          <w:tcPr>
            <w:tcW w:w="1024" w:type="dxa"/>
            <w:shd w:val="clear" w:color="auto" w:fill="auto"/>
            <w:vAlign w:val="center"/>
          </w:tcPr>
          <w:p w14:paraId="173A55D6">
            <w:pPr>
              <w:keepNext w:val="0"/>
              <w:keepLines w:val="0"/>
              <w:widowControl/>
              <w:suppressLineNumbers w:val="0"/>
              <w:spacing w:line="30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进度评价</w:t>
            </w:r>
          </w:p>
        </w:tc>
        <w:tc>
          <w:tcPr>
            <w:tcW w:w="905" w:type="dxa"/>
            <w:shd w:val="clear" w:color="auto" w:fill="auto"/>
            <w:vAlign w:val="center"/>
          </w:tcPr>
          <w:p w14:paraId="13B25DCB">
            <w:pPr>
              <w:keepNext w:val="0"/>
              <w:keepLines w:val="0"/>
              <w:widowControl/>
              <w:suppressLineNumbers w:val="0"/>
              <w:spacing w:line="300" w:lineRule="exact"/>
              <w:jc w:val="center"/>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指标属性</w:t>
            </w:r>
          </w:p>
        </w:tc>
      </w:tr>
      <w:tr w14:paraId="4D10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8" w:hRule="atLeast"/>
          <w:jc w:val="center"/>
        </w:trPr>
        <w:tc>
          <w:tcPr>
            <w:tcW w:w="9397" w:type="dxa"/>
            <w:gridSpan w:val="10"/>
            <w:shd w:val="clear" w:color="auto" w:fill="auto"/>
            <w:vAlign w:val="center"/>
          </w:tcPr>
          <w:p w14:paraId="5E1B0500">
            <w:pPr>
              <w:widowControl/>
              <w:spacing w:line="300" w:lineRule="exact"/>
              <w:jc w:val="left"/>
              <w:rPr>
                <w:rFonts w:hint="default" w:ascii="Times New Roman" w:hAnsi="Times New Roman" w:eastAsia="宋体" w:cs="Times New Roman"/>
                <w:b/>
                <w:bCs/>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一、推动高质量发展</w:t>
            </w:r>
          </w:p>
        </w:tc>
      </w:tr>
      <w:tr w14:paraId="4369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00E4D99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w:t>
            </w:r>
          </w:p>
        </w:tc>
        <w:tc>
          <w:tcPr>
            <w:tcW w:w="1754" w:type="dxa"/>
            <w:shd w:val="clear" w:color="auto" w:fill="auto"/>
            <w:vAlign w:val="center"/>
          </w:tcPr>
          <w:p w14:paraId="58397A02">
            <w:pPr>
              <w:keepNext w:val="0"/>
              <w:keepLines w:val="0"/>
              <w:widowControl/>
              <w:suppressLineNumbers w:val="0"/>
              <w:spacing w:line="300" w:lineRule="exact"/>
              <w:jc w:val="both"/>
              <w:textAlignment w:val="center"/>
              <w:rPr>
                <w:rFonts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地区生产总值增速（%）</w:t>
            </w:r>
          </w:p>
        </w:tc>
        <w:tc>
          <w:tcPr>
            <w:tcW w:w="803" w:type="dxa"/>
            <w:shd w:val="clear" w:color="auto" w:fill="auto"/>
            <w:vAlign w:val="center"/>
          </w:tcPr>
          <w:p w14:paraId="31A4941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w:t>
            </w:r>
          </w:p>
        </w:tc>
        <w:tc>
          <w:tcPr>
            <w:tcW w:w="849" w:type="dxa"/>
            <w:shd w:val="clear" w:color="auto" w:fill="auto"/>
            <w:vAlign w:val="center"/>
          </w:tcPr>
          <w:p w14:paraId="6005ADB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6.1</w:t>
            </w:r>
          </w:p>
        </w:tc>
        <w:tc>
          <w:tcPr>
            <w:tcW w:w="877" w:type="dxa"/>
            <w:shd w:val="clear" w:color="auto" w:fill="auto"/>
            <w:vAlign w:val="center"/>
          </w:tcPr>
          <w:p w14:paraId="35213D5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w:t>
            </w:r>
          </w:p>
        </w:tc>
        <w:tc>
          <w:tcPr>
            <w:tcW w:w="859" w:type="dxa"/>
            <w:shd w:val="clear" w:color="auto" w:fill="auto"/>
            <w:vAlign w:val="center"/>
          </w:tcPr>
          <w:p w14:paraId="29A1DC4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5.2</w:t>
            </w:r>
          </w:p>
        </w:tc>
        <w:tc>
          <w:tcPr>
            <w:tcW w:w="868" w:type="dxa"/>
            <w:shd w:val="clear" w:color="auto" w:fill="auto"/>
            <w:vAlign w:val="center"/>
          </w:tcPr>
          <w:p w14:paraId="1EAA501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5.5</w:t>
            </w:r>
          </w:p>
        </w:tc>
        <w:tc>
          <w:tcPr>
            <w:tcW w:w="923" w:type="dxa"/>
            <w:shd w:val="clear" w:color="auto" w:fill="auto"/>
            <w:vAlign w:val="center"/>
          </w:tcPr>
          <w:p w14:paraId="799E60C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w:t>
            </w:r>
            <w:r>
              <w:rPr>
                <w:rFonts w:hint="default" w:ascii="Times New Roman" w:hAnsi="Times New Roman" w:eastAsia="方正仿宋_GBK" w:cs="Times New Roman"/>
                <w:i w:val="0"/>
                <w:iCs w:val="0"/>
                <w:color w:val="auto"/>
                <w:kern w:val="0"/>
                <w:sz w:val="20"/>
                <w:szCs w:val="20"/>
                <w:u w:val="none"/>
                <w:lang w:val="en-US" w:eastAsia="zh-CN" w:bidi="ar"/>
              </w:rPr>
              <w:t>年均</w:t>
            </w:r>
            <w:r>
              <w:rPr>
                <w:rFonts w:hint="default" w:ascii="Times New Roman" w:hAnsi="Times New Roman" w:eastAsia="宋体" w:cs="Times New Roman"/>
                <w:i w:val="0"/>
                <w:iCs w:val="0"/>
                <w:color w:val="auto"/>
                <w:kern w:val="0"/>
                <w:sz w:val="20"/>
                <w:szCs w:val="20"/>
                <w:u w:val="none"/>
                <w:lang w:val="en-US" w:eastAsia="zh-CN" w:bidi="ar"/>
              </w:rPr>
              <w:t>4.63）</w:t>
            </w:r>
          </w:p>
        </w:tc>
        <w:tc>
          <w:tcPr>
            <w:tcW w:w="1024" w:type="dxa"/>
            <w:shd w:val="clear" w:color="auto" w:fill="auto"/>
            <w:vAlign w:val="center"/>
          </w:tcPr>
          <w:p w14:paraId="69ECFEB1">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未达预期</w:t>
            </w:r>
          </w:p>
        </w:tc>
        <w:tc>
          <w:tcPr>
            <w:tcW w:w="905" w:type="dxa"/>
            <w:shd w:val="clear" w:color="auto" w:fill="auto"/>
            <w:vAlign w:val="center"/>
          </w:tcPr>
          <w:p w14:paraId="077FB14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0EF8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1F51909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w:t>
            </w:r>
          </w:p>
        </w:tc>
        <w:tc>
          <w:tcPr>
            <w:tcW w:w="1754" w:type="dxa"/>
            <w:shd w:val="clear" w:color="auto" w:fill="auto"/>
            <w:vAlign w:val="center"/>
          </w:tcPr>
          <w:p w14:paraId="0CF8BE6A">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人均地区生产总值（万元）</w:t>
            </w:r>
          </w:p>
        </w:tc>
        <w:tc>
          <w:tcPr>
            <w:tcW w:w="803" w:type="dxa"/>
            <w:shd w:val="clear" w:color="auto" w:fill="auto"/>
            <w:vAlign w:val="center"/>
          </w:tcPr>
          <w:p w14:paraId="421C4E1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w:t>
            </w:r>
          </w:p>
        </w:tc>
        <w:tc>
          <w:tcPr>
            <w:tcW w:w="849" w:type="dxa"/>
            <w:shd w:val="clear" w:color="auto" w:fill="auto"/>
            <w:vAlign w:val="center"/>
          </w:tcPr>
          <w:p w14:paraId="31CA7DA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25.8</w:t>
            </w:r>
          </w:p>
        </w:tc>
        <w:tc>
          <w:tcPr>
            <w:tcW w:w="877" w:type="dxa"/>
            <w:shd w:val="clear" w:color="auto" w:fill="auto"/>
            <w:vAlign w:val="center"/>
          </w:tcPr>
          <w:p w14:paraId="73FC5107">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w:t>
            </w:r>
          </w:p>
        </w:tc>
        <w:tc>
          <w:tcPr>
            <w:tcW w:w="859" w:type="dxa"/>
            <w:shd w:val="clear" w:color="auto" w:fill="auto"/>
            <w:vAlign w:val="center"/>
          </w:tcPr>
          <w:p w14:paraId="6ABFE9D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28.3</w:t>
            </w:r>
          </w:p>
        </w:tc>
        <w:tc>
          <w:tcPr>
            <w:tcW w:w="868" w:type="dxa"/>
            <w:shd w:val="clear" w:color="auto" w:fill="auto"/>
            <w:vAlign w:val="center"/>
          </w:tcPr>
          <w:p w14:paraId="533271C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29.4</w:t>
            </w:r>
          </w:p>
        </w:tc>
        <w:tc>
          <w:tcPr>
            <w:tcW w:w="923" w:type="dxa"/>
            <w:shd w:val="clear" w:color="auto" w:fill="auto"/>
            <w:vAlign w:val="center"/>
          </w:tcPr>
          <w:p w14:paraId="5F43C46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lang w:val="en-US"/>
              </w:rPr>
            </w:pPr>
            <w:r>
              <w:rPr>
                <w:rFonts w:hint="eastAsia" w:ascii="Times New Roman" w:hAnsi="Times New Roman" w:eastAsia="宋体" w:cs="Times New Roman"/>
                <w:i w:val="0"/>
                <w:iCs w:val="0"/>
                <w:color w:val="auto"/>
                <w:kern w:val="0"/>
                <w:sz w:val="20"/>
                <w:szCs w:val="20"/>
                <w:u w:val="none"/>
                <w:lang w:val="en-US" w:eastAsia="zh-CN" w:bidi="ar"/>
              </w:rPr>
              <w:t>31</w:t>
            </w:r>
          </w:p>
        </w:tc>
        <w:tc>
          <w:tcPr>
            <w:tcW w:w="1024" w:type="dxa"/>
            <w:shd w:val="clear" w:color="auto" w:fill="auto"/>
            <w:vAlign w:val="center"/>
          </w:tcPr>
          <w:p w14:paraId="2A50A76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57D6355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2CF1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692011F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w:t>
            </w:r>
          </w:p>
        </w:tc>
        <w:tc>
          <w:tcPr>
            <w:tcW w:w="1754" w:type="dxa"/>
            <w:shd w:val="clear" w:color="auto" w:fill="auto"/>
            <w:vAlign w:val="center"/>
          </w:tcPr>
          <w:p w14:paraId="53A736AD">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全员劳动生产率（万元/人）</w:t>
            </w:r>
          </w:p>
        </w:tc>
        <w:tc>
          <w:tcPr>
            <w:tcW w:w="803" w:type="dxa"/>
            <w:shd w:val="clear" w:color="auto" w:fill="auto"/>
            <w:vAlign w:val="center"/>
          </w:tcPr>
          <w:p w14:paraId="65CA455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保持全市前列</w:t>
            </w:r>
          </w:p>
        </w:tc>
        <w:tc>
          <w:tcPr>
            <w:tcW w:w="849" w:type="dxa"/>
            <w:shd w:val="clear" w:color="auto" w:fill="auto"/>
            <w:vAlign w:val="center"/>
          </w:tcPr>
          <w:p w14:paraId="5169090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保持全市第1</w:t>
            </w:r>
          </w:p>
        </w:tc>
        <w:tc>
          <w:tcPr>
            <w:tcW w:w="877" w:type="dxa"/>
            <w:shd w:val="clear" w:color="auto" w:fill="auto"/>
            <w:vAlign w:val="center"/>
          </w:tcPr>
          <w:p w14:paraId="6521360C">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保持全市第1</w:t>
            </w:r>
          </w:p>
        </w:tc>
        <w:tc>
          <w:tcPr>
            <w:tcW w:w="859" w:type="dxa"/>
            <w:shd w:val="clear" w:color="auto" w:fill="auto"/>
            <w:vAlign w:val="center"/>
          </w:tcPr>
          <w:p w14:paraId="6960B91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保持全市第1</w:t>
            </w:r>
          </w:p>
        </w:tc>
        <w:tc>
          <w:tcPr>
            <w:tcW w:w="868" w:type="dxa"/>
            <w:shd w:val="clear" w:color="auto" w:fill="auto"/>
            <w:vAlign w:val="center"/>
          </w:tcPr>
          <w:p w14:paraId="52B74542">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保持全市第1</w:t>
            </w:r>
          </w:p>
        </w:tc>
        <w:tc>
          <w:tcPr>
            <w:tcW w:w="923" w:type="dxa"/>
            <w:shd w:val="clear" w:color="auto" w:fill="auto"/>
            <w:vAlign w:val="center"/>
          </w:tcPr>
          <w:p w14:paraId="3E47FADB">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w:t>
            </w:r>
            <w:r>
              <w:rPr>
                <w:rStyle w:val="36"/>
                <w:rFonts w:hint="eastAsia" w:ascii="Times New Roman" w:hAnsi="Times New Roman" w:eastAsia="方正仿宋_GBK" w:cs="Times New Roman"/>
                <w:color w:val="auto"/>
                <w:lang w:val="en-US" w:eastAsia="zh-CN" w:bidi="ar"/>
              </w:rPr>
              <w:t>51.3</w:t>
            </w:r>
            <w:r>
              <w:rPr>
                <w:rFonts w:hint="default" w:ascii="Times New Roman" w:hAnsi="Times New Roman" w:eastAsia="方正仿宋_GBK" w:cs="Times New Roman"/>
                <w:i w:val="0"/>
                <w:iCs w:val="0"/>
                <w:color w:val="auto"/>
                <w:kern w:val="0"/>
                <w:sz w:val="20"/>
                <w:szCs w:val="20"/>
                <w:u w:val="none"/>
                <w:lang w:val="en-US" w:eastAsia="zh-CN" w:bidi="ar"/>
              </w:rPr>
              <w:t>）全市第</w:t>
            </w:r>
            <w:r>
              <w:rPr>
                <w:rStyle w:val="36"/>
                <w:rFonts w:ascii="Times New Roman" w:hAnsi="Times New Roman" w:eastAsia="方正仿宋_GBK" w:cs="Times New Roman"/>
                <w:color w:val="auto"/>
                <w:lang w:val="en-US" w:eastAsia="zh-CN" w:bidi="ar"/>
              </w:rPr>
              <w:t>1</w:t>
            </w:r>
          </w:p>
        </w:tc>
        <w:tc>
          <w:tcPr>
            <w:tcW w:w="1024" w:type="dxa"/>
            <w:shd w:val="clear" w:color="auto" w:fill="auto"/>
            <w:vAlign w:val="center"/>
          </w:tcPr>
          <w:p w14:paraId="29285C9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5C91A5C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1B90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5922D6A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w:t>
            </w:r>
          </w:p>
        </w:tc>
        <w:tc>
          <w:tcPr>
            <w:tcW w:w="1754" w:type="dxa"/>
            <w:shd w:val="clear" w:color="auto" w:fill="auto"/>
            <w:vAlign w:val="center"/>
          </w:tcPr>
          <w:p w14:paraId="718422BF">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数字经济增加值占GDP比重（%）</w:t>
            </w:r>
          </w:p>
        </w:tc>
        <w:tc>
          <w:tcPr>
            <w:tcW w:w="803" w:type="dxa"/>
            <w:shd w:val="clear" w:color="auto" w:fill="auto"/>
            <w:vAlign w:val="center"/>
          </w:tcPr>
          <w:p w14:paraId="6CF0B4F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w:t>
            </w:r>
          </w:p>
        </w:tc>
        <w:tc>
          <w:tcPr>
            <w:tcW w:w="849" w:type="dxa"/>
            <w:shd w:val="clear" w:color="auto" w:fill="auto"/>
            <w:vAlign w:val="center"/>
          </w:tcPr>
          <w:p w14:paraId="355F9E6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4.2</w:t>
            </w:r>
          </w:p>
        </w:tc>
        <w:tc>
          <w:tcPr>
            <w:tcW w:w="877" w:type="dxa"/>
            <w:shd w:val="clear" w:color="auto" w:fill="auto"/>
            <w:vAlign w:val="center"/>
          </w:tcPr>
          <w:p w14:paraId="270FA93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5.9</w:t>
            </w:r>
          </w:p>
        </w:tc>
        <w:tc>
          <w:tcPr>
            <w:tcW w:w="859" w:type="dxa"/>
            <w:shd w:val="clear" w:color="auto" w:fill="auto"/>
            <w:vAlign w:val="center"/>
          </w:tcPr>
          <w:p w14:paraId="319B582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5.7</w:t>
            </w:r>
          </w:p>
        </w:tc>
        <w:tc>
          <w:tcPr>
            <w:tcW w:w="868" w:type="dxa"/>
            <w:shd w:val="clear" w:color="auto" w:fill="auto"/>
            <w:vAlign w:val="center"/>
          </w:tcPr>
          <w:p w14:paraId="28CD5F5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923" w:type="dxa"/>
            <w:shd w:val="clear" w:color="auto" w:fill="auto"/>
            <w:vAlign w:val="center"/>
          </w:tcPr>
          <w:p w14:paraId="14CD565E">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1024" w:type="dxa"/>
            <w:shd w:val="clear" w:color="auto" w:fill="auto"/>
            <w:vAlign w:val="center"/>
          </w:tcPr>
          <w:p w14:paraId="7C2EBDB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口径调整</w:t>
            </w:r>
          </w:p>
        </w:tc>
        <w:tc>
          <w:tcPr>
            <w:tcW w:w="905" w:type="dxa"/>
            <w:shd w:val="clear" w:color="auto" w:fill="auto"/>
            <w:vAlign w:val="center"/>
          </w:tcPr>
          <w:p w14:paraId="680F805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4E6E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7CE96E9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w:t>
            </w:r>
          </w:p>
        </w:tc>
        <w:tc>
          <w:tcPr>
            <w:tcW w:w="1754" w:type="dxa"/>
            <w:shd w:val="clear" w:color="auto" w:fill="auto"/>
            <w:vAlign w:val="center"/>
          </w:tcPr>
          <w:p w14:paraId="17711EA2">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研发经费投入强度（%）</w:t>
            </w:r>
          </w:p>
        </w:tc>
        <w:tc>
          <w:tcPr>
            <w:tcW w:w="803" w:type="dxa"/>
            <w:shd w:val="clear" w:color="auto" w:fill="auto"/>
            <w:vAlign w:val="center"/>
          </w:tcPr>
          <w:p w14:paraId="6FEFAC0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w:t>
            </w:r>
          </w:p>
        </w:tc>
        <w:tc>
          <w:tcPr>
            <w:tcW w:w="849" w:type="dxa"/>
            <w:shd w:val="clear" w:color="auto" w:fill="auto"/>
            <w:vAlign w:val="center"/>
          </w:tcPr>
          <w:p w14:paraId="62527DE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0.7</w:t>
            </w:r>
          </w:p>
        </w:tc>
        <w:tc>
          <w:tcPr>
            <w:tcW w:w="877" w:type="dxa"/>
            <w:shd w:val="clear" w:color="auto" w:fill="auto"/>
            <w:vAlign w:val="center"/>
          </w:tcPr>
          <w:p w14:paraId="29C85E9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w:t>
            </w:r>
          </w:p>
        </w:tc>
        <w:tc>
          <w:tcPr>
            <w:tcW w:w="859" w:type="dxa"/>
            <w:shd w:val="clear" w:color="auto" w:fill="auto"/>
            <w:vAlign w:val="center"/>
          </w:tcPr>
          <w:p w14:paraId="52F4823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0.62</w:t>
            </w:r>
          </w:p>
        </w:tc>
        <w:tc>
          <w:tcPr>
            <w:tcW w:w="868" w:type="dxa"/>
            <w:shd w:val="clear" w:color="auto" w:fill="auto"/>
            <w:vAlign w:val="center"/>
          </w:tcPr>
          <w:p w14:paraId="7913EF5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1.13</w:t>
            </w:r>
          </w:p>
        </w:tc>
        <w:tc>
          <w:tcPr>
            <w:tcW w:w="923" w:type="dxa"/>
            <w:shd w:val="clear" w:color="auto" w:fill="auto"/>
            <w:vAlign w:val="center"/>
          </w:tcPr>
          <w:p w14:paraId="3B89180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w:t>
            </w:r>
          </w:p>
        </w:tc>
        <w:tc>
          <w:tcPr>
            <w:tcW w:w="1024" w:type="dxa"/>
            <w:shd w:val="clear" w:color="auto" w:fill="auto"/>
            <w:vAlign w:val="center"/>
          </w:tcPr>
          <w:p w14:paraId="4079637A">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033CD93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6C13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68DB8A5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w:t>
            </w:r>
          </w:p>
        </w:tc>
        <w:tc>
          <w:tcPr>
            <w:tcW w:w="1754" w:type="dxa"/>
            <w:shd w:val="clear" w:color="auto" w:fill="auto"/>
            <w:vAlign w:val="center"/>
          </w:tcPr>
          <w:p w14:paraId="7303A4C3">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万人发明专利拥有量（件）</w:t>
            </w:r>
          </w:p>
        </w:tc>
        <w:tc>
          <w:tcPr>
            <w:tcW w:w="803" w:type="dxa"/>
            <w:shd w:val="clear" w:color="auto" w:fill="auto"/>
            <w:vAlign w:val="center"/>
          </w:tcPr>
          <w:p w14:paraId="7C78D18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w:t>
            </w:r>
          </w:p>
        </w:tc>
        <w:tc>
          <w:tcPr>
            <w:tcW w:w="849" w:type="dxa"/>
            <w:shd w:val="clear" w:color="auto" w:fill="auto"/>
            <w:vAlign w:val="center"/>
          </w:tcPr>
          <w:p w14:paraId="23CBBFB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24.71</w:t>
            </w:r>
          </w:p>
        </w:tc>
        <w:tc>
          <w:tcPr>
            <w:tcW w:w="877" w:type="dxa"/>
            <w:shd w:val="clear" w:color="auto" w:fill="auto"/>
            <w:vAlign w:val="center"/>
          </w:tcPr>
          <w:p w14:paraId="57F75CE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28.69</w:t>
            </w:r>
          </w:p>
        </w:tc>
        <w:tc>
          <w:tcPr>
            <w:tcW w:w="859" w:type="dxa"/>
            <w:shd w:val="clear" w:color="auto" w:fill="auto"/>
            <w:vAlign w:val="center"/>
          </w:tcPr>
          <w:p w14:paraId="274E0A1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38.58</w:t>
            </w:r>
          </w:p>
        </w:tc>
        <w:tc>
          <w:tcPr>
            <w:tcW w:w="868" w:type="dxa"/>
            <w:shd w:val="clear" w:color="auto" w:fill="auto"/>
            <w:vAlign w:val="center"/>
          </w:tcPr>
          <w:p w14:paraId="151B1747">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44.42</w:t>
            </w:r>
          </w:p>
        </w:tc>
        <w:tc>
          <w:tcPr>
            <w:tcW w:w="923" w:type="dxa"/>
            <w:shd w:val="clear" w:color="auto" w:fill="auto"/>
            <w:vAlign w:val="center"/>
          </w:tcPr>
          <w:p w14:paraId="3540698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1024" w:type="dxa"/>
            <w:shd w:val="clear" w:color="auto" w:fill="auto"/>
            <w:vAlign w:val="center"/>
          </w:tcPr>
          <w:p w14:paraId="29011623">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3EE6C5C7">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17A0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68B47C2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7</w:t>
            </w:r>
          </w:p>
        </w:tc>
        <w:tc>
          <w:tcPr>
            <w:tcW w:w="1754" w:type="dxa"/>
            <w:shd w:val="clear" w:color="auto" w:fill="auto"/>
            <w:vAlign w:val="center"/>
          </w:tcPr>
          <w:p w14:paraId="2DE0564E">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科技进步贡献率（%）</w:t>
            </w:r>
          </w:p>
        </w:tc>
        <w:tc>
          <w:tcPr>
            <w:tcW w:w="803" w:type="dxa"/>
            <w:shd w:val="clear" w:color="auto" w:fill="auto"/>
            <w:vAlign w:val="center"/>
          </w:tcPr>
          <w:p w14:paraId="49B14D1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63</w:t>
            </w:r>
            <w:r>
              <w:rPr>
                <w:rStyle w:val="37"/>
                <w:rFonts w:hint="default" w:ascii="Times New Roman" w:hAnsi="Times New Roman" w:cs="Times New Roman"/>
                <w:color w:val="auto"/>
                <w:lang w:val="en-US" w:eastAsia="zh-CN" w:bidi="ar"/>
              </w:rPr>
              <w:t>以上</w:t>
            </w:r>
          </w:p>
        </w:tc>
        <w:tc>
          <w:tcPr>
            <w:tcW w:w="849" w:type="dxa"/>
            <w:shd w:val="clear" w:color="auto" w:fill="auto"/>
            <w:vAlign w:val="center"/>
          </w:tcPr>
          <w:p w14:paraId="56F90CC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77" w:type="dxa"/>
            <w:shd w:val="clear" w:color="auto" w:fill="auto"/>
            <w:vAlign w:val="center"/>
          </w:tcPr>
          <w:p w14:paraId="3442736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59" w:type="dxa"/>
            <w:shd w:val="clear" w:color="auto" w:fill="auto"/>
            <w:vAlign w:val="center"/>
          </w:tcPr>
          <w:p w14:paraId="6F959B8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68" w:type="dxa"/>
            <w:shd w:val="clear" w:color="auto" w:fill="auto"/>
            <w:vAlign w:val="center"/>
          </w:tcPr>
          <w:p w14:paraId="18938A1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923" w:type="dxa"/>
            <w:shd w:val="clear" w:color="auto" w:fill="auto"/>
            <w:vAlign w:val="center"/>
          </w:tcPr>
          <w:p w14:paraId="5051A8F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1024" w:type="dxa"/>
            <w:shd w:val="clear" w:color="auto" w:fill="auto"/>
            <w:vAlign w:val="center"/>
          </w:tcPr>
          <w:p w14:paraId="6BF1DC5C">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市级未公布</w:t>
            </w:r>
          </w:p>
        </w:tc>
        <w:tc>
          <w:tcPr>
            <w:tcW w:w="905" w:type="dxa"/>
            <w:shd w:val="clear" w:color="auto" w:fill="auto"/>
            <w:vAlign w:val="center"/>
          </w:tcPr>
          <w:p w14:paraId="2D18F79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1C5B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0502073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w:t>
            </w:r>
          </w:p>
        </w:tc>
        <w:tc>
          <w:tcPr>
            <w:tcW w:w="1754" w:type="dxa"/>
            <w:shd w:val="clear" w:color="auto" w:fill="auto"/>
            <w:vAlign w:val="center"/>
          </w:tcPr>
          <w:p w14:paraId="6F5C2148">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文化旅游业增加值占GDP比重（%）</w:t>
            </w:r>
          </w:p>
        </w:tc>
        <w:tc>
          <w:tcPr>
            <w:tcW w:w="803" w:type="dxa"/>
            <w:shd w:val="clear" w:color="auto" w:fill="auto"/>
            <w:vAlign w:val="center"/>
          </w:tcPr>
          <w:p w14:paraId="1AEAA31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w:t>
            </w:r>
          </w:p>
        </w:tc>
        <w:tc>
          <w:tcPr>
            <w:tcW w:w="849" w:type="dxa"/>
            <w:shd w:val="clear" w:color="auto" w:fill="auto"/>
            <w:vAlign w:val="center"/>
          </w:tcPr>
          <w:p w14:paraId="5A65B3F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13.9</w:t>
            </w:r>
          </w:p>
        </w:tc>
        <w:tc>
          <w:tcPr>
            <w:tcW w:w="877" w:type="dxa"/>
            <w:shd w:val="clear" w:color="auto" w:fill="auto"/>
            <w:vAlign w:val="center"/>
          </w:tcPr>
          <w:p w14:paraId="352167C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13.7</w:t>
            </w:r>
          </w:p>
        </w:tc>
        <w:tc>
          <w:tcPr>
            <w:tcW w:w="859" w:type="dxa"/>
            <w:shd w:val="clear" w:color="auto" w:fill="auto"/>
            <w:vAlign w:val="center"/>
          </w:tcPr>
          <w:p w14:paraId="7B2BDEC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15.3</w:t>
            </w:r>
          </w:p>
        </w:tc>
        <w:tc>
          <w:tcPr>
            <w:tcW w:w="868" w:type="dxa"/>
            <w:shd w:val="clear" w:color="auto" w:fill="auto"/>
            <w:vAlign w:val="center"/>
          </w:tcPr>
          <w:p w14:paraId="7A4ED92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15.1</w:t>
            </w:r>
          </w:p>
        </w:tc>
        <w:tc>
          <w:tcPr>
            <w:tcW w:w="923" w:type="dxa"/>
            <w:shd w:val="clear" w:color="auto" w:fill="auto"/>
            <w:vAlign w:val="center"/>
          </w:tcPr>
          <w:p w14:paraId="6D6847CE">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15.2</w:t>
            </w:r>
          </w:p>
        </w:tc>
        <w:tc>
          <w:tcPr>
            <w:tcW w:w="1024" w:type="dxa"/>
            <w:shd w:val="clear" w:color="auto" w:fill="auto"/>
            <w:vAlign w:val="center"/>
          </w:tcPr>
          <w:p w14:paraId="0507A217">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65CC18D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6FA0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9397" w:type="dxa"/>
            <w:gridSpan w:val="10"/>
            <w:shd w:val="clear" w:color="auto" w:fill="auto"/>
            <w:vAlign w:val="center"/>
          </w:tcPr>
          <w:p w14:paraId="3A1E2697">
            <w:pPr>
              <w:keepNext w:val="0"/>
              <w:keepLines w:val="0"/>
              <w:widowControl/>
              <w:suppressLineNumbers w:val="0"/>
              <w:spacing w:line="300" w:lineRule="exact"/>
              <w:jc w:val="left"/>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二、创造高品质生活</w:t>
            </w:r>
          </w:p>
        </w:tc>
      </w:tr>
      <w:tr w14:paraId="1B14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2421CBC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9</w:t>
            </w:r>
          </w:p>
        </w:tc>
        <w:tc>
          <w:tcPr>
            <w:tcW w:w="1754" w:type="dxa"/>
            <w:shd w:val="clear" w:color="auto" w:fill="auto"/>
            <w:vAlign w:val="center"/>
          </w:tcPr>
          <w:p w14:paraId="300AF014">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eastAsia" w:ascii="Times New Roman" w:hAnsi="Times New Roman" w:eastAsia="方正仿宋_GBK" w:cs="Times New Roman"/>
                <w:i w:val="0"/>
                <w:iCs w:val="0"/>
                <w:color w:val="auto"/>
                <w:kern w:val="0"/>
                <w:sz w:val="20"/>
                <w:szCs w:val="20"/>
                <w:u w:val="none"/>
                <w:lang w:val="en-US" w:eastAsia="zh-CN" w:bidi="ar"/>
              </w:rPr>
              <w:t>城镇</w:t>
            </w:r>
            <w:r>
              <w:rPr>
                <w:rFonts w:hint="default" w:ascii="Times New Roman" w:hAnsi="Times New Roman" w:eastAsia="方正仿宋_GBK" w:cs="Times New Roman"/>
                <w:i w:val="0"/>
                <w:iCs w:val="0"/>
                <w:color w:val="auto"/>
                <w:kern w:val="0"/>
                <w:sz w:val="20"/>
                <w:szCs w:val="20"/>
                <w:u w:val="none"/>
                <w:lang w:val="en-US" w:eastAsia="zh-CN" w:bidi="ar"/>
              </w:rPr>
              <w:t>居民人均可支配收入增速（%）</w:t>
            </w:r>
          </w:p>
        </w:tc>
        <w:tc>
          <w:tcPr>
            <w:tcW w:w="803" w:type="dxa"/>
            <w:shd w:val="clear" w:color="auto" w:fill="auto"/>
            <w:vAlign w:val="center"/>
          </w:tcPr>
          <w:p w14:paraId="02FF6BD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6</w:t>
            </w:r>
          </w:p>
        </w:tc>
        <w:tc>
          <w:tcPr>
            <w:tcW w:w="849" w:type="dxa"/>
            <w:shd w:val="clear" w:color="auto" w:fill="auto"/>
            <w:vAlign w:val="center"/>
          </w:tcPr>
          <w:p w14:paraId="22154FA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8.7</w:t>
            </w:r>
          </w:p>
        </w:tc>
        <w:tc>
          <w:tcPr>
            <w:tcW w:w="877" w:type="dxa"/>
            <w:shd w:val="clear" w:color="auto" w:fill="auto"/>
            <w:vAlign w:val="center"/>
          </w:tcPr>
          <w:p w14:paraId="15F91F9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4.6</w:t>
            </w:r>
          </w:p>
        </w:tc>
        <w:tc>
          <w:tcPr>
            <w:tcW w:w="859" w:type="dxa"/>
            <w:shd w:val="clear" w:color="auto" w:fill="auto"/>
            <w:vAlign w:val="center"/>
          </w:tcPr>
          <w:p w14:paraId="7D629AB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w:t>
            </w:r>
          </w:p>
        </w:tc>
        <w:tc>
          <w:tcPr>
            <w:tcW w:w="868" w:type="dxa"/>
            <w:shd w:val="clear" w:color="auto" w:fill="auto"/>
            <w:vAlign w:val="center"/>
          </w:tcPr>
          <w:p w14:paraId="0E15B85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3.4</w:t>
            </w:r>
          </w:p>
        </w:tc>
        <w:tc>
          <w:tcPr>
            <w:tcW w:w="923" w:type="dxa"/>
            <w:shd w:val="clear" w:color="auto" w:fill="auto"/>
            <w:vAlign w:val="center"/>
          </w:tcPr>
          <w:p w14:paraId="5A85004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lang w:val="en-US"/>
              </w:rPr>
            </w:pPr>
            <w:r>
              <w:rPr>
                <w:rFonts w:hint="default" w:ascii="Times New Roman" w:hAnsi="Times New Roman" w:eastAsia="宋体" w:cs="Times New Roman"/>
                <w:i w:val="0"/>
                <w:iCs w:val="0"/>
                <w:color w:val="auto"/>
                <w:kern w:val="0"/>
                <w:sz w:val="20"/>
                <w:szCs w:val="20"/>
                <w:u w:val="none"/>
                <w:lang w:val="en-US" w:eastAsia="zh-CN" w:bidi="ar"/>
              </w:rPr>
              <w:t>4.5</w:t>
            </w:r>
          </w:p>
        </w:tc>
        <w:tc>
          <w:tcPr>
            <w:tcW w:w="1024" w:type="dxa"/>
            <w:shd w:val="clear" w:color="auto" w:fill="auto"/>
            <w:vAlign w:val="center"/>
          </w:tcPr>
          <w:p w14:paraId="238520C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未达预期</w:t>
            </w:r>
          </w:p>
        </w:tc>
        <w:tc>
          <w:tcPr>
            <w:tcW w:w="905" w:type="dxa"/>
            <w:shd w:val="clear" w:color="auto" w:fill="auto"/>
            <w:vAlign w:val="center"/>
          </w:tcPr>
          <w:p w14:paraId="03D60A83">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7F693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535" w:type="dxa"/>
            <w:shd w:val="clear" w:color="auto" w:fill="auto"/>
            <w:vAlign w:val="center"/>
          </w:tcPr>
          <w:p w14:paraId="57D6095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w:t>
            </w:r>
          </w:p>
        </w:tc>
        <w:tc>
          <w:tcPr>
            <w:tcW w:w="1754" w:type="dxa"/>
            <w:shd w:val="clear" w:color="auto" w:fill="auto"/>
            <w:vAlign w:val="center"/>
          </w:tcPr>
          <w:p w14:paraId="10563A0B">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城镇调查失业率（%）</w:t>
            </w:r>
          </w:p>
        </w:tc>
        <w:tc>
          <w:tcPr>
            <w:tcW w:w="803" w:type="dxa"/>
            <w:shd w:val="clear" w:color="auto" w:fill="auto"/>
            <w:vAlign w:val="center"/>
          </w:tcPr>
          <w:p w14:paraId="470ECE1E">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&lt;5</w:t>
            </w:r>
          </w:p>
        </w:tc>
        <w:tc>
          <w:tcPr>
            <w:tcW w:w="849" w:type="dxa"/>
            <w:shd w:val="clear" w:color="auto" w:fill="auto"/>
            <w:vAlign w:val="center"/>
          </w:tcPr>
          <w:p w14:paraId="08CEA43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4.46</w:t>
            </w:r>
          </w:p>
        </w:tc>
        <w:tc>
          <w:tcPr>
            <w:tcW w:w="877" w:type="dxa"/>
            <w:shd w:val="clear" w:color="auto" w:fill="auto"/>
            <w:vAlign w:val="center"/>
          </w:tcPr>
          <w:p w14:paraId="7D2F242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5.7</w:t>
            </w:r>
          </w:p>
        </w:tc>
        <w:tc>
          <w:tcPr>
            <w:tcW w:w="859" w:type="dxa"/>
            <w:shd w:val="clear" w:color="auto" w:fill="auto"/>
            <w:vAlign w:val="center"/>
          </w:tcPr>
          <w:p w14:paraId="7512E31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w:t>
            </w:r>
          </w:p>
        </w:tc>
        <w:tc>
          <w:tcPr>
            <w:tcW w:w="868" w:type="dxa"/>
            <w:shd w:val="clear" w:color="auto" w:fill="auto"/>
            <w:vAlign w:val="center"/>
          </w:tcPr>
          <w:p w14:paraId="72D4E89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w:t>
            </w:r>
          </w:p>
        </w:tc>
        <w:tc>
          <w:tcPr>
            <w:tcW w:w="923" w:type="dxa"/>
            <w:shd w:val="clear" w:color="auto" w:fill="auto"/>
            <w:vAlign w:val="center"/>
          </w:tcPr>
          <w:p w14:paraId="5FE01EF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5.3</w:t>
            </w:r>
          </w:p>
        </w:tc>
        <w:tc>
          <w:tcPr>
            <w:tcW w:w="1024" w:type="dxa"/>
            <w:shd w:val="clear" w:color="auto" w:fill="auto"/>
            <w:vAlign w:val="center"/>
          </w:tcPr>
          <w:p w14:paraId="7FAECBA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未达预期</w:t>
            </w:r>
          </w:p>
        </w:tc>
        <w:tc>
          <w:tcPr>
            <w:tcW w:w="905" w:type="dxa"/>
            <w:shd w:val="clear" w:color="auto" w:fill="auto"/>
            <w:vAlign w:val="center"/>
          </w:tcPr>
          <w:p w14:paraId="3D82BEE3">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5896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22693AB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11</w:t>
            </w:r>
          </w:p>
        </w:tc>
        <w:tc>
          <w:tcPr>
            <w:tcW w:w="1754" w:type="dxa"/>
            <w:shd w:val="clear" w:color="auto" w:fill="auto"/>
            <w:vAlign w:val="center"/>
          </w:tcPr>
          <w:p w14:paraId="3FB87834">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劳动年龄人口平均受教育年限（年）</w:t>
            </w:r>
          </w:p>
        </w:tc>
        <w:tc>
          <w:tcPr>
            <w:tcW w:w="803" w:type="dxa"/>
            <w:shd w:val="clear" w:color="auto" w:fill="auto"/>
            <w:vAlign w:val="center"/>
          </w:tcPr>
          <w:p w14:paraId="42230A0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w:t>
            </w:r>
          </w:p>
        </w:tc>
        <w:tc>
          <w:tcPr>
            <w:tcW w:w="849" w:type="dxa"/>
            <w:shd w:val="clear" w:color="auto" w:fill="auto"/>
            <w:vAlign w:val="center"/>
          </w:tcPr>
          <w:p w14:paraId="755A243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高于全市平均水平</w:t>
            </w:r>
          </w:p>
        </w:tc>
        <w:tc>
          <w:tcPr>
            <w:tcW w:w="877" w:type="dxa"/>
            <w:shd w:val="clear" w:color="auto" w:fill="auto"/>
            <w:vAlign w:val="center"/>
          </w:tcPr>
          <w:p w14:paraId="2AF8D744">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高于全市平均水平</w:t>
            </w:r>
          </w:p>
        </w:tc>
        <w:tc>
          <w:tcPr>
            <w:tcW w:w="859" w:type="dxa"/>
            <w:shd w:val="clear" w:color="auto" w:fill="auto"/>
            <w:vAlign w:val="center"/>
          </w:tcPr>
          <w:p w14:paraId="477F139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12.8</w:t>
            </w:r>
          </w:p>
        </w:tc>
        <w:tc>
          <w:tcPr>
            <w:tcW w:w="868" w:type="dxa"/>
            <w:shd w:val="clear" w:color="auto" w:fill="auto"/>
            <w:vAlign w:val="center"/>
          </w:tcPr>
          <w:p w14:paraId="4C6F4D8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12.9</w:t>
            </w:r>
          </w:p>
        </w:tc>
        <w:tc>
          <w:tcPr>
            <w:tcW w:w="923" w:type="dxa"/>
            <w:shd w:val="clear" w:color="auto" w:fill="auto"/>
            <w:vAlign w:val="center"/>
          </w:tcPr>
          <w:p w14:paraId="3CEFDA3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w:t>
            </w:r>
          </w:p>
        </w:tc>
        <w:tc>
          <w:tcPr>
            <w:tcW w:w="1024" w:type="dxa"/>
            <w:shd w:val="clear" w:color="auto" w:fill="auto"/>
            <w:vAlign w:val="center"/>
          </w:tcPr>
          <w:p w14:paraId="516CA42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0C1133F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2342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535" w:type="dxa"/>
            <w:shd w:val="clear" w:color="auto" w:fill="auto"/>
            <w:vAlign w:val="center"/>
          </w:tcPr>
          <w:p w14:paraId="5327E37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w:t>
            </w:r>
          </w:p>
        </w:tc>
        <w:tc>
          <w:tcPr>
            <w:tcW w:w="1754" w:type="dxa"/>
            <w:shd w:val="clear" w:color="auto" w:fill="auto"/>
            <w:vAlign w:val="center"/>
          </w:tcPr>
          <w:p w14:paraId="001C748F">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人均预期寿命（岁）</w:t>
            </w:r>
          </w:p>
        </w:tc>
        <w:tc>
          <w:tcPr>
            <w:tcW w:w="803" w:type="dxa"/>
            <w:shd w:val="clear" w:color="auto" w:fill="auto"/>
            <w:vAlign w:val="center"/>
          </w:tcPr>
          <w:p w14:paraId="7D02D13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81.3</w:t>
            </w:r>
          </w:p>
        </w:tc>
        <w:tc>
          <w:tcPr>
            <w:tcW w:w="849" w:type="dxa"/>
            <w:shd w:val="clear" w:color="auto" w:fill="auto"/>
            <w:vAlign w:val="center"/>
          </w:tcPr>
          <w:p w14:paraId="667405F7">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81.13</w:t>
            </w:r>
          </w:p>
        </w:tc>
        <w:tc>
          <w:tcPr>
            <w:tcW w:w="877" w:type="dxa"/>
            <w:shd w:val="clear" w:color="auto" w:fill="auto"/>
            <w:vAlign w:val="center"/>
          </w:tcPr>
          <w:p w14:paraId="4EC2A3D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81.27</w:t>
            </w:r>
          </w:p>
        </w:tc>
        <w:tc>
          <w:tcPr>
            <w:tcW w:w="859" w:type="dxa"/>
            <w:shd w:val="clear" w:color="auto" w:fill="auto"/>
            <w:vAlign w:val="center"/>
          </w:tcPr>
          <w:p w14:paraId="6853355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81.72</w:t>
            </w:r>
          </w:p>
        </w:tc>
        <w:tc>
          <w:tcPr>
            <w:tcW w:w="868" w:type="dxa"/>
            <w:shd w:val="clear" w:color="auto" w:fill="auto"/>
            <w:vAlign w:val="center"/>
          </w:tcPr>
          <w:p w14:paraId="730D036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82.03</w:t>
            </w:r>
          </w:p>
        </w:tc>
        <w:tc>
          <w:tcPr>
            <w:tcW w:w="923" w:type="dxa"/>
            <w:shd w:val="clear" w:color="auto" w:fill="auto"/>
            <w:vAlign w:val="center"/>
          </w:tcPr>
          <w:p w14:paraId="00B20CB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82.03</w:t>
            </w:r>
          </w:p>
        </w:tc>
        <w:tc>
          <w:tcPr>
            <w:tcW w:w="1024" w:type="dxa"/>
            <w:shd w:val="clear" w:color="auto" w:fill="auto"/>
            <w:vAlign w:val="center"/>
          </w:tcPr>
          <w:p w14:paraId="15B2F3B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5ACEEADA">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1D33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43" w:hRule="atLeast"/>
          <w:jc w:val="center"/>
        </w:trPr>
        <w:tc>
          <w:tcPr>
            <w:tcW w:w="535" w:type="dxa"/>
            <w:shd w:val="clear" w:color="auto" w:fill="auto"/>
            <w:vAlign w:val="center"/>
          </w:tcPr>
          <w:p w14:paraId="54D52A49">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w:t>
            </w:r>
          </w:p>
        </w:tc>
        <w:tc>
          <w:tcPr>
            <w:tcW w:w="1754" w:type="dxa"/>
            <w:shd w:val="clear" w:color="auto" w:fill="auto"/>
            <w:vAlign w:val="center"/>
          </w:tcPr>
          <w:p w14:paraId="24387695">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每千人口拥有3岁以下婴幼儿托位数（个）</w:t>
            </w:r>
          </w:p>
        </w:tc>
        <w:tc>
          <w:tcPr>
            <w:tcW w:w="803" w:type="dxa"/>
            <w:shd w:val="clear" w:color="auto" w:fill="auto"/>
            <w:vAlign w:val="center"/>
          </w:tcPr>
          <w:p w14:paraId="6A11B70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w:t>
            </w:r>
            <w:r>
              <w:rPr>
                <w:rFonts w:hint="default" w:ascii="Times New Roman" w:hAnsi="Times New Roman" w:eastAsia="方正仿宋_GBK" w:cs="Times New Roman"/>
                <w:i w:val="0"/>
                <w:iCs w:val="0"/>
                <w:color w:val="auto"/>
                <w:kern w:val="0"/>
                <w:sz w:val="20"/>
                <w:szCs w:val="20"/>
                <w:u w:val="none"/>
                <w:lang w:val="en-US" w:eastAsia="zh-CN" w:bidi="ar"/>
              </w:rPr>
              <w:t>（全市平均数）</w:t>
            </w:r>
          </w:p>
        </w:tc>
        <w:tc>
          <w:tcPr>
            <w:tcW w:w="849" w:type="dxa"/>
            <w:shd w:val="clear" w:color="auto" w:fill="auto"/>
            <w:vAlign w:val="center"/>
          </w:tcPr>
          <w:p w14:paraId="7C124D2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w:t>
            </w:r>
          </w:p>
        </w:tc>
        <w:tc>
          <w:tcPr>
            <w:tcW w:w="877" w:type="dxa"/>
            <w:shd w:val="clear" w:color="auto" w:fill="auto"/>
            <w:vAlign w:val="center"/>
          </w:tcPr>
          <w:p w14:paraId="4A3287C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w:t>
            </w:r>
          </w:p>
        </w:tc>
        <w:tc>
          <w:tcPr>
            <w:tcW w:w="859" w:type="dxa"/>
            <w:shd w:val="clear" w:color="auto" w:fill="auto"/>
            <w:vAlign w:val="center"/>
          </w:tcPr>
          <w:p w14:paraId="468E84A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w:t>
            </w:r>
          </w:p>
        </w:tc>
        <w:tc>
          <w:tcPr>
            <w:tcW w:w="868" w:type="dxa"/>
            <w:shd w:val="clear" w:color="auto" w:fill="auto"/>
            <w:vAlign w:val="center"/>
          </w:tcPr>
          <w:p w14:paraId="2C2C743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3.95</w:t>
            </w:r>
          </w:p>
        </w:tc>
        <w:tc>
          <w:tcPr>
            <w:tcW w:w="923" w:type="dxa"/>
            <w:shd w:val="clear" w:color="auto" w:fill="auto"/>
            <w:vAlign w:val="center"/>
          </w:tcPr>
          <w:p w14:paraId="18346F1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w:t>
            </w:r>
          </w:p>
        </w:tc>
        <w:tc>
          <w:tcPr>
            <w:tcW w:w="1024" w:type="dxa"/>
            <w:shd w:val="clear" w:color="auto" w:fill="auto"/>
            <w:vAlign w:val="center"/>
          </w:tcPr>
          <w:p w14:paraId="2005AE1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18377EE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6B7E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43" w:hRule="atLeast"/>
          <w:jc w:val="center"/>
        </w:trPr>
        <w:tc>
          <w:tcPr>
            <w:tcW w:w="535" w:type="dxa"/>
            <w:shd w:val="clear" w:color="auto" w:fill="auto"/>
            <w:vAlign w:val="center"/>
          </w:tcPr>
          <w:p w14:paraId="1C1B7F0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w:t>
            </w:r>
          </w:p>
        </w:tc>
        <w:tc>
          <w:tcPr>
            <w:tcW w:w="1754" w:type="dxa"/>
            <w:shd w:val="clear" w:color="auto" w:fill="auto"/>
            <w:vAlign w:val="center"/>
          </w:tcPr>
          <w:p w14:paraId="1A736C7E">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每千人口拥有执业（助理）医师数（人）</w:t>
            </w:r>
          </w:p>
        </w:tc>
        <w:tc>
          <w:tcPr>
            <w:tcW w:w="803" w:type="dxa"/>
            <w:shd w:val="clear" w:color="auto" w:fill="auto"/>
            <w:vAlign w:val="center"/>
          </w:tcPr>
          <w:p w14:paraId="4E894B8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3.6</w:t>
            </w:r>
            <w:r>
              <w:rPr>
                <w:rFonts w:hint="default" w:ascii="Times New Roman" w:hAnsi="Times New Roman" w:eastAsia="方正仿宋_GBK" w:cs="Times New Roman"/>
                <w:i w:val="0"/>
                <w:iCs w:val="0"/>
                <w:color w:val="auto"/>
                <w:kern w:val="0"/>
                <w:sz w:val="20"/>
                <w:szCs w:val="20"/>
                <w:u w:val="none"/>
                <w:lang w:val="en-US" w:eastAsia="zh-CN" w:bidi="ar"/>
              </w:rPr>
              <w:t>（全市平均数）</w:t>
            </w:r>
          </w:p>
        </w:tc>
        <w:tc>
          <w:tcPr>
            <w:tcW w:w="849" w:type="dxa"/>
            <w:shd w:val="clear" w:color="auto" w:fill="auto"/>
            <w:vAlign w:val="center"/>
          </w:tcPr>
          <w:p w14:paraId="10BE4B2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12.84</w:t>
            </w:r>
          </w:p>
        </w:tc>
        <w:tc>
          <w:tcPr>
            <w:tcW w:w="877" w:type="dxa"/>
            <w:shd w:val="clear" w:color="auto" w:fill="auto"/>
            <w:vAlign w:val="center"/>
          </w:tcPr>
          <w:p w14:paraId="7372952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13.02</w:t>
            </w:r>
          </w:p>
        </w:tc>
        <w:tc>
          <w:tcPr>
            <w:tcW w:w="859" w:type="dxa"/>
            <w:shd w:val="clear" w:color="auto" w:fill="auto"/>
            <w:vAlign w:val="center"/>
          </w:tcPr>
          <w:p w14:paraId="08091F1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13.73</w:t>
            </w:r>
          </w:p>
        </w:tc>
        <w:tc>
          <w:tcPr>
            <w:tcW w:w="868" w:type="dxa"/>
            <w:shd w:val="clear" w:color="auto" w:fill="auto"/>
            <w:vAlign w:val="center"/>
          </w:tcPr>
          <w:p w14:paraId="069B9C9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14.47</w:t>
            </w:r>
          </w:p>
        </w:tc>
        <w:tc>
          <w:tcPr>
            <w:tcW w:w="923" w:type="dxa"/>
            <w:shd w:val="clear" w:color="auto" w:fill="auto"/>
            <w:vAlign w:val="center"/>
          </w:tcPr>
          <w:p w14:paraId="5868F8CE">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14.47</w:t>
            </w:r>
          </w:p>
        </w:tc>
        <w:tc>
          <w:tcPr>
            <w:tcW w:w="1024" w:type="dxa"/>
            <w:shd w:val="clear" w:color="auto" w:fill="auto"/>
            <w:vAlign w:val="center"/>
          </w:tcPr>
          <w:p w14:paraId="636F199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782EBFD1">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70A2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9397" w:type="dxa"/>
            <w:gridSpan w:val="10"/>
            <w:shd w:val="clear" w:color="auto" w:fill="auto"/>
            <w:vAlign w:val="center"/>
          </w:tcPr>
          <w:p w14:paraId="48C6629A">
            <w:pPr>
              <w:keepNext w:val="0"/>
              <w:keepLines w:val="0"/>
              <w:widowControl/>
              <w:suppressLineNumbers w:val="0"/>
              <w:spacing w:line="300" w:lineRule="exact"/>
              <w:jc w:val="left"/>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三、深化改革开放</w:t>
            </w:r>
          </w:p>
        </w:tc>
      </w:tr>
      <w:tr w14:paraId="7A1C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535" w:type="dxa"/>
            <w:shd w:val="clear" w:color="auto" w:fill="auto"/>
            <w:vAlign w:val="center"/>
          </w:tcPr>
          <w:p w14:paraId="7A4A866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15</w:t>
            </w:r>
          </w:p>
        </w:tc>
        <w:tc>
          <w:tcPr>
            <w:tcW w:w="1754" w:type="dxa"/>
            <w:shd w:val="clear" w:color="auto" w:fill="auto"/>
            <w:vAlign w:val="center"/>
          </w:tcPr>
          <w:p w14:paraId="08BA3779">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进出口总额（亿元）</w:t>
            </w:r>
          </w:p>
        </w:tc>
        <w:tc>
          <w:tcPr>
            <w:tcW w:w="803" w:type="dxa"/>
            <w:shd w:val="clear" w:color="auto" w:fill="auto"/>
            <w:vAlign w:val="center"/>
          </w:tcPr>
          <w:p w14:paraId="15421B1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849" w:type="dxa"/>
            <w:shd w:val="clear" w:color="auto" w:fill="auto"/>
            <w:vAlign w:val="center"/>
          </w:tcPr>
          <w:p w14:paraId="2E03E0F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92.48</w:t>
            </w:r>
          </w:p>
        </w:tc>
        <w:tc>
          <w:tcPr>
            <w:tcW w:w="877" w:type="dxa"/>
            <w:shd w:val="clear" w:color="auto" w:fill="auto"/>
            <w:vAlign w:val="center"/>
          </w:tcPr>
          <w:p w14:paraId="4A2DC047">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103.13</w:t>
            </w:r>
          </w:p>
        </w:tc>
        <w:tc>
          <w:tcPr>
            <w:tcW w:w="859" w:type="dxa"/>
            <w:shd w:val="clear" w:color="auto" w:fill="auto"/>
            <w:vAlign w:val="center"/>
          </w:tcPr>
          <w:p w14:paraId="11CE125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71.7</w:t>
            </w:r>
          </w:p>
        </w:tc>
        <w:tc>
          <w:tcPr>
            <w:tcW w:w="868" w:type="dxa"/>
            <w:shd w:val="clear" w:color="auto" w:fill="auto"/>
            <w:vAlign w:val="center"/>
          </w:tcPr>
          <w:p w14:paraId="1343940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74.3</w:t>
            </w:r>
          </w:p>
        </w:tc>
        <w:tc>
          <w:tcPr>
            <w:tcW w:w="923" w:type="dxa"/>
            <w:shd w:val="clear" w:color="auto" w:fill="auto"/>
            <w:vAlign w:val="center"/>
          </w:tcPr>
          <w:p w14:paraId="4AFEB01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89.1</w:t>
            </w:r>
          </w:p>
        </w:tc>
        <w:tc>
          <w:tcPr>
            <w:tcW w:w="1024" w:type="dxa"/>
            <w:shd w:val="clear" w:color="auto" w:fill="auto"/>
            <w:vAlign w:val="center"/>
          </w:tcPr>
          <w:p w14:paraId="06D5598B">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未达预期</w:t>
            </w:r>
          </w:p>
        </w:tc>
        <w:tc>
          <w:tcPr>
            <w:tcW w:w="905" w:type="dxa"/>
            <w:shd w:val="clear" w:color="auto" w:fill="auto"/>
            <w:vAlign w:val="center"/>
          </w:tcPr>
          <w:p w14:paraId="1238781D">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0205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48B0EF4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16</w:t>
            </w:r>
          </w:p>
        </w:tc>
        <w:tc>
          <w:tcPr>
            <w:tcW w:w="1754" w:type="dxa"/>
            <w:shd w:val="clear" w:color="auto" w:fill="auto"/>
            <w:vAlign w:val="center"/>
          </w:tcPr>
          <w:p w14:paraId="61F81BA7">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实际利用外资（亿美元）</w:t>
            </w:r>
          </w:p>
        </w:tc>
        <w:tc>
          <w:tcPr>
            <w:tcW w:w="803" w:type="dxa"/>
            <w:shd w:val="clear" w:color="auto" w:fill="auto"/>
            <w:vAlign w:val="center"/>
          </w:tcPr>
          <w:p w14:paraId="1CEA4CC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【25】</w:t>
            </w:r>
          </w:p>
        </w:tc>
        <w:tc>
          <w:tcPr>
            <w:tcW w:w="849" w:type="dxa"/>
            <w:shd w:val="clear" w:color="auto" w:fill="auto"/>
            <w:vAlign w:val="center"/>
          </w:tcPr>
          <w:p w14:paraId="698A570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4.5</w:t>
            </w:r>
          </w:p>
        </w:tc>
        <w:tc>
          <w:tcPr>
            <w:tcW w:w="877" w:type="dxa"/>
            <w:shd w:val="clear" w:color="auto" w:fill="auto"/>
            <w:vAlign w:val="center"/>
          </w:tcPr>
          <w:p w14:paraId="3B71EBE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59" w:type="dxa"/>
            <w:shd w:val="clear" w:color="auto" w:fill="auto"/>
            <w:vAlign w:val="center"/>
          </w:tcPr>
          <w:p w14:paraId="63C416B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68" w:type="dxa"/>
            <w:shd w:val="clear" w:color="auto" w:fill="auto"/>
            <w:vAlign w:val="center"/>
          </w:tcPr>
          <w:p w14:paraId="2732E775">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923" w:type="dxa"/>
            <w:shd w:val="clear" w:color="auto" w:fill="auto"/>
            <w:vAlign w:val="center"/>
          </w:tcPr>
          <w:p w14:paraId="4FB7EE0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1024" w:type="dxa"/>
            <w:shd w:val="clear" w:color="auto" w:fill="auto"/>
            <w:vAlign w:val="center"/>
          </w:tcPr>
          <w:p w14:paraId="11587CF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口径调整</w:t>
            </w:r>
          </w:p>
        </w:tc>
        <w:tc>
          <w:tcPr>
            <w:tcW w:w="905" w:type="dxa"/>
            <w:shd w:val="clear" w:color="auto" w:fill="auto"/>
            <w:vAlign w:val="center"/>
          </w:tcPr>
          <w:p w14:paraId="6B58A68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预期性</w:t>
            </w:r>
          </w:p>
        </w:tc>
      </w:tr>
      <w:tr w14:paraId="2EDA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9397" w:type="dxa"/>
            <w:gridSpan w:val="10"/>
            <w:shd w:val="clear" w:color="auto" w:fill="auto"/>
            <w:vAlign w:val="center"/>
          </w:tcPr>
          <w:p w14:paraId="249928A1">
            <w:pPr>
              <w:keepNext w:val="0"/>
              <w:keepLines w:val="0"/>
              <w:widowControl/>
              <w:suppressLineNumbers w:val="0"/>
              <w:spacing w:line="300" w:lineRule="exact"/>
              <w:jc w:val="left"/>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四、提升城市品质</w:t>
            </w:r>
          </w:p>
        </w:tc>
      </w:tr>
      <w:tr w14:paraId="7C02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4F230F3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17</w:t>
            </w:r>
          </w:p>
        </w:tc>
        <w:tc>
          <w:tcPr>
            <w:tcW w:w="1754" w:type="dxa"/>
            <w:shd w:val="clear" w:color="auto" w:fill="auto"/>
            <w:vAlign w:val="center"/>
          </w:tcPr>
          <w:p w14:paraId="0244961D">
            <w:pPr>
              <w:keepNext w:val="0"/>
              <w:keepLines w:val="0"/>
              <w:widowControl/>
              <w:suppressLineNumbers w:val="0"/>
              <w:spacing w:line="300" w:lineRule="exact"/>
              <w:jc w:val="left"/>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单位GDP能耗降低（%）</w:t>
            </w:r>
          </w:p>
        </w:tc>
        <w:tc>
          <w:tcPr>
            <w:tcW w:w="803" w:type="dxa"/>
            <w:shd w:val="clear" w:color="auto" w:fill="auto"/>
            <w:vAlign w:val="center"/>
          </w:tcPr>
          <w:p w14:paraId="6291BC3B">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市计划</w:t>
            </w:r>
          </w:p>
        </w:tc>
        <w:tc>
          <w:tcPr>
            <w:tcW w:w="849" w:type="dxa"/>
            <w:shd w:val="clear" w:color="auto" w:fill="auto"/>
            <w:vAlign w:val="center"/>
          </w:tcPr>
          <w:p w14:paraId="7BAE4831">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17A4267C">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77" w:type="dxa"/>
            <w:shd w:val="clear" w:color="auto" w:fill="auto"/>
            <w:vAlign w:val="center"/>
          </w:tcPr>
          <w:p w14:paraId="3B88D63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6BFED18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59" w:type="dxa"/>
            <w:shd w:val="clear" w:color="auto" w:fill="auto"/>
            <w:vAlign w:val="center"/>
          </w:tcPr>
          <w:p w14:paraId="63BF9A1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1264094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68" w:type="dxa"/>
            <w:shd w:val="clear" w:color="auto" w:fill="auto"/>
            <w:vAlign w:val="center"/>
          </w:tcPr>
          <w:p w14:paraId="14CD18AB">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6447D9AA">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923" w:type="dxa"/>
            <w:shd w:val="clear" w:color="auto" w:fill="auto"/>
            <w:vAlign w:val="center"/>
          </w:tcPr>
          <w:p w14:paraId="0A6CE76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2C704BE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1024" w:type="dxa"/>
            <w:shd w:val="clear" w:color="auto" w:fill="auto"/>
            <w:vAlign w:val="center"/>
          </w:tcPr>
          <w:p w14:paraId="6AA2016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3747D1FD">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5034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251A5A02">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18</w:t>
            </w:r>
          </w:p>
        </w:tc>
        <w:tc>
          <w:tcPr>
            <w:tcW w:w="1754" w:type="dxa"/>
            <w:shd w:val="clear" w:color="auto" w:fill="auto"/>
            <w:vAlign w:val="center"/>
          </w:tcPr>
          <w:p w14:paraId="45C5CC9E">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单位GDP二氧化碳排放降低（%）</w:t>
            </w:r>
          </w:p>
        </w:tc>
        <w:tc>
          <w:tcPr>
            <w:tcW w:w="803" w:type="dxa"/>
            <w:shd w:val="clear" w:color="auto" w:fill="auto"/>
            <w:vAlign w:val="center"/>
          </w:tcPr>
          <w:p w14:paraId="7DB07FC4">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市计划</w:t>
            </w:r>
          </w:p>
        </w:tc>
        <w:tc>
          <w:tcPr>
            <w:tcW w:w="849" w:type="dxa"/>
            <w:shd w:val="clear" w:color="auto" w:fill="auto"/>
            <w:vAlign w:val="center"/>
          </w:tcPr>
          <w:p w14:paraId="4F4075A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7B18B0E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77" w:type="dxa"/>
            <w:shd w:val="clear" w:color="auto" w:fill="auto"/>
            <w:vAlign w:val="center"/>
          </w:tcPr>
          <w:p w14:paraId="32C70F84">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7B276CFE">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59" w:type="dxa"/>
            <w:shd w:val="clear" w:color="auto" w:fill="auto"/>
            <w:vAlign w:val="center"/>
          </w:tcPr>
          <w:p w14:paraId="229A49D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0AB340B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868" w:type="dxa"/>
            <w:shd w:val="clear" w:color="auto" w:fill="auto"/>
            <w:vAlign w:val="center"/>
          </w:tcPr>
          <w:p w14:paraId="10F02E4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3048AD9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923" w:type="dxa"/>
            <w:shd w:val="clear" w:color="auto" w:fill="auto"/>
            <w:vAlign w:val="center"/>
          </w:tcPr>
          <w:p w14:paraId="5F88CA5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完成市</w:t>
            </w:r>
          </w:p>
          <w:p w14:paraId="6CF789A8">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计划</w:t>
            </w:r>
          </w:p>
        </w:tc>
        <w:tc>
          <w:tcPr>
            <w:tcW w:w="1024" w:type="dxa"/>
            <w:shd w:val="clear" w:color="auto" w:fill="auto"/>
            <w:vAlign w:val="center"/>
          </w:tcPr>
          <w:p w14:paraId="4748689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2BD07679">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7ECF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01B5EEA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19</w:t>
            </w:r>
          </w:p>
        </w:tc>
        <w:tc>
          <w:tcPr>
            <w:tcW w:w="1754" w:type="dxa"/>
            <w:shd w:val="clear" w:color="auto" w:fill="auto"/>
            <w:vAlign w:val="center"/>
          </w:tcPr>
          <w:p w14:paraId="5ABED5AA">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地表水达到或好于Ⅲ类比例（%）</w:t>
            </w:r>
          </w:p>
        </w:tc>
        <w:tc>
          <w:tcPr>
            <w:tcW w:w="803" w:type="dxa"/>
            <w:shd w:val="clear" w:color="auto" w:fill="auto"/>
            <w:vAlign w:val="center"/>
          </w:tcPr>
          <w:p w14:paraId="22C9131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849" w:type="dxa"/>
            <w:shd w:val="clear" w:color="auto" w:fill="auto"/>
            <w:vAlign w:val="center"/>
          </w:tcPr>
          <w:p w14:paraId="08F2F51E">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877" w:type="dxa"/>
            <w:shd w:val="clear" w:color="auto" w:fill="auto"/>
            <w:vAlign w:val="center"/>
          </w:tcPr>
          <w:p w14:paraId="481C6267">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859" w:type="dxa"/>
            <w:shd w:val="clear" w:color="auto" w:fill="auto"/>
            <w:vAlign w:val="center"/>
          </w:tcPr>
          <w:p w14:paraId="31234B2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868" w:type="dxa"/>
            <w:shd w:val="clear" w:color="auto" w:fill="auto"/>
            <w:vAlign w:val="center"/>
          </w:tcPr>
          <w:p w14:paraId="1E45A8E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100</w:t>
            </w:r>
          </w:p>
        </w:tc>
        <w:tc>
          <w:tcPr>
            <w:tcW w:w="923" w:type="dxa"/>
            <w:shd w:val="clear" w:color="auto" w:fill="auto"/>
            <w:vAlign w:val="center"/>
          </w:tcPr>
          <w:p w14:paraId="344BF4E3">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100</w:t>
            </w:r>
          </w:p>
        </w:tc>
        <w:tc>
          <w:tcPr>
            <w:tcW w:w="1024" w:type="dxa"/>
            <w:shd w:val="clear" w:color="auto" w:fill="auto"/>
            <w:vAlign w:val="center"/>
          </w:tcPr>
          <w:p w14:paraId="26E22CFF">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0BFB791B">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715E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3E8C7B0A">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w:t>
            </w:r>
          </w:p>
        </w:tc>
        <w:tc>
          <w:tcPr>
            <w:tcW w:w="1754" w:type="dxa"/>
            <w:shd w:val="clear" w:color="auto" w:fill="auto"/>
            <w:vAlign w:val="center"/>
          </w:tcPr>
          <w:p w14:paraId="519AC3BE">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空气质量优良天数（天）</w:t>
            </w:r>
          </w:p>
        </w:tc>
        <w:tc>
          <w:tcPr>
            <w:tcW w:w="803" w:type="dxa"/>
            <w:shd w:val="clear" w:color="auto" w:fill="auto"/>
            <w:vAlign w:val="center"/>
          </w:tcPr>
          <w:p w14:paraId="6FC3614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305</w:t>
            </w:r>
            <w:r>
              <w:rPr>
                <w:rStyle w:val="35"/>
                <w:rFonts w:hint="default" w:ascii="Times New Roman" w:hAnsi="Times New Roman" w:cs="Times New Roman"/>
                <w:color w:val="auto"/>
                <w:lang w:val="en-US" w:eastAsia="zh-CN" w:bidi="ar"/>
              </w:rPr>
              <w:t>左右</w:t>
            </w:r>
          </w:p>
        </w:tc>
        <w:tc>
          <w:tcPr>
            <w:tcW w:w="849" w:type="dxa"/>
            <w:shd w:val="clear" w:color="auto" w:fill="auto"/>
            <w:vAlign w:val="center"/>
          </w:tcPr>
          <w:p w14:paraId="616C0F08">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302</w:t>
            </w:r>
          </w:p>
        </w:tc>
        <w:tc>
          <w:tcPr>
            <w:tcW w:w="877" w:type="dxa"/>
            <w:shd w:val="clear" w:color="auto" w:fill="auto"/>
            <w:vAlign w:val="center"/>
          </w:tcPr>
          <w:p w14:paraId="307E1BD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300</w:t>
            </w:r>
          </w:p>
        </w:tc>
        <w:tc>
          <w:tcPr>
            <w:tcW w:w="859" w:type="dxa"/>
            <w:shd w:val="clear" w:color="auto" w:fill="auto"/>
            <w:vAlign w:val="center"/>
          </w:tcPr>
          <w:p w14:paraId="2FBD408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274</w:t>
            </w:r>
          </w:p>
        </w:tc>
        <w:tc>
          <w:tcPr>
            <w:tcW w:w="868" w:type="dxa"/>
            <w:shd w:val="clear" w:color="auto" w:fill="auto"/>
            <w:vAlign w:val="center"/>
          </w:tcPr>
          <w:p w14:paraId="0D42E1AB">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303</w:t>
            </w:r>
          </w:p>
        </w:tc>
        <w:tc>
          <w:tcPr>
            <w:tcW w:w="923" w:type="dxa"/>
            <w:shd w:val="clear" w:color="auto" w:fill="auto"/>
            <w:vAlign w:val="center"/>
          </w:tcPr>
          <w:p w14:paraId="19FEBBC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301</w:t>
            </w:r>
          </w:p>
        </w:tc>
        <w:tc>
          <w:tcPr>
            <w:tcW w:w="1024" w:type="dxa"/>
            <w:shd w:val="clear" w:color="auto" w:fill="auto"/>
            <w:vAlign w:val="center"/>
          </w:tcPr>
          <w:p w14:paraId="43A54FF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w:t>
            </w:r>
            <w:r>
              <w:rPr>
                <w:rStyle w:val="37"/>
                <w:rFonts w:hint="default" w:ascii="Times New Roman" w:hAnsi="Times New Roman" w:cs="Times New Roman"/>
                <w:color w:val="auto"/>
                <w:lang w:val="en-US" w:eastAsia="zh-CN" w:bidi="ar"/>
              </w:rPr>
              <w:t>预期</w:t>
            </w:r>
          </w:p>
        </w:tc>
        <w:tc>
          <w:tcPr>
            <w:tcW w:w="905" w:type="dxa"/>
            <w:shd w:val="clear" w:color="auto" w:fill="auto"/>
            <w:vAlign w:val="center"/>
          </w:tcPr>
          <w:p w14:paraId="27DC3805">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2B21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535" w:type="dxa"/>
            <w:shd w:val="clear" w:color="auto" w:fill="auto"/>
            <w:vAlign w:val="center"/>
          </w:tcPr>
          <w:p w14:paraId="143C7DD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21</w:t>
            </w:r>
          </w:p>
        </w:tc>
        <w:tc>
          <w:tcPr>
            <w:tcW w:w="1754" w:type="dxa"/>
            <w:shd w:val="clear" w:color="auto" w:fill="auto"/>
            <w:vAlign w:val="center"/>
          </w:tcPr>
          <w:p w14:paraId="00281195">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绿化覆盖率（%）</w:t>
            </w:r>
          </w:p>
        </w:tc>
        <w:tc>
          <w:tcPr>
            <w:tcW w:w="803" w:type="dxa"/>
            <w:shd w:val="clear" w:color="auto" w:fill="auto"/>
            <w:vAlign w:val="center"/>
          </w:tcPr>
          <w:p w14:paraId="4B21CB0F">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40</w:t>
            </w:r>
          </w:p>
        </w:tc>
        <w:tc>
          <w:tcPr>
            <w:tcW w:w="849" w:type="dxa"/>
            <w:shd w:val="clear" w:color="auto" w:fill="auto"/>
            <w:vAlign w:val="center"/>
          </w:tcPr>
          <w:p w14:paraId="7A8CCDB6">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39.5</w:t>
            </w:r>
          </w:p>
        </w:tc>
        <w:tc>
          <w:tcPr>
            <w:tcW w:w="877" w:type="dxa"/>
            <w:shd w:val="clear" w:color="auto" w:fill="auto"/>
            <w:vAlign w:val="center"/>
          </w:tcPr>
          <w:p w14:paraId="68AAE61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39.4</w:t>
            </w:r>
          </w:p>
        </w:tc>
        <w:tc>
          <w:tcPr>
            <w:tcW w:w="859" w:type="dxa"/>
            <w:shd w:val="clear" w:color="auto" w:fill="auto"/>
            <w:vAlign w:val="center"/>
          </w:tcPr>
          <w:p w14:paraId="20589B91">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868" w:type="dxa"/>
            <w:shd w:val="clear" w:color="auto" w:fill="auto"/>
            <w:vAlign w:val="center"/>
          </w:tcPr>
          <w:p w14:paraId="03539A9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923" w:type="dxa"/>
            <w:shd w:val="clear" w:color="auto" w:fill="auto"/>
            <w:vAlign w:val="center"/>
          </w:tcPr>
          <w:p w14:paraId="4D49B743">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0"/>
                <w:szCs w:val="20"/>
                <w:u w:val="none"/>
                <w:lang w:val="en-US" w:eastAsia="zh-CN" w:bidi="ar"/>
              </w:rPr>
              <w:t>—</w:t>
            </w:r>
          </w:p>
        </w:tc>
        <w:tc>
          <w:tcPr>
            <w:tcW w:w="1024" w:type="dxa"/>
            <w:shd w:val="clear" w:color="auto" w:fill="auto"/>
            <w:vAlign w:val="center"/>
          </w:tcPr>
          <w:p w14:paraId="5CD42AF6">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口径调整</w:t>
            </w:r>
          </w:p>
        </w:tc>
        <w:tc>
          <w:tcPr>
            <w:tcW w:w="905" w:type="dxa"/>
            <w:shd w:val="clear" w:color="auto" w:fill="auto"/>
            <w:vAlign w:val="center"/>
          </w:tcPr>
          <w:p w14:paraId="58707127">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r w14:paraId="1498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03" w:hRule="atLeast"/>
          <w:jc w:val="center"/>
        </w:trPr>
        <w:tc>
          <w:tcPr>
            <w:tcW w:w="9397" w:type="dxa"/>
            <w:gridSpan w:val="10"/>
            <w:shd w:val="clear" w:color="auto" w:fill="auto"/>
            <w:vAlign w:val="center"/>
          </w:tcPr>
          <w:p w14:paraId="1A53C4BF">
            <w:pPr>
              <w:keepNext w:val="0"/>
              <w:keepLines w:val="0"/>
              <w:widowControl/>
              <w:suppressLineNumbers w:val="0"/>
              <w:spacing w:line="300" w:lineRule="exact"/>
              <w:jc w:val="left"/>
              <w:textAlignment w:val="center"/>
              <w:rPr>
                <w:rFonts w:hint="default" w:ascii="Times New Roman" w:hAnsi="Times New Roman" w:eastAsia="方正黑体_GBK" w:cs="Times New Roman"/>
                <w:i w:val="0"/>
                <w:iCs w:val="0"/>
                <w:color w:val="auto"/>
                <w:sz w:val="20"/>
                <w:szCs w:val="20"/>
                <w:u w:val="none"/>
              </w:rPr>
            </w:pPr>
            <w:r>
              <w:rPr>
                <w:rFonts w:hint="default" w:ascii="Times New Roman" w:hAnsi="Times New Roman" w:eastAsia="方正黑体_GBK" w:cs="Times New Roman"/>
                <w:i w:val="0"/>
                <w:iCs w:val="0"/>
                <w:color w:val="auto"/>
                <w:kern w:val="0"/>
                <w:sz w:val="20"/>
                <w:szCs w:val="20"/>
                <w:u w:val="none"/>
                <w:lang w:val="en-US" w:eastAsia="zh-CN" w:bidi="ar"/>
              </w:rPr>
              <w:t>五、实现安全发展</w:t>
            </w:r>
          </w:p>
        </w:tc>
      </w:tr>
      <w:tr w14:paraId="1E78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535" w:type="dxa"/>
            <w:shd w:val="clear" w:color="auto" w:fill="auto"/>
            <w:vAlign w:val="center"/>
          </w:tcPr>
          <w:p w14:paraId="7306E11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22</w:t>
            </w:r>
          </w:p>
        </w:tc>
        <w:tc>
          <w:tcPr>
            <w:tcW w:w="1754" w:type="dxa"/>
            <w:shd w:val="clear" w:color="auto" w:fill="auto"/>
            <w:vAlign w:val="center"/>
          </w:tcPr>
          <w:p w14:paraId="76FD5539">
            <w:pPr>
              <w:keepNext w:val="0"/>
              <w:keepLines w:val="0"/>
              <w:widowControl/>
              <w:suppressLineNumbers w:val="0"/>
              <w:spacing w:line="300" w:lineRule="exact"/>
              <w:jc w:val="both"/>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亿元GDP安全事故死亡率（人/亿元）</w:t>
            </w:r>
          </w:p>
        </w:tc>
        <w:tc>
          <w:tcPr>
            <w:tcW w:w="803" w:type="dxa"/>
            <w:shd w:val="clear" w:color="auto" w:fill="auto"/>
            <w:vAlign w:val="center"/>
          </w:tcPr>
          <w:p w14:paraId="0343AEB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&lt;0.01</w:t>
            </w:r>
          </w:p>
        </w:tc>
        <w:tc>
          <w:tcPr>
            <w:tcW w:w="849" w:type="dxa"/>
            <w:shd w:val="clear" w:color="auto" w:fill="auto"/>
            <w:vAlign w:val="center"/>
          </w:tcPr>
          <w:p w14:paraId="1BAEAAD4">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0.0053</w:t>
            </w:r>
          </w:p>
        </w:tc>
        <w:tc>
          <w:tcPr>
            <w:tcW w:w="877" w:type="dxa"/>
            <w:shd w:val="clear" w:color="auto" w:fill="auto"/>
            <w:vAlign w:val="center"/>
          </w:tcPr>
          <w:p w14:paraId="7DB773A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0.0058</w:t>
            </w:r>
          </w:p>
        </w:tc>
        <w:tc>
          <w:tcPr>
            <w:tcW w:w="859" w:type="dxa"/>
            <w:shd w:val="clear" w:color="auto" w:fill="auto"/>
            <w:vAlign w:val="center"/>
          </w:tcPr>
          <w:p w14:paraId="00938DAC">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0.0055</w:t>
            </w:r>
          </w:p>
        </w:tc>
        <w:tc>
          <w:tcPr>
            <w:tcW w:w="868" w:type="dxa"/>
            <w:shd w:val="clear" w:color="auto" w:fill="auto"/>
            <w:vAlign w:val="center"/>
          </w:tcPr>
          <w:p w14:paraId="50D0AC30">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0.0023</w:t>
            </w:r>
          </w:p>
        </w:tc>
        <w:tc>
          <w:tcPr>
            <w:tcW w:w="923" w:type="dxa"/>
            <w:shd w:val="clear" w:color="auto" w:fill="auto"/>
            <w:vAlign w:val="center"/>
          </w:tcPr>
          <w:p w14:paraId="66915BBD">
            <w:pPr>
              <w:keepNext w:val="0"/>
              <w:keepLines w:val="0"/>
              <w:widowControl/>
              <w:suppressLineNumbers w:val="0"/>
              <w:spacing w:line="300" w:lineRule="exact"/>
              <w:jc w:val="center"/>
              <w:textAlignment w:val="center"/>
              <w:rPr>
                <w:rFonts w:hint="default" w:ascii="Times New Roman" w:hAnsi="Times New Roman" w:eastAsia="宋体" w:cs="Times New Roman"/>
                <w:i w:val="0"/>
                <w:iCs w:val="0"/>
                <w:color w:val="auto"/>
                <w:sz w:val="20"/>
                <w:szCs w:val="20"/>
                <w:u w:val="none"/>
                <w:lang w:val="en-US"/>
              </w:rPr>
            </w:pPr>
            <w:r>
              <w:rPr>
                <w:rFonts w:hint="eastAsia" w:ascii="Times New Roman" w:hAnsi="Times New Roman" w:eastAsia="宋体" w:cs="Times New Roman"/>
                <w:i w:val="0"/>
                <w:iCs w:val="0"/>
                <w:color w:val="auto"/>
                <w:kern w:val="0"/>
                <w:sz w:val="20"/>
                <w:szCs w:val="20"/>
                <w:u w:val="none"/>
                <w:lang w:val="en-US" w:eastAsia="zh-CN" w:bidi="ar"/>
              </w:rPr>
              <w:t>0.0028</w:t>
            </w:r>
          </w:p>
        </w:tc>
        <w:tc>
          <w:tcPr>
            <w:tcW w:w="1024" w:type="dxa"/>
            <w:shd w:val="clear" w:color="auto" w:fill="auto"/>
            <w:vAlign w:val="center"/>
          </w:tcPr>
          <w:p w14:paraId="1855F7D0">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达到预期</w:t>
            </w:r>
          </w:p>
        </w:tc>
        <w:tc>
          <w:tcPr>
            <w:tcW w:w="905" w:type="dxa"/>
            <w:shd w:val="clear" w:color="auto" w:fill="auto"/>
            <w:vAlign w:val="center"/>
          </w:tcPr>
          <w:p w14:paraId="02B5BBAC">
            <w:pPr>
              <w:keepNext w:val="0"/>
              <w:keepLines w:val="0"/>
              <w:widowControl/>
              <w:suppressLineNumbers w:val="0"/>
              <w:spacing w:line="300" w:lineRule="exact"/>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约束性</w:t>
            </w:r>
          </w:p>
        </w:tc>
      </w:tr>
    </w:tbl>
    <w:p w14:paraId="22D6455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K" w:cs="Times New Roman"/>
          <w:i w:val="0"/>
          <w:iCs w:val="0"/>
          <w:color w:val="auto"/>
          <w:kern w:val="0"/>
          <w:sz w:val="20"/>
          <w:szCs w:val="20"/>
          <w:highlight w:val="none"/>
          <w:u w:val="none" w:color="auto"/>
          <w:lang w:val="en-US" w:eastAsia="zh-CN" w:bidi="ar"/>
        </w:rPr>
      </w:pPr>
      <w:r>
        <w:rPr>
          <w:rFonts w:hint="default" w:ascii="Times New Roman" w:hAnsi="Times New Roman" w:eastAsia="方正仿宋_GBK" w:cs="Times New Roman"/>
          <w:i w:val="0"/>
          <w:iCs w:val="0"/>
          <w:color w:val="auto"/>
          <w:kern w:val="0"/>
          <w:sz w:val="20"/>
          <w:szCs w:val="20"/>
          <w:highlight w:val="none"/>
          <w:u w:val="none" w:color="auto"/>
          <w:lang w:val="en-US" w:eastAsia="zh-CN" w:bidi="ar"/>
        </w:rPr>
        <w:t>注：1.带</w:t>
      </w:r>
      <w:r>
        <w:rPr>
          <w:rFonts w:hint="eastAsia" w:ascii="Times New Roman" w:hAnsi="Times New Roman" w:eastAsia="方正仿宋_GBK" w:cs="方正仿宋_GBK"/>
          <w:i w:val="0"/>
          <w:iCs w:val="0"/>
          <w:color w:val="auto"/>
          <w:kern w:val="0"/>
          <w:sz w:val="20"/>
          <w:szCs w:val="20"/>
          <w:highlight w:val="none"/>
          <w:u w:val="none" w:color="auto"/>
          <w:lang w:val="en-US" w:eastAsia="zh-CN" w:bidi="ar"/>
        </w:rPr>
        <w:t>“</w:t>
      </w:r>
      <w:r>
        <w:rPr>
          <w:rFonts w:hint="default" w:ascii="Times New Roman" w:hAnsi="Times New Roman" w:eastAsia="方正仿宋_GBK" w:cs="Times New Roman"/>
          <w:i w:val="0"/>
          <w:iCs w:val="0"/>
          <w:color w:val="auto"/>
          <w:kern w:val="0"/>
          <w:sz w:val="20"/>
          <w:szCs w:val="20"/>
          <w:highlight w:val="none"/>
          <w:u w:val="none" w:color="auto"/>
          <w:lang w:val="en-US" w:eastAsia="zh-CN" w:bidi="ar"/>
        </w:rPr>
        <w:t>【】</w:t>
      </w:r>
      <w:r>
        <w:rPr>
          <w:rFonts w:hint="eastAsia" w:ascii="Times New Roman" w:hAnsi="Times New Roman" w:eastAsia="方正仿宋_GBK" w:cs="方正仿宋_GBK"/>
          <w:i w:val="0"/>
          <w:iCs w:val="0"/>
          <w:color w:val="auto"/>
          <w:kern w:val="0"/>
          <w:sz w:val="20"/>
          <w:szCs w:val="20"/>
          <w:highlight w:val="none"/>
          <w:u w:val="none" w:color="auto"/>
          <w:lang w:val="en-US" w:eastAsia="zh-CN" w:bidi="ar"/>
        </w:rPr>
        <w:t>”</w:t>
      </w:r>
      <w:r>
        <w:rPr>
          <w:rFonts w:hint="default" w:ascii="Times New Roman" w:hAnsi="Times New Roman" w:eastAsia="方正仿宋_GBK" w:cs="Times New Roman"/>
          <w:i w:val="0"/>
          <w:iCs w:val="0"/>
          <w:color w:val="auto"/>
          <w:kern w:val="0"/>
          <w:sz w:val="20"/>
          <w:szCs w:val="20"/>
          <w:highlight w:val="none"/>
          <w:u w:val="none" w:color="auto"/>
          <w:lang w:val="en-US" w:eastAsia="zh-CN" w:bidi="ar"/>
        </w:rPr>
        <w:t>为累计数，带</w:t>
      </w:r>
      <w:r>
        <w:rPr>
          <w:rFonts w:hint="eastAsia" w:ascii="Times New Roman" w:hAnsi="Times New Roman" w:eastAsia="方正仿宋_GBK" w:cs="方正仿宋_GBK"/>
          <w:i w:val="0"/>
          <w:iCs w:val="0"/>
          <w:color w:val="auto"/>
          <w:kern w:val="0"/>
          <w:sz w:val="20"/>
          <w:szCs w:val="20"/>
          <w:highlight w:val="none"/>
          <w:u w:val="none" w:color="auto"/>
          <w:lang w:val="en-US" w:eastAsia="zh-CN" w:bidi="ar"/>
        </w:rPr>
        <w:t>“</w:t>
      </w:r>
      <w:r>
        <w:rPr>
          <w:rFonts w:hint="default" w:ascii="Times New Roman" w:hAnsi="Times New Roman" w:eastAsia="方正仿宋_GBK" w:cs="Times New Roman"/>
          <w:i w:val="0"/>
          <w:iCs w:val="0"/>
          <w:color w:val="auto"/>
          <w:kern w:val="0"/>
          <w:sz w:val="20"/>
          <w:szCs w:val="20"/>
          <w:highlight w:val="none"/>
          <w:u w:val="none" w:color="auto"/>
          <w:lang w:val="en-US" w:eastAsia="zh-CN" w:bidi="ar"/>
        </w:rPr>
        <w:t>—</w:t>
      </w:r>
      <w:r>
        <w:rPr>
          <w:rFonts w:hint="eastAsia" w:ascii="Times New Roman" w:hAnsi="Times New Roman" w:eastAsia="方正仿宋_GBK" w:cs="方正仿宋_GBK"/>
          <w:i w:val="0"/>
          <w:iCs w:val="0"/>
          <w:color w:val="auto"/>
          <w:kern w:val="0"/>
          <w:sz w:val="20"/>
          <w:szCs w:val="20"/>
          <w:highlight w:val="none"/>
          <w:u w:val="none" w:color="auto"/>
          <w:lang w:val="en-US" w:eastAsia="zh-CN" w:bidi="ar"/>
        </w:rPr>
        <w:t>”因口径调整等暂</w:t>
      </w:r>
      <w:r>
        <w:rPr>
          <w:rFonts w:hint="default" w:ascii="Times New Roman" w:hAnsi="Times New Roman" w:eastAsia="方正仿宋_GBK" w:cs="Times New Roman"/>
          <w:i w:val="0"/>
          <w:iCs w:val="0"/>
          <w:color w:val="auto"/>
          <w:kern w:val="0"/>
          <w:sz w:val="20"/>
          <w:szCs w:val="20"/>
          <w:highlight w:val="none"/>
          <w:u w:val="none" w:color="auto"/>
          <w:lang w:val="en-US" w:eastAsia="zh-CN" w:bidi="ar"/>
        </w:rPr>
        <w:t>无数据。</w:t>
      </w:r>
    </w:p>
    <w:p w14:paraId="01EFD9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0" w:firstLineChars="0"/>
        <w:contextualSpacing/>
        <w:jc w:val="both"/>
        <w:textAlignment w:val="center"/>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 xml:space="preserve">  </w:t>
      </w:r>
    </w:p>
    <w:p w14:paraId="6CC550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600" w:lineRule="exact"/>
        <w:ind w:left="0" w:leftChars="0" w:right="0" w:rightChars="0" w:firstLine="640" w:firstLineChars="200"/>
        <w:contextualSpacing/>
        <w:jc w:val="both"/>
        <w:textAlignment w:val="center"/>
        <w:outlineLvl w:val="9"/>
        <w:rPr>
          <w:rFonts w:hint="default" w:ascii="Times New Roman" w:hAnsi="Times New Roman" w:eastAsia="方正仿宋_GBK" w:cs="Times New Roman"/>
          <w:b/>
          <w:bCs/>
          <w:color w:val="auto"/>
          <w:spacing w:val="0"/>
          <w:sz w:val="32"/>
          <w:szCs w:val="32"/>
          <w:highlight w:val="none"/>
          <w:u w:val="none" w:color="auto"/>
          <w:lang w:val="en-US" w:eastAsia="zh-CN"/>
        </w:rPr>
      </w:pP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十四五</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
        </w:rPr>
        <w:t>时期发展历程极不平凡、发展成效令人鼓舞，规划目标任务基本实现，现代化新重庆渝中建设实现了从夯基垒台、立柱架梁到蓄势聚能、纵深推进，制约我区高质量发展的结构性难题和体制性矛盾得到有力破解，发展动力活力效力显著增强，在全市大局中的地位作用持续巩固。</w:t>
      </w:r>
      <w:r>
        <w:rPr>
          <w:rFonts w:hint="default" w:ascii="Times New Roman" w:hAnsi="Times New Roman" w:eastAsia="方正仿宋_GBK" w:cs="Times New Roman"/>
          <w:color w:val="auto"/>
          <w:spacing w:val="0"/>
          <w:sz w:val="32"/>
          <w:szCs w:val="32"/>
          <w:highlight w:val="none"/>
          <w:u w:val="none" w:color="auto"/>
        </w:rPr>
        <w:t>这些</w:t>
      </w:r>
      <w:r>
        <w:rPr>
          <w:rFonts w:hint="default" w:ascii="Times New Roman" w:hAnsi="Times New Roman" w:eastAsia="方正仿宋_GBK" w:cs="Times New Roman"/>
          <w:color w:val="auto"/>
          <w:spacing w:val="0"/>
          <w:sz w:val="32"/>
          <w:szCs w:val="32"/>
          <w:highlight w:val="none"/>
          <w:u w:val="none" w:color="auto"/>
          <w:lang w:eastAsia="zh-CN"/>
        </w:rPr>
        <w:t>成效</w:t>
      </w:r>
      <w:r>
        <w:rPr>
          <w:rFonts w:hint="default" w:ascii="Times New Roman" w:hAnsi="Times New Roman" w:eastAsia="方正仿宋_GBK" w:cs="Times New Roman"/>
          <w:color w:val="auto"/>
          <w:spacing w:val="0"/>
          <w:sz w:val="32"/>
          <w:szCs w:val="32"/>
          <w:highlight w:val="none"/>
          <w:u w:val="none" w:color="auto"/>
        </w:rPr>
        <w:t>的取得，</w:t>
      </w:r>
      <w:r>
        <w:rPr>
          <w:rFonts w:hint="default" w:ascii="Times New Roman" w:hAnsi="Times New Roman" w:eastAsia="方正仿宋_GBK" w:cs="Times New Roman"/>
          <w:color w:val="auto"/>
          <w:spacing w:val="0"/>
          <w:sz w:val="32"/>
          <w:szCs w:val="32"/>
          <w:highlight w:val="none"/>
          <w:u w:val="none" w:color="auto"/>
          <w:lang w:val="en-US" w:eastAsia="zh-CN"/>
        </w:rPr>
        <w:t>最</w:t>
      </w:r>
      <w:r>
        <w:rPr>
          <w:rFonts w:hint="default" w:ascii="Times New Roman" w:hAnsi="Times New Roman" w:eastAsia="方正仿宋_GBK" w:cs="Times New Roman"/>
          <w:color w:val="auto"/>
          <w:spacing w:val="0"/>
          <w:sz w:val="32"/>
          <w:szCs w:val="32"/>
          <w:highlight w:val="none"/>
          <w:u w:val="none" w:color="auto"/>
        </w:rPr>
        <w:t>根本在于以习近平同志为核心的党中央领航掌舵，在于习近平新时代中国特色社会主义思想</w:t>
      </w:r>
      <w:r>
        <w:rPr>
          <w:rFonts w:hint="default" w:ascii="Times New Roman" w:hAnsi="Times New Roman" w:eastAsia="方正仿宋_GBK" w:cs="Times New Roman"/>
          <w:color w:val="auto"/>
          <w:spacing w:val="0"/>
          <w:sz w:val="32"/>
          <w:szCs w:val="32"/>
          <w:highlight w:val="none"/>
          <w:u w:val="none" w:color="auto"/>
          <w:lang w:eastAsia="zh-CN"/>
        </w:rPr>
        <w:t>的</w:t>
      </w:r>
      <w:r>
        <w:rPr>
          <w:rFonts w:hint="default" w:ascii="Times New Roman" w:hAnsi="Times New Roman" w:eastAsia="方正仿宋_GBK" w:cs="Times New Roman"/>
          <w:color w:val="auto"/>
          <w:spacing w:val="0"/>
          <w:sz w:val="32"/>
          <w:szCs w:val="32"/>
          <w:highlight w:val="none"/>
          <w:u w:val="none" w:color="auto"/>
        </w:rPr>
        <w:t>科学指引</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离不开</w:t>
      </w:r>
      <w:r>
        <w:rPr>
          <w:rFonts w:hint="default" w:ascii="Times New Roman" w:hAnsi="Times New Roman" w:eastAsia="方正仿宋_GBK" w:cs="Times New Roman"/>
          <w:color w:val="auto"/>
          <w:spacing w:val="0"/>
          <w:sz w:val="32"/>
          <w:szCs w:val="32"/>
          <w:highlight w:val="none"/>
          <w:u w:val="none" w:color="auto"/>
        </w:rPr>
        <w:t>市委</w:t>
      </w:r>
      <w:r>
        <w:rPr>
          <w:rFonts w:hint="default" w:ascii="Times New Roman" w:hAnsi="Times New Roman" w:eastAsia="方正仿宋_GBK" w:cs="Times New Roman"/>
          <w:color w:val="auto"/>
          <w:spacing w:val="0"/>
          <w:sz w:val="32"/>
          <w:szCs w:val="32"/>
          <w:highlight w:val="none"/>
          <w:u w:val="none" w:color="auto"/>
          <w:lang w:val="en-US" w:eastAsia="zh-CN"/>
        </w:rPr>
        <w:t>市政府</w:t>
      </w:r>
      <w:r>
        <w:rPr>
          <w:rFonts w:hint="default" w:ascii="Times New Roman" w:hAnsi="Times New Roman" w:eastAsia="方正仿宋_GBK" w:cs="Times New Roman"/>
          <w:color w:val="auto"/>
          <w:spacing w:val="0"/>
          <w:sz w:val="32"/>
          <w:szCs w:val="32"/>
          <w:highlight w:val="none"/>
          <w:u w:val="none" w:color="auto"/>
          <w:lang w:eastAsia="zh-CN"/>
        </w:rPr>
        <w:t>的</w:t>
      </w:r>
      <w:r>
        <w:rPr>
          <w:rFonts w:hint="default" w:ascii="Times New Roman" w:hAnsi="Times New Roman" w:eastAsia="方正仿宋_GBK" w:cs="Times New Roman"/>
          <w:color w:val="auto"/>
          <w:spacing w:val="0"/>
          <w:sz w:val="32"/>
          <w:szCs w:val="32"/>
          <w:highlight w:val="none"/>
          <w:u w:val="none" w:color="auto"/>
          <w:lang w:val="en-US" w:eastAsia="zh-CN"/>
        </w:rPr>
        <w:t>坚强领导，也是全</w:t>
      </w:r>
      <w:r>
        <w:rPr>
          <w:rFonts w:hint="default" w:ascii="Times New Roman" w:hAnsi="Times New Roman" w:eastAsia="方正仿宋_GBK" w:cs="Times New Roman"/>
          <w:color w:val="auto"/>
          <w:spacing w:val="0"/>
          <w:sz w:val="32"/>
          <w:szCs w:val="32"/>
          <w:highlight w:val="none"/>
          <w:u w:val="none" w:color="auto"/>
        </w:rPr>
        <w:t>区广大干部群众</w:t>
      </w:r>
      <w:r>
        <w:rPr>
          <w:rFonts w:hint="default" w:ascii="Times New Roman" w:hAnsi="Times New Roman" w:eastAsia="方正仿宋_GBK" w:cs="Times New Roman"/>
          <w:color w:val="auto"/>
          <w:spacing w:val="0"/>
          <w:sz w:val="32"/>
          <w:szCs w:val="32"/>
          <w:highlight w:val="none"/>
          <w:u w:val="none" w:color="auto"/>
          <w:lang w:val="en-US" w:eastAsia="zh-CN"/>
        </w:rPr>
        <w:t>携手并肩</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共同奋斗</w:t>
      </w:r>
      <w:r>
        <w:rPr>
          <w:rFonts w:hint="default" w:ascii="Times New Roman" w:hAnsi="Times New Roman" w:eastAsia="方正仿宋_GBK" w:cs="Times New Roman"/>
          <w:color w:val="auto"/>
          <w:spacing w:val="0"/>
          <w:sz w:val="32"/>
          <w:szCs w:val="32"/>
          <w:highlight w:val="none"/>
          <w:u w:val="none" w:color="auto"/>
        </w:rPr>
        <w:t>的结果。</w:t>
      </w:r>
      <w:r>
        <w:rPr>
          <w:rFonts w:hint="default" w:ascii="Times New Roman" w:hAnsi="Times New Roman" w:eastAsia="方正仿宋_GBK" w:cs="Times New Roman"/>
          <w:color w:val="auto"/>
          <w:spacing w:val="0"/>
          <w:sz w:val="32"/>
          <w:szCs w:val="32"/>
          <w:highlight w:val="none"/>
          <w:u w:val="none" w:color="auto"/>
          <w:lang w:val="en-US" w:eastAsia="zh-CN"/>
        </w:rPr>
        <w:t>全区上下要进一步深刻领悟</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两个确立</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的决定性意义，不断增强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四个意识</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、坚定</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四个自信</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、做到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两个维护</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，确保渝中各项事业始终沿着习近平总书记指引的正确方向不断前进。</w:t>
      </w:r>
    </w:p>
    <w:p w14:paraId="41264C3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33" w:name="_Toc290"/>
      <w:bookmarkStart w:id="34" w:name="_Toc30515"/>
      <w:bookmarkStart w:id="35" w:name="_Toc24488"/>
      <w:bookmarkStart w:id="36" w:name="_Toc331"/>
      <w:bookmarkStart w:id="37" w:name="_Toc15766"/>
      <w:bookmarkStart w:id="38" w:name="_Toc7028"/>
      <w:bookmarkStart w:id="39" w:name="_Toc30488"/>
      <w:bookmarkStart w:id="40" w:name="_Toc7497"/>
      <w:bookmarkStart w:id="41" w:name="_Toc13678"/>
      <w:bookmarkStart w:id="42" w:name="_Toc8694"/>
      <w:bookmarkStart w:id="43" w:name="_Toc12739"/>
      <w:bookmarkStart w:id="44" w:name="_Toc2769"/>
      <w:r>
        <w:rPr>
          <w:rFonts w:hint="default" w:ascii="Times New Roman" w:hAnsi="Times New Roman" w:eastAsia="方正黑体_GBK" w:cs="Times New Roman"/>
          <w:color w:val="auto"/>
          <w:sz w:val="32"/>
          <w:szCs w:val="32"/>
          <w:highlight w:val="none"/>
          <w:u w:val="none" w:color="auto"/>
          <w:lang w:val="en-US" w:eastAsia="zh-CN"/>
        </w:rPr>
        <w:t xml:space="preserve">第二章 </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十五五</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时期机遇挑战</w:t>
      </w:r>
      <w:bookmarkEnd w:id="33"/>
      <w:bookmarkEnd w:id="34"/>
      <w:bookmarkEnd w:id="35"/>
      <w:bookmarkEnd w:id="36"/>
      <w:bookmarkEnd w:id="37"/>
      <w:bookmarkEnd w:id="38"/>
      <w:bookmarkEnd w:id="39"/>
      <w:bookmarkEnd w:id="40"/>
      <w:bookmarkEnd w:id="41"/>
      <w:bookmarkEnd w:id="42"/>
      <w:bookmarkEnd w:id="43"/>
      <w:bookmarkEnd w:id="44"/>
    </w:p>
    <w:p w14:paraId="52CA295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sz w:val="32"/>
          <w:szCs w:val="32"/>
          <w:highlight w:val="none"/>
          <w:u w:val="none" w:color="auto"/>
          <w:lang w:val="en-US" w:eastAsia="zh-CN" w:bidi="ar"/>
        </w:rPr>
      </w:pPr>
      <w:r>
        <w:rPr>
          <w:rFonts w:hint="eastAsia" w:ascii="Times New Roman" w:hAnsi="Times New Roman" w:eastAsia="方正仿宋_GBK" w:cs="方正仿宋_GBK"/>
          <w:color w:val="auto"/>
          <w:spacing w:val="0"/>
          <w:kern w:val="0"/>
          <w:sz w:val="32"/>
          <w:szCs w:val="32"/>
          <w:highlight w:val="none"/>
          <w:u w:val="none" w:color="auto"/>
          <w:lang w:val="en-US" w:eastAsia="zh-CN" w:bidi="ar-SA"/>
        </w:rPr>
        <w:t>“</w:t>
      </w:r>
      <w:r>
        <w:rPr>
          <w:rFonts w:hint="default" w:ascii="Times New Roman" w:hAnsi="Times New Roman" w:eastAsia="方正仿宋_GBK" w:cs="Times New Roman"/>
          <w:color w:val="auto"/>
          <w:spacing w:val="0"/>
          <w:kern w:val="0"/>
          <w:sz w:val="32"/>
          <w:szCs w:val="32"/>
          <w:highlight w:val="none"/>
          <w:u w:val="none" w:color="auto"/>
          <w:lang w:val="en-US" w:eastAsia="zh-CN" w:bidi="ar-SA"/>
        </w:rPr>
        <w:t>十五五</w:t>
      </w:r>
      <w:r>
        <w:rPr>
          <w:rFonts w:hint="eastAsia" w:ascii="Times New Roman" w:hAnsi="Times New Roman" w:eastAsia="方正仿宋_GBK" w:cs="方正仿宋_GBK"/>
          <w:color w:val="auto"/>
          <w:spacing w:val="0"/>
          <w:kern w:val="0"/>
          <w:sz w:val="32"/>
          <w:szCs w:val="32"/>
          <w:highlight w:val="none"/>
          <w:u w:val="none" w:color="auto"/>
          <w:lang w:val="en-US" w:eastAsia="zh-CN" w:bidi="ar-SA"/>
        </w:rPr>
        <w:t>”</w:t>
      </w:r>
      <w:r>
        <w:rPr>
          <w:rFonts w:hint="default" w:ascii="Times New Roman" w:hAnsi="Times New Roman" w:eastAsia="方正仿宋_GBK" w:cs="Times New Roman"/>
          <w:color w:val="auto"/>
          <w:spacing w:val="0"/>
          <w:kern w:val="0"/>
          <w:sz w:val="32"/>
          <w:szCs w:val="32"/>
          <w:highlight w:val="none"/>
          <w:u w:val="none" w:color="auto"/>
          <w:lang w:val="en-US" w:eastAsia="zh-CN" w:bidi="ar-SA"/>
        </w:rPr>
        <w:t>时期在基本实现社会主义现代化进程中具有承前启后的重要地位，是夯实基础、全面发力的关键时期，是现代化新重庆建设进入积厚成势、整体跃升的关键时期，重庆将迎来直辖30周年、西部大开发战略实施30周年、长江经济带发展战略实施10周年、成渝地区双城经济圈建设10周年。</w:t>
      </w:r>
      <w:r>
        <w:rPr>
          <w:rFonts w:hint="eastAsia" w:ascii="Times New Roman" w:hAnsi="Times New Roman" w:eastAsia="方正仿宋_GBK" w:cs="Times New Roman"/>
          <w:color w:val="auto"/>
          <w:spacing w:val="0"/>
          <w:kern w:val="0"/>
          <w:sz w:val="32"/>
          <w:szCs w:val="32"/>
          <w:highlight w:val="none"/>
          <w:u w:val="none" w:color="auto"/>
          <w:lang w:val="en-US" w:eastAsia="zh-CN" w:bidi="ar-SA"/>
        </w:rPr>
        <w:t>也</w:t>
      </w:r>
      <w:r>
        <w:rPr>
          <w:rFonts w:hint="default" w:ascii="Times New Roman" w:hAnsi="Times New Roman" w:eastAsia="方正仿宋_GBK" w:cs="Times New Roman"/>
          <w:color w:val="auto"/>
          <w:spacing w:val="0"/>
          <w:kern w:val="0"/>
          <w:sz w:val="32"/>
          <w:szCs w:val="32"/>
          <w:highlight w:val="none"/>
          <w:u w:val="none" w:color="auto"/>
          <w:lang w:val="en-US" w:eastAsia="zh-CN" w:bidi="ar-SA"/>
        </w:rPr>
        <w:t>是推动现代化新重庆渝中建设积新成势、迭代跃升的关键阶段</w:t>
      </w:r>
      <w:r>
        <w:rPr>
          <w:rFonts w:hint="eastAsia" w:ascii="Times New Roman" w:hAnsi="Times New Roman" w:eastAsia="方正仿宋_GBK" w:cs="Times New Roman"/>
          <w:color w:val="auto"/>
          <w:spacing w:val="0"/>
          <w:kern w:val="0"/>
          <w:sz w:val="32"/>
          <w:szCs w:val="32"/>
          <w:highlight w:val="none"/>
          <w:u w:val="none" w:color="auto"/>
          <w:lang w:val="en-US" w:eastAsia="zh-CN" w:bidi="ar-SA"/>
        </w:rPr>
        <w:t>，</w:t>
      </w:r>
      <w:r>
        <w:rPr>
          <w:rFonts w:hint="default" w:ascii="Times New Roman" w:hAnsi="Times New Roman" w:eastAsia="方正仿宋_GBK" w:cs="Times New Roman"/>
          <w:color w:val="auto"/>
          <w:spacing w:val="0"/>
          <w:kern w:val="0"/>
          <w:sz w:val="32"/>
          <w:szCs w:val="32"/>
          <w:highlight w:val="none"/>
          <w:u w:val="none" w:color="auto"/>
          <w:lang w:val="en-US" w:eastAsia="zh-CN" w:bidi="ar-SA"/>
        </w:rPr>
        <w:t>渝中将进入厚植新优势、实现新跃升的战略窗口期。</w:t>
      </w:r>
    </w:p>
    <w:p w14:paraId="7811801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sz w:val="32"/>
          <w:szCs w:val="32"/>
          <w:highlight w:val="none"/>
          <w:u w:val="none" w:color="auto"/>
          <w:lang w:val="en-US" w:eastAsia="zh-CN"/>
        </w:rPr>
        <w:t>在国内外形势变化深刻影响下，我区经济社会发展呈现系列新特征新变化，</w:t>
      </w:r>
      <w:r>
        <w:rPr>
          <w:rFonts w:hint="default" w:ascii="Times New Roman" w:hAnsi="Times New Roman" w:eastAsia="方正仿宋_GBK" w:cs="Times New Roman"/>
          <w:color w:val="auto"/>
          <w:spacing w:val="0"/>
          <w:sz w:val="32"/>
          <w:szCs w:val="32"/>
          <w:highlight w:val="none"/>
          <w:u w:val="none" w:color="auto"/>
          <w:lang w:val="en-US" w:eastAsia="zh-CN" w:bidi="ar"/>
        </w:rPr>
        <w:t>发展机遇更具可塑性、挑战更具复杂性。</w:t>
      </w:r>
      <w:r>
        <w:rPr>
          <w:rFonts w:hint="default" w:ascii="Times New Roman" w:hAnsi="Times New Roman" w:eastAsia="方正黑体_GBK" w:cs="Times New Roman"/>
          <w:color w:val="auto"/>
          <w:spacing w:val="0"/>
          <w:sz w:val="32"/>
          <w:szCs w:val="32"/>
          <w:highlight w:val="none"/>
          <w:u w:val="none" w:color="auto"/>
          <w:lang w:val="en-US" w:eastAsia="zh-CN" w:bidi="ar"/>
        </w:rPr>
        <w:t>从发展阶段看</w:t>
      </w:r>
      <w:r>
        <w:rPr>
          <w:rFonts w:hint="default" w:ascii="Times New Roman" w:hAnsi="Times New Roman" w:eastAsia="方正仿宋_GBK" w:cs="Times New Roman"/>
          <w:color w:val="auto"/>
          <w:spacing w:val="0"/>
          <w:sz w:val="32"/>
          <w:szCs w:val="32"/>
          <w:highlight w:val="none"/>
          <w:u w:val="none" w:color="auto"/>
          <w:lang w:val="en-US" w:eastAsia="zh-CN" w:bidi="ar"/>
        </w:rPr>
        <w:t>，发展动能从主要依靠传统要素驱动加快转向创新驱动新质生产力发展的新阶段，开放格局从打造平台、融入通道加快转向深化高水平制度型开放、提升国际合作综合能级的新阶段，发展空间从深耕精耕物理空间加快转向深化拓展本地、开放、数智</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三个空间</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的新阶段，治理模式从数字赋能条块治理加快转向人工智能赋能整体智治的新阶段，民生建设从全面兜牢底线、推动普惠均衡加快转向促进全龄友好、共同富裕的新阶段，人口发展从总量稳定、人口红利充分释放加快转向老龄化少子化、人才红利接续赋能、就业人口和消费人群持续活跃的新阶段。</w:t>
      </w:r>
      <w:r>
        <w:rPr>
          <w:rFonts w:hint="default" w:ascii="Times New Roman" w:hAnsi="Times New Roman" w:eastAsia="方正黑体_GBK" w:cs="Times New Roman"/>
          <w:b w:val="0"/>
          <w:bCs w:val="0"/>
          <w:color w:val="auto"/>
          <w:spacing w:val="0"/>
          <w:sz w:val="32"/>
          <w:szCs w:val="32"/>
          <w:highlight w:val="none"/>
          <w:u w:val="none" w:color="auto"/>
          <w:lang w:val="en-US" w:eastAsia="zh-CN" w:bidi="ar"/>
        </w:rPr>
        <w:t>从机遇看</w:t>
      </w:r>
      <w:r>
        <w:rPr>
          <w:rFonts w:hint="default" w:ascii="Times New Roman" w:hAnsi="Times New Roman" w:eastAsia="方正仿宋_GBK" w:cs="Times New Roman"/>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rPr>
        <w:t>新时代西部大开发、</w:t>
      </w:r>
      <w:r>
        <w:rPr>
          <w:rFonts w:hint="default" w:ascii="Times New Roman" w:hAnsi="Times New Roman" w:eastAsia="方正仿宋_GBK" w:cs="Times New Roman"/>
          <w:color w:val="auto"/>
          <w:spacing w:val="0"/>
          <w:sz w:val="32"/>
          <w:szCs w:val="32"/>
          <w:highlight w:val="none"/>
          <w:u w:val="none" w:color="auto"/>
          <w:lang w:val="en-US" w:eastAsia="zh-CN" w:bidi="ar"/>
        </w:rPr>
        <w:t>西部陆海新通道建设</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bidi="ar"/>
        </w:rPr>
        <w:t>成渝地区双城经济圈建设、</w:t>
      </w:r>
      <w:r>
        <w:rPr>
          <w:rFonts w:hint="default" w:ascii="Times New Roman" w:hAnsi="Times New Roman" w:eastAsia="方正仿宋_GBK" w:cs="Times New Roman"/>
          <w:color w:val="auto"/>
          <w:spacing w:val="0"/>
          <w:sz w:val="32"/>
          <w:szCs w:val="32"/>
          <w:highlight w:val="none"/>
          <w:u w:val="none" w:color="auto"/>
          <w:lang w:val="en-US" w:eastAsia="zh-CN"/>
        </w:rPr>
        <w:t>长江经济带高质量发展、国家战略腹地建设、</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东数西算</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等国家战略交汇实施，西部金融中心主承载区、国际消费中心城市核心区、世界知名文化旅游目的地核心区、中西部国际交往中心核心区</w:t>
      </w:r>
      <w:r>
        <w:rPr>
          <w:rFonts w:hint="default" w:ascii="Times New Roman" w:hAnsi="Times New Roman" w:eastAsia="方正仿宋_GBK" w:cs="Times New Roman"/>
          <w:color w:val="auto"/>
          <w:spacing w:val="0"/>
          <w:sz w:val="32"/>
          <w:szCs w:val="32"/>
          <w:highlight w:val="none"/>
          <w:u w:val="none" w:color="auto"/>
          <w:lang w:val="en-US" w:eastAsia="zh-CN" w:bidi="ar"/>
        </w:rPr>
        <w:t>等重大部署</w:t>
      </w:r>
      <w:r>
        <w:rPr>
          <w:rFonts w:hint="default" w:ascii="Times New Roman" w:hAnsi="Times New Roman" w:eastAsia="方正仿宋_GBK" w:cs="Times New Roman"/>
          <w:color w:val="auto"/>
          <w:spacing w:val="0"/>
          <w:sz w:val="32"/>
          <w:szCs w:val="32"/>
          <w:highlight w:val="none"/>
          <w:u w:val="none" w:color="auto"/>
          <w:lang w:val="en-US" w:eastAsia="zh-CN"/>
        </w:rPr>
        <w:t>多维叠加，金融服务全要素、专业服务全门类等产业先发优势突出，</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教育、医疗、文旅、涉外等优质资源高度集聚</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bidi="ar"/>
        </w:rPr>
        <w:t>新质生产力赋能、全面深化改革纵深推进、可持续城市更新路径创新、现代化治理体系重塑，将极大推动产业转型升级、破解发展桎梏、优化功能布局、迭代治理格局，为推动渝中经济社会发展全方位跃升提供了重要支撑。</w:t>
      </w:r>
      <w:r>
        <w:rPr>
          <w:rFonts w:hint="default" w:ascii="Times New Roman" w:hAnsi="Times New Roman" w:eastAsia="方正黑体_GBK" w:cs="Times New Roman"/>
          <w:b w:val="0"/>
          <w:bCs w:val="0"/>
          <w:color w:val="auto"/>
          <w:spacing w:val="0"/>
          <w:sz w:val="32"/>
          <w:szCs w:val="32"/>
          <w:highlight w:val="none"/>
          <w:u w:val="none" w:color="auto"/>
          <w:lang w:val="en-US" w:eastAsia="zh-CN" w:bidi="ar"/>
        </w:rPr>
        <w:t>从挑战看</w:t>
      </w:r>
      <w:r>
        <w:rPr>
          <w:rFonts w:hint="default" w:ascii="Times New Roman" w:hAnsi="Times New Roman" w:eastAsia="方正仿宋_GBK" w:cs="Times New Roman"/>
          <w:color w:val="auto"/>
          <w:spacing w:val="0"/>
          <w:sz w:val="32"/>
          <w:szCs w:val="32"/>
          <w:highlight w:val="none"/>
          <w:u w:val="none" w:color="auto"/>
          <w:lang w:val="en-US" w:eastAsia="zh-CN" w:bidi="ar"/>
        </w:rPr>
        <w:t>，渝中产业能级还不够高</w:t>
      </w:r>
      <w:r>
        <w:rPr>
          <w:rFonts w:hint="default" w:ascii="Times New Roman" w:hAnsi="Times New Roman" w:eastAsia="方正仿宋_GBK" w:cs="Times New Roman"/>
          <w:color w:val="auto"/>
          <w:spacing w:val="0"/>
          <w:sz w:val="32"/>
          <w:szCs w:val="32"/>
          <w:highlight w:val="none"/>
          <w:u w:val="none" w:color="auto"/>
          <w:lang w:val="en-US" w:eastAsia="zh-CN"/>
        </w:rPr>
        <w:t>，新兴产业发展动能支撑还不够有力，科技创新能力还不够强，城市品质形象与国际化大都市极核标准还不够匹配，</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投融资模式有待转型，</w:t>
      </w:r>
      <w:r>
        <w:rPr>
          <w:rFonts w:hint="default" w:ascii="Times New Roman" w:hAnsi="Times New Roman" w:eastAsia="方正仿宋_GBK" w:cs="Times New Roman"/>
          <w:color w:val="auto"/>
          <w:spacing w:val="0"/>
          <w:sz w:val="32"/>
          <w:szCs w:val="32"/>
          <w:highlight w:val="none"/>
          <w:u w:val="none" w:color="auto"/>
          <w:lang w:val="en-US" w:eastAsia="zh-CN"/>
        </w:rPr>
        <w:t>稳就业促增收压力加大，人口结构变化对经济发展和社会治理提出新课题，民生福祉</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七有</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向</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七优</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迭代还有欠缺，生态环保、平安稳定等领域还存在短板弱项。对这些问题，必须高度重视，切实加以解决。</w:t>
      </w:r>
    </w:p>
    <w:p w14:paraId="7B95379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方正黑体_GBK" w:cs="Times New Roman"/>
          <w:color w:val="auto"/>
          <w:sz w:val="32"/>
          <w:szCs w:val="32"/>
          <w:highlight w:val="none"/>
          <w:u w:val="none" w:color="auto"/>
          <w:lang w:val="en-US" w:eastAsia="zh-CN"/>
        </w:rPr>
      </w:pPr>
      <w:r>
        <w:rPr>
          <w:rFonts w:hint="default" w:ascii="Times New Roman" w:hAnsi="Times New Roman" w:eastAsia="方正仿宋_GBK" w:cs="Times New Roman"/>
          <w:snapToGrid/>
          <w:color w:val="auto"/>
          <w:kern w:val="21"/>
          <w:sz w:val="32"/>
          <w:szCs w:val="32"/>
          <w:highlight w:val="none"/>
          <w:u w:val="none" w:color="auto"/>
          <w:lang w:val="en-US" w:eastAsia="zh-CN"/>
        </w:rPr>
        <w:t>奋斗创造历史，实干成就未来。在纵深推进中国式现代化大场景中，全国全市各地千帆竞渡、百舸争流。渝中发展基础好、韧性强，要始终胸怀两个大局，发挥优势、乘势而上、唯实争先，努力在推动高质量发展中展现渝中担当，在扩大高水平开放中做亮渝中门户，在创造高品质生活中打造渝中样本，在实现高效能治理中探索渝中范例，</w:t>
      </w:r>
      <w:r>
        <w:rPr>
          <w:rFonts w:hint="default" w:ascii="Times New Roman" w:hAnsi="Times New Roman" w:eastAsia="方正仿宋_GBK" w:cs="Times New Roman"/>
          <w:color w:val="auto"/>
          <w:spacing w:val="0"/>
          <w:sz w:val="32"/>
          <w:szCs w:val="32"/>
          <w:highlight w:val="none"/>
          <w:u w:val="none" w:color="auto"/>
          <w:lang w:val="en-US" w:eastAsia="zh-CN"/>
        </w:rPr>
        <w:t>不断开创现代化新重庆渝中建设新局面。</w:t>
      </w:r>
    </w:p>
    <w:p w14:paraId="04957DC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45" w:name="_Toc12717"/>
      <w:bookmarkStart w:id="46" w:name="_Toc12366"/>
      <w:bookmarkStart w:id="47" w:name="_Toc19037"/>
      <w:bookmarkStart w:id="48" w:name="_Toc21545"/>
      <w:bookmarkStart w:id="49" w:name="_Toc31894"/>
      <w:bookmarkStart w:id="50" w:name="_Toc2264"/>
      <w:bookmarkStart w:id="51" w:name="_Toc11305"/>
      <w:bookmarkStart w:id="52" w:name="_Toc23209"/>
      <w:bookmarkStart w:id="53" w:name="_Toc7840"/>
      <w:bookmarkStart w:id="54" w:name="_Toc23620"/>
      <w:bookmarkStart w:id="55" w:name="_Toc29443"/>
      <w:bookmarkStart w:id="56" w:name="_Toc6598"/>
      <w:r>
        <w:rPr>
          <w:rFonts w:hint="default" w:ascii="Times New Roman" w:hAnsi="Times New Roman" w:eastAsia="方正黑体_GBK" w:cs="Times New Roman"/>
          <w:color w:val="auto"/>
          <w:sz w:val="32"/>
          <w:szCs w:val="32"/>
          <w:highlight w:val="none"/>
          <w:u w:val="none" w:color="auto"/>
          <w:lang w:val="en-US" w:eastAsia="zh-CN"/>
        </w:rPr>
        <w:t>第三章 目标愿景</w:t>
      </w:r>
      <w:bookmarkEnd w:id="45"/>
      <w:bookmarkEnd w:id="46"/>
      <w:bookmarkEnd w:id="47"/>
      <w:bookmarkEnd w:id="48"/>
      <w:bookmarkEnd w:id="49"/>
      <w:bookmarkEnd w:id="50"/>
      <w:bookmarkEnd w:id="51"/>
      <w:bookmarkEnd w:id="52"/>
      <w:bookmarkEnd w:id="53"/>
      <w:bookmarkEnd w:id="54"/>
      <w:bookmarkEnd w:id="55"/>
      <w:bookmarkEnd w:id="56"/>
    </w:p>
    <w:p w14:paraId="15C72870">
      <w:pPr>
        <w:pBdr>
          <w:top w:val="none" w:color="auto" w:sz="0" w:space="0"/>
          <w:left w:val="none" w:color="auto" w:sz="0" w:space="0"/>
          <w:bottom w:val="none" w:color="auto" w:sz="0" w:space="0"/>
          <w:right w:val="none" w:color="auto" w:sz="0" w:space="0"/>
          <w:between w:val="none" w:color="auto" w:sz="0" w:space="0"/>
        </w:pBdr>
        <w:spacing w:line="600" w:lineRule="exact"/>
        <w:ind w:firstLine="640" w:firstLineChars="200"/>
        <w:rPr>
          <w:rFonts w:hint="default" w:ascii="Times New Roman" w:hAnsi="Times New Roman" w:eastAsia="方正仿宋_GBK" w:cs="Times New Roman"/>
          <w:color w:val="auto"/>
          <w:spacing w:val="0"/>
          <w:sz w:val="32"/>
          <w:szCs w:val="32"/>
          <w:highlight w:val="none"/>
          <w:u w:val="none" w:color="auto"/>
          <w:lang w:val="en-US" w:eastAsia="zh-CN"/>
        </w:rPr>
      </w:pPr>
      <w:bookmarkStart w:id="57" w:name="_Toc5424"/>
      <w:bookmarkStart w:id="58" w:name="_Toc6967"/>
      <w:bookmarkStart w:id="59" w:name="_Toc20909"/>
      <w:bookmarkStart w:id="60" w:name="_Toc28274"/>
      <w:bookmarkStart w:id="61" w:name="_Toc684"/>
      <w:r>
        <w:rPr>
          <w:rFonts w:hint="default" w:ascii="Times New Roman" w:hAnsi="Times New Roman" w:eastAsia="方正仿宋_GBK" w:cs="Times New Roman"/>
          <w:color w:val="auto"/>
          <w:spacing w:val="0"/>
          <w:sz w:val="32"/>
          <w:szCs w:val="32"/>
          <w:highlight w:val="none"/>
          <w:u w:val="none" w:color="auto"/>
        </w:rPr>
        <w:t>对标习近平总书记对重庆</w:t>
      </w:r>
      <w:r>
        <w:rPr>
          <w:rFonts w:hint="default" w:ascii="Times New Roman" w:hAnsi="Times New Roman" w:eastAsia="方正仿宋_GBK" w:cs="Times New Roman"/>
          <w:color w:val="auto"/>
          <w:spacing w:val="0"/>
          <w:sz w:val="32"/>
          <w:szCs w:val="32"/>
          <w:highlight w:val="none"/>
          <w:u w:val="none" w:color="auto"/>
          <w:lang w:eastAsia="zh-CN"/>
        </w:rPr>
        <w:t>提</w:t>
      </w:r>
      <w:r>
        <w:rPr>
          <w:rFonts w:hint="default" w:ascii="Times New Roman" w:hAnsi="Times New Roman" w:eastAsia="方正仿宋_GBK" w:cs="Times New Roman"/>
          <w:color w:val="auto"/>
          <w:spacing w:val="0"/>
          <w:sz w:val="32"/>
          <w:szCs w:val="32"/>
          <w:highlight w:val="none"/>
          <w:u w:val="none" w:color="auto"/>
        </w:rPr>
        <w:t>出的重要指示要求，对照市委、市政府各项工作部署，充分考虑我区当前发展</w:t>
      </w:r>
      <w:r>
        <w:rPr>
          <w:rFonts w:hint="default" w:ascii="Times New Roman" w:hAnsi="Times New Roman" w:eastAsia="方正仿宋_GBK" w:cs="Times New Roman"/>
          <w:color w:val="auto"/>
          <w:spacing w:val="0"/>
          <w:sz w:val="32"/>
          <w:szCs w:val="32"/>
          <w:highlight w:val="none"/>
          <w:u w:val="none" w:color="auto"/>
          <w:lang w:val="en-US" w:eastAsia="zh-CN"/>
        </w:rPr>
        <w:t>阶段性</w:t>
      </w:r>
      <w:r>
        <w:rPr>
          <w:rFonts w:hint="default" w:ascii="Times New Roman" w:hAnsi="Times New Roman" w:eastAsia="方正仿宋_GBK" w:cs="Times New Roman"/>
          <w:color w:val="auto"/>
          <w:spacing w:val="0"/>
          <w:sz w:val="32"/>
          <w:szCs w:val="32"/>
          <w:highlight w:val="none"/>
          <w:u w:val="none" w:color="auto"/>
        </w:rPr>
        <w:t>特征和未来发展支撑条件，</w:t>
      </w:r>
      <w:r>
        <w:rPr>
          <w:rFonts w:hint="default" w:ascii="Times New Roman" w:hAnsi="Times New Roman" w:eastAsia="方正仿宋_GBK" w:cs="Times New Roman"/>
          <w:color w:val="auto"/>
          <w:spacing w:val="0"/>
          <w:sz w:val="32"/>
          <w:szCs w:val="32"/>
          <w:highlight w:val="none"/>
          <w:u w:val="none" w:color="auto"/>
          <w:lang w:val="en-US" w:eastAsia="zh-CN"/>
        </w:rPr>
        <w:t>提出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十五五</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发展指导思想、主要原则、主要目标。</w:t>
      </w:r>
    </w:p>
    <w:p w14:paraId="200C22D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2" w:name="_Toc8224"/>
      <w:bookmarkStart w:id="63" w:name="_Toc10931"/>
      <w:bookmarkStart w:id="64" w:name="_Toc22108"/>
      <w:bookmarkStart w:id="65" w:name="_Toc10986"/>
      <w:bookmarkStart w:id="66" w:name="_Toc32131"/>
      <w:bookmarkStart w:id="67" w:name="_Toc23914"/>
      <w:bookmarkStart w:id="68" w:name="_Toc18755"/>
      <w:r>
        <w:rPr>
          <w:rFonts w:hint="default" w:ascii="Times New Roman" w:hAnsi="Times New Roman" w:eastAsia="方正楷体_GBK" w:cs="Times New Roman"/>
          <w:b w:val="0"/>
          <w:bCs w:val="0"/>
          <w:color w:val="auto"/>
          <w:sz w:val="32"/>
          <w:szCs w:val="32"/>
          <w:highlight w:val="none"/>
          <w:u w:val="none" w:color="auto"/>
          <w:lang w:val="en-US" w:eastAsia="zh-CN"/>
        </w:rPr>
        <w:fldChar w:fldCharType="begin"/>
      </w:r>
      <w:r>
        <w:rPr>
          <w:rFonts w:hint="default" w:ascii="Times New Roman" w:hAnsi="Times New Roman" w:eastAsia="方正楷体_GBK" w:cs="Times New Roman"/>
          <w:b w:val="0"/>
          <w:bCs w:val="0"/>
          <w:color w:val="auto"/>
          <w:sz w:val="32"/>
          <w:szCs w:val="32"/>
          <w:highlight w:val="none"/>
          <w:u w:val="none" w:color="auto"/>
          <w:lang w:val="en-US" w:eastAsia="zh-CN"/>
        </w:rPr>
        <w:instrText xml:space="preserve"> HYPERLINK \l _Toc12755 </w:instrTex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separate"/>
      </w:r>
      <w:r>
        <w:rPr>
          <w:rFonts w:hint="default" w:ascii="Times New Roman" w:hAnsi="Times New Roman" w:eastAsia="方正楷体_GBK" w:cs="Times New Roman"/>
          <w:b w:val="0"/>
          <w:bCs w:val="0"/>
          <w:color w:val="auto"/>
          <w:sz w:val="32"/>
          <w:szCs w:val="32"/>
          <w:highlight w:val="none"/>
          <w:u w:val="none" w:color="auto"/>
          <w:lang w:val="en-US" w:eastAsia="zh-CN"/>
        </w:rPr>
        <w:t>第一节 指导思想</w: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end"/>
      </w:r>
      <w:bookmarkEnd w:id="57"/>
      <w:bookmarkEnd w:id="58"/>
      <w:bookmarkEnd w:id="59"/>
      <w:bookmarkEnd w:id="60"/>
      <w:bookmarkEnd w:id="61"/>
      <w:bookmarkEnd w:id="62"/>
      <w:bookmarkEnd w:id="63"/>
      <w:bookmarkEnd w:id="64"/>
      <w:bookmarkEnd w:id="65"/>
      <w:bookmarkEnd w:id="66"/>
      <w:bookmarkEnd w:id="67"/>
      <w:bookmarkEnd w:id="68"/>
    </w:p>
    <w:p w14:paraId="106B99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auto"/>
          <w:spacing w:val="0"/>
          <w:sz w:val="32"/>
          <w:szCs w:val="32"/>
          <w:highlight w:val="none"/>
          <w:u w:val="none" w:color="auto"/>
        </w:rPr>
      </w:pPr>
      <w:r>
        <w:rPr>
          <w:rFonts w:hint="default" w:ascii="Times New Roman" w:hAnsi="Times New Roman" w:eastAsia="方正仿宋_GBK" w:cs="Times New Roman"/>
          <w:color w:val="auto"/>
          <w:spacing w:val="0"/>
          <w:sz w:val="32"/>
          <w:szCs w:val="32"/>
          <w:highlight w:val="none"/>
          <w:u w:val="none" w:color="auto"/>
        </w:rPr>
        <w:t>坚持马克思列宁主义、毛泽东思想、邓小平理论、</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三个代表</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重要思想、科学发展观，全面贯彻习近平新时代中国特色社会主义思想，深入贯彻党的二十大和二十届历次全会精神，</w:t>
      </w:r>
      <w:r>
        <w:rPr>
          <w:rFonts w:hint="default" w:ascii="Times New Roman" w:hAnsi="Times New Roman" w:eastAsia="方正仿宋_GBK" w:cs="Times New Roman"/>
          <w:color w:val="auto"/>
          <w:spacing w:val="0"/>
          <w:sz w:val="32"/>
          <w:szCs w:val="32"/>
          <w:highlight w:val="none"/>
          <w:u w:val="none" w:color="auto"/>
          <w:lang w:val="en-US" w:eastAsia="zh-CN"/>
        </w:rPr>
        <w:t>深入贯彻落实习近平总书记视察重庆重要讲话重要指示精神，认真落实市委部署要求，聚焦做实</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两大定位</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、发挥</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三个作用</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rPr>
        <w:t>统筹推进</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五位一体</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总体布局，协调推进</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四个全面</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战略布局，完整准确全面贯彻新发展理念，</w:t>
      </w:r>
      <w:r>
        <w:rPr>
          <w:rFonts w:hint="default" w:ascii="Times New Roman" w:hAnsi="Times New Roman" w:eastAsia="方正仿宋_GBK" w:cs="Times New Roman"/>
          <w:color w:val="auto"/>
          <w:spacing w:val="0"/>
          <w:sz w:val="32"/>
          <w:szCs w:val="32"/>
          <w:highlight w:val="none"/>
          <w:u w:val="none" w:color="auto"/>
          <w:lang w:val="en-US" w:eastAsia="zh-CN"/>
        </w:rPr>
        <w:t>主动服务和融入新发展格局，</w:t>
      </w:r>
      <w:r>
        <w:rPr>
          <w:rFonts w:hint="default" w:ascii="Times New Roman" w:hAnsi="Times New Roman" w:eastAsia="方正仿宋_GBK" w:cs="Times New Roman"/>
          <w:color w:val="auto"/>
          <w:spacing w:val="0"/>
          <w:sz w:val="32"/>
          <w:szCs w:val="32"/>
          <w:highlight w:val="none"/>
          <w:u w:val="none" w:color="auto"/>
        </w:rPr>
        <w:t>坚持稳中求进工作总基调，坚持以经济建设为中心，以推动高质量发展为主题，以改革创新为根本动力，以满足人民日益增长的美好生活需要为根本目的，以全面从严治党为根本保障，</w:t>
      </w:r>
      <w:r>
        <w:rPr>
          <w:rFonts w:hint="default" w:ascii="Times New Roman" w:hAnsi="Times New Roman" w:eastAsia="方正仿宋_GBK" w:cs="Times New Roman"/>
          <w:color w:val="auto"/>
          <w:spacing w:val="0"/>
          <w:sz w:val="32"/>
          <w:szCs w:val="32"/>
          <w:highlight w:val="none"/>
          <w:u w:val="none" w:color="auto"/>
          <w:lang w:val="en-US" w:eastAsia="zh-CN"/>
        </w:rPr>
        <w:t>锚定</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四大定位</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、发挥</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八大优势</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、加快打造</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六个新高地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，巩固拓展</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三个空间</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，着力增强现代产业支撑力、科技创新策源力、国际消费引领力、开放窗口辐射力、数智变革牵引力、党的建设统领力，</w:t>
      </w:r>
      <w:r>
        <w:rPr>
          <w:rFonts w:hint="default" w:ascii="Times New Roman" w:hAnsi="Times New Roman" w:eastAsia="方正仿宋_GBK" w:cs="Times New Roman"/>
          <w:color w:val="auto"/>
          <w:spacing w:val="0"/>
          <w:sz w:val="32"/>
          <w:szCs w:val="32"/>
          <w:highlight w:val="none"/>
          <w:u w:val="none" w:color="auto"/>
        </w:rPr>
        <w:t>推动经济实现质的有效提升和量的合理增长，推动人的全面发展、全体人民共同富裕迈出坚实步伐，</w:t>
      </w:r>
      <w:r>
        <w:rPr>
          <w:rFonts w:hint="default" w:ascii="Times New Roman" w:hAnsi="Times New Roman" w:eastAsia="方正仿宋_GBK" w:cs="Times New Roman"/>
          <w:color w:val="auto"/>
          <w:spacing w:val="0"/>
          <w:sz w:val="32"/>
          <w:szCs w:val="32"/>
          <w:highlight w:val="none"/>
          <w:u w:val="none" w:color="auto"/>
          <w:lang w:val="en-US" w:eastAsia="zh-CN"/>
        </w:rPr>
        <w:t>确保基本实现社会主义现代化取得决定性进展，以实干实绩实效奋力谱写中国式现代化重庆篇章渝中精彩一页</w:t>
      </w:r>
      <w:r>
        <w:rPr>
          <w:rFonts w:hint="default" w:ascii="Times New Roman" w:hAnsi="Times New Roman" w:eastAsia="方正仿宋_GBK" w:cs="Times New Roman"/>
          <w:color w:val="auto"/>
          <w:spacing w:val="0"/>
          <w:sz w:val="32"/>
          <w:szCs w:val="32"/>
          <w:highlight w:val="none"/>
          <w:u w:val="none" w:color="auto"/>
        </w:rPr>
        <w:t>。</w:t>
      </w:r>
    </w:p>
    <w:p w14:paraId="11C659F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9" w:name="_Toc12053"/>
      <w:bookmarkStart w:id="70" w:name="_Toc2431"/>
      <w:bookmarkStart w:id="71" w:name="_Toc27273"/>
      <w:bookmarkStart w:id="72" w:name="_Toc10253"/>
      <w:bookmarkStart w:id="73" w:name="_Toc13602"/>
      <w:bookmarkStart w:id="74" w:name="_Toc2967"/>
      <w:bookmarkStart w:id="75" w:name="_Toc2941"/>
      <w:bookmarkStart w:id="76" w:name="_Toc1376"/>
      <w:bookmarkStart w:id="77" w:name="_Toc26964"/>
      <w:bookmarkStart w:id="78" w:name="_Toc893"/>
      <w:bookmarkStart w:id="79" w:name="_Toc17128"/>
      <w:bookmarkStart w:id="80" w:name="_Toc3918"/>
      <w:r>
        <w:rPr>
          <w:rFonts w:hint="default" w:ascii="Times New Roman" w:hAnsi="Times New Roman" w:eastAsia="方正楷体_GBK" w:cs="Times New Roman"/>
          <w:b w:val="0"/>
          <w:bCs w:val="0"/>
          <w:color w:val="auto"/>
          <w:sz w:val="32"/>
          <w:szCs w:val="32"/>
          <w:highlight w:val="none"/>
          <w:u w:val="none" w:color="auto"/>
          <w:lang w:val="en-US" w:eastAsia="zh-CN"/>
        </w:rPr>
        <w:fldChar w:fldCharType="begin"/>
      </w:r>
      <w:r>
        <w:rPr>
          <w:rFonts w:hint="default" w:ascii="Times New Roman" w:hAnsi="Times New Roman" w:eastAsia="方正楷体_GBK" w:cs="Times New Roman"/>
          <w:b w:val="0"/>
          <w:bCs w:val="0"/>
          <w:color w:val="auto"/>
          <w:sz w:val="32"/>
          <w:szCs w:val="32"/>
          <w:highlight w:val="none"/>
          <w:u w:val="none" w:color="auto"/>
          <w:lang w:val="en-US" w:eastAsia="zh-CN"/>
        </w:rPr>
        <w:instrText xml:space="preserve"> HYPERLINK \l _Toc8930 </w:instrTex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separate"/>
      </w:r>
      <w:r>
        <w:rPr>
          <w:rFonts w:hint="default" w:ascii="Times New Roman" w:hAnsi="Times New Roman" w:eastAsia="方正楷体_GBK" w:cs="Times New Roman"/>
          <w:b w:val="0"/>
          <w:bCs w:val="0"/>
          <w:color w:val="auto"/>
          <w:sz w:val="32"/>
          <w:szCs w:val="32"/>
          <w:highlight w:val="none"/>
          <w:u w:val="none" w:color="auto"/>
          <w:lang w:val="en-US" w:eastAsia="zh-CN"/>
        </w:rPr>
        <w:t>第二节 主要原则</w: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end"/>
      </w:r>
      <w:bookmarkEnd w:id="69"/>
      <w:bookmarkEnd w:id="70"/>
      <w:bookmarkEnd w:id="71"/>
      <w:bookmarkEnd w:id="72"/>
      <w:bookmarkEnd w:id="73"/>
      <w:bookmarkEnd w:id="74"/>
      <w:bookmarkEnd w:id="75"/>
      <w:bookmarkEnd w:id="76"/>
      <w:bookmarkEnd w:id="77"/>
      <w:bookmarkEnd w:id="78"/>
      <w:bookmarkEnd w:id="79"/>
      <w:bookmarkEnd w:id="80"/>
    </w:p>
    <w:p w14:paraId="6F2A8B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kern w:val="0"/>
          <w:sz w:val="32"/>
          <w:szCs w:val="32"/>
          <w:highlight w:val="none"/>
          <w:u w:val="none" w:color="auto"/>
          <w:lang w:val="en-US" w:eastAsia="zh-CN" w:bidi="ar"/>
        </w:rPr>
      </w:pPr>
      <w:r>
        <w:rPr>
          <w:rFonts w:hint="default" w:ascii="Times New Roman" w:hAnsi="Times New Roman" w:eastAsia="方正黑体_GBK" w:cs="Times New Roman"/>
          <w:b w:val="0"/>
          <w:bCs w:val="0"/>
          <w:color w:val="auto"/>
          <w:spacing w:val="0"/>
          <w:sz w:val="32"/>
          <w:szCs w:val="32"/>
          <w:highlight w:val="none"/>
          <w:u w:val="none" w:color="auto"/>
        </w:rPr>
        <w:t>坚持</w:t>
      </w:r>
      <w:r>
        <w:rPr>
          <w:rFonts w:hint="default" w:ascii="Times New Roman" w:hAnsi="Times New Roman" w:eastAsia="方正黑体_GBK" w:cs="Times New Roman"/>
          <w:b w:val="0"/>
          <w:bCs w:val="0"/>
          <w:color w:val="auto"/>
          <w:spacing w:val="0"/>
          <w:sz w:val="32"/>
          <w:szCs w:val="32"/>
          <w:highlight w:val="none"/>
          <w:u w:val="none" w:color="auto"/>
          <w:lang w:val="en-US" w:eastAsia="zh-CN"/>
        </w:rPr>
        <w:t>党的全面领导</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坚定拥护</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两个确立</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、坚决做到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两个维护</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kern w:val="0"/>
          <w:sz w:val="32"/>
          <w:szCs w:val="32"/>
          <w:highlight w:val="none"/>
          <w:u w:val="none" w:color="auto"/>
          <w:lang w:val="en-US" w:eastAsia="zh-CN" w:bidi="ar"/>
        </w:rPr>
        <w:t>坚持把党的领导贯穿到经济社会发展各方面全过程，完善抓党建带全局工作体系，推动习近平总书记重要指示批示和党中央重大决策部署在渝中一贯到底，确保</w:t>
      </w:r>
      <w:r>
        <w:rPr>
          <w:rFonts w:hint="eastAsia" w:ascii="Times New Roman" w:hAnsi="Times New Roman" w:eastAsia="方正仿宋_GBK" w:cs="方正仿宋_GBK"/>
          <w:strike w:val="0"/>
          <w:dstrike w:val="0"/>
          <w:color w:val="auto"/>
          <w:spacing w:val="0"/>
          <w:kern w:val="0"/>
          <w:sz w:val="32"/>
          <w:szCs w:val="32"/>
          <w:highlight w:val="none"/>
          <w:u w:val="none" w:color="auto"/>
          <w:lang w:val="en-US" w:eastAsia="zh-CN" w:bidi="ar"/>
        </w:rPr>
        <w:t>“</w:t>
      </w:r>
      <w:r>
        <w:rPr>
          <w:rFonts w:hint="default" w:ascii="Times New Roman" w:hAnsi="Times New Roman" w:eastAsia="方正仿宋_GBK" w:cs="Times New Roman"/>
          <w:strike w:val="0"/>
          <w:dstrike w:val="0"/>
          <w:color w:val="auto"/>
          <w:spacing w:val="0"/>
          <w:kern w:val="0"/>
          <w:sz w:val="32"/>
          <w:szCs w:val="32"/>
          <w:highlight w:val="none"/>
          <w:u w:val="none" w:color="auto"/>
          <w:lang w:val="en-US" w:eastAsia="zh-CN" w:bidi="ar"/>
        </w:rPr>
        <w:t>总书记有号令、党中央有部署，重庆见行动，渝中抓落实</w:t>
      </w:r>
      <w:r>
        <w:rPr>
          <w:rFonts w:hint="eastAsia" w:ascii="Times New Roman" w:hAnsi="Times New Roman" w:eastAsia="方正仿宋_GBK" w:cs="方正仿宋_GBK"/>
          <w:strike w:val="0"/>
          <w:dstrike w:val="0"/>
          <w:color w:val="auto"/>
          <w:spacing w:val="0"/>
          <w:kern w:val="0"/>
          <w:sz w:val="32"/>
          <w:szCs w:val="32"/>
          <w:highlight w:val="none"/>
          <w:u w:val="none" w:color="auto"/>
          <w:lang w:val="en-US" w:eastAsia="zh-CN" w:bidi="ar"/>
        </w:rPr>
        <w:t>”</w:t>
      </w:r>
      <w:r>
        <w:rPr>
          <w:rFonts w:hint="default" w:ascii="Times New Roman" w:hAnsi="Times New Roman" w:eastAsia="方正仿宋_GBK" w:cs="Times New Roman"/>
          <w:color w:val="auto"/>
          <w:spacing w:val="0"/>
          <w:kern w:val="0"/>
          <w:sz w:val="32"/>
          <w:szCs w:val="32"/>
          <w:highlight w:val="none"/>
          <w:u w:val="none" w:color="auto"/>
          <w:lang w:val="en-US" w:eastAsia="zh-CN" w:bidi="ar"/>
        </w:rPr>
        <w:t>。</w:t>
      </w:r>
    </w:p>
    <w:p w14:paraId="248690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kern w:val="0"/>
          <w:sz w:val="32"/>
          <w:szCs w:val="32"/>
          <w:highlight w:val="none"/>
          <w:u w:val="none" w:color="auto"/>
          <w:lang w:val="en-US" w:eastAsia="zh-CN" w:bidi="ar"/>
        </w:rPr>
      </w:pPr>
      <w:r>
        <w:rPr>
          <w:rFonts w:hint="default" w:ascii="Times New Roman" w:hAnsi="Times New Roman" w:eastAsia="方正黑体_GBK" w:cs="Times New Roman"/>
          <w:b w:val="0"/>
          <w:bCs w:val="0"/>
          <w:color w:val="auto"/>
          <w:spacing w:val="0"/>
          <w:sz w:val="32"/>
          <w:szCs w:val="32"/>
          <w:highlight w:val="none"/>
          <w:u w:val="none" w:color="auto"/>
        </w:rPr>
        <w:t>坚持</w:t>
      </w:r>
      <w:r>
        <w:rPr>
          <w:rFonts w:hint="default" w:ascii="Times New Roman" w:hAnsi="Times New Roman" w:eastAsia="方正黑体_GBK" w:cs="Times New Roman"/>
          <w:b w:val="0"/>
          <w:bCs w:val="0"/>
          <w:color w:val="auto"/>
          <w:spacing w:val="0"/>
          <w:sz w:val="32"/>
          <w:szCs w:val="32"/>
          <w:highlight w:val="none"/>
          <w:u w:val="none" w:color="auto"/>
          <w:lang w:val="en-US" w:eastAsia="zh-CN"/>
        </w:rPr>
        <w:t>人民至上</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自觉践行</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中国式现代化，民生为大</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理念</w:t>
      </w:r>
      <w:r>
        <w:rPr>
          <w:rFonts w:hint="default" w:ascii="Times New Roman" w:hAnsi="Times New Roman" w:eastAsia="方正仿宋_GBK" w:cs="Times New Roman"/>
          <w:color w:val="auto"/>
          <w:spacing w:val="0"/>
          <w:kern w:val="0"/>
          <w:sz w:val="32"/>
          <w:szCs w:val="32"/>
          <w:highlight w:val="none"/>
          <w:u w:val="none" w:color="auto"/>
          <w:lang w:val="en-US" w:eastAsia="zh-CN" w:bidi="ar"/>
        </w:rPr>
        <w:t>，坚持在发展中保障和改善民生，在满足民生需求中拓展发展空间，实打实办好群众可感可及民生实事，着力解决群众急难愁盼问题，全面提升服务基层、服务企业、服务群众质效，让群众获得感幸福感安全感更加充实。</w:t>
      </w:r>
    </w:p>
    <w:p w14:paraId="715FD3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黑体_GBK" w:cs="Times New Roman"/>
          <w:b w:val="0"/>
          <w:bCs w:val="0"/>
          <w:color w:val="auto"/>
          <w:spacing w:val="0"/>
          <w:sz w:val="32"/>
          <w:szCs w:val="32"/>
          <w:highlight w:val="none"/>
          <w:u w:val="none" w:color="auto"/>
        </w:rPr>
        <w:t>坚持</w:t>
      </w:r>
      <w:r>
        <w:rPr>
          <w:rFonts w:hint="default" w:ascii="Times New Roman" w:hAnsi="Times New Roman" w:eastAsia="方正黑体_GBK" w:cs="Times New Roman"/>
          <w:b w:val="0"/>
          <w:bCs w:val="0"/>
          <w:color w:val="auto"/>
          <w:spacing w:val="0"/>
          <w:sz w:val="32"/>
          <w:szCs w:val="32"/>
          <w:highlight w:val="none"/>
          <w:u w:val="none" w:color="auto"/>
          <w:lang w:val="en-US" w:eastAsia="zh-CN"/>
        </w:rPr>
        <w:t>高质量发展</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以新发展理念引领发展，强化深耕精耕、集约集聚、品质品位发展导向</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迭代构建现代化产业体系，因地制宜发展新质生产力，推动</w:t>
      </w:r>
      <w:r>
        <w:rPr>
          <w:rFonts w:hint="default" w:ascii="Times New Roman" w:hAnsi="Times New Roman" w:eastAsia="方正仿宋_GBK" w:cs="Times New Roman"/>
          <w:color w:val="auto"/>
          <w:spacing w:val="0"/>
          <w:sz w:val="32"/>
          <w:szCs w:val="32"/>
          <w:highlight w:val="none"/>
          <w:u w:val="none" w:color="auto"/>
        </w:rPr>
        <w:t>科技创新和产业创新深度融合</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在提升城区经济密度、提高投入产出效率上下功夫，</w:t>
      </w:r>
      <w:r>
        <w:rPr>
          <w:rFonts w:hint="default" w:ascii="Times New Roman" w:hAnsi="Times New Roman" w:eastAsia="方正仿宋_GBK" w:cs="Times New Roman"/>
          <w:color w:val="auto"/>
          <w:spacing w:val="0"/>
          <w:sz w:val="32"/>
          <w:szCs w:val="32"/>
          <w:highlight w:val="none"/>
          <w:u w:val="none" w:color="auto"/>
          <w:lang w:val="en-US" w:eastAsia="zh-CN"/>
        </w:rPr>
        <w:t>加快形成市场主导、效益导向的内涵式高质量发展新模式。</w:t>
      </w:r>
    </w:p>
    <w:p w14:paraId="7F5362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sz w:val="32"/>
          <w:szCs w:val="32"/>
          <w:highlight w:val="none"/>
          <w:u w:val="none" w:color="auto"/>
        </w:rPr>
      </w:pPr>
      <w:r>
        <w:rPr>
          <w:rFonts w:hint="default" w:ascii="Times New Roman" w:hAnsi="Times New Roman" w:eastAsia="方正黑体_GBK" w:cs="Times New Roman"/>
          <w:b w:val="0"/>
          <w:bCs w:val="0"/>
          <w:color w:val="auto"/>
          <w:spacing w:val="0"/>
          <w:sz w:val="32"/>
          <w:szCs w:val="32"/>
          <w:highlight w:val="none"/>
          <w:u w:val="none" w:color="auto"/>
        </w:rPr>
        <w:t>坚持</w:t>
      </w:r>
      <w:r>
        <w:rPr>
          <w:rFonts w:hint="default" w:ascii="Times New Roman" w:hAnsi="Times New Roman" w:eastAsia="方正黑体_GBK" w:cs="Times New Roman"/>
          <w:b w:val="0"/>
          <w:bCs w:val="0"/>
          <w:color w:val="auto"/>
          <w:spacing w:val="0"/>
          <w:sz w:val="32"/>
          <w:szCs w:val="32"/>
          <w:highlight w:val="none"/>
          <w:u w:val="none" w:color="auto"/>
          <w:lang w:val="en-US" w:eastAsia="zh-CN"/>
        </w:rPr>
        <w:t>全面深化</w:t>
      </w:r>
      <w:r>
        <w:rPr>
          <w:rFonts w:hint="default" w:ascii="Times New Roman" w:hAnsi="Times New Roman" w:eastAsia="方正黑体_GBK" w:cs="Times New Roman"/>
          <w:b w:val="0"/>
          <w:bCs w:val="0"/>
          <w:color w:val="auto"/>
          <w:spacing w:val="0"/>
          <w:sz w:val="32"/>
          <w:szCs w:val="32"/>
          <w:highlight w:val="none"/>
          <w:u w:val="none" w:color="auto"/>
        </w:rPr>
        <w:t>改革</w:t>
      </w:r>
      <w:r>
        <w:rPr>
          <w:rFonts w:hint="default" w:ascii="Times New Roman" w:hAnsi="Times New Roman" w:eastAsia="方正仿宋_GBK" w:cs="Times New Roman"/>
          <w:color w:val="auto"/>
          <w:spacing w:val="0"/>
          <w:sz w:val="32"/>
          <w:szCs w:val="32"/>
          <w:highlight w:val="none"/>
          <w:u w:val="none" w:color="auto"/>
        </w:rPr>
        <w:t>。充分发挥改革的先导和突破作用，聚焦制约高质量发展的体制机制障碍，加强改革举措系统集成，</w:t>
      </w:r>
      <w:r>
        <w:rPr>
          <w:rFonts w:hint="default" w:ascii="Times New Roman" w:hAnsi="Times New Roman" w:eastAsia="方正仿宋_GBK" w:cs="Times New Roman"/>
          <w:color w:val="auto"/>
          <w:spacing w:val="0"/>
          <w:sz w:val="32"/>
          <w:szCs w:val="32"/>
          <w:highlight w:val="none"/>
          <w:u w:val="none" w:color="auto"/>
          <w:lang w:val="en-US" w:eastAsia="zh-CN"/>
        </w:rPr>
        <w:t>以数智化的理念方法手段重塑改革路径，全面释放人工智能和数字重庆双向赋能产出的</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溢出效应</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rPr>
        <w:t>加快推动质量变革、效率变革、动力变革，</w:t>
      </w:r>
      <w:r>
        <w:rPr>
          <w:rFonts w:hint="default" w:ascii="Times New Roman" w:hAnsi="Times New Roman" w:eastAsia="方正仿宋_GBK" w:cs="Times New Roman"/>
          <w:color w:val="auto"/>
          <w:spacing w:val="0"/>
          <w:sz w:val="32"/>
          <w:szCs w:val="32"/>
          <w:highlight w:val="none"/>
          <w:u w:val="none" w:color="auto"/>
          <w:lang w:val="en-US" w:eastAsia="zh-CN"/>
        </w:rPr>
        <w:t>持续扩大高水平对外开放，</w:t>
      </w:r>
      <w:r>
        <w:rPr>
          <w:rFonts w:hint="default" w:ascii="Times New Roman" w:hAnsi="Times New Roman" w:eastAsia="方正仿宋_GBK" w:cs="Times New Roman"/>
          <w:color w:val="auto"/>
          <w:spacing w:val="0"/>
          <w:sz w:val="32"/>
          <w:szCs w:val="32"/>
          <w:highlight w:val="none"/>
          <w:u w:val="none" w:color="auto"/>
        </w:rPr>
        <w:t>在</w:t>
      </w:r>
      <w:r>
        <w:rPr>
          <w:rFonts w:hint="default" w:ascii="Times New Roman" w:hAnsi="Times New Roman" w:eastAsia="方正仿宋_GBK" w:cs="Times New Roman"/>
          <w:color w:val="auto"/>
          <w:spacing w:val="0"/>
          <w:sz w:val="32"/>
          <w:szCs w:val="32"/>
          <w:highlight w:val="none"/>
          <w:u w:val="none" w:color="auto"/>
          <w:lang w:val="en-US" w:eastAsia="zh-CN"/>
        </w:rPr>
        <w:t>勇</w:t>
      </w:r>
      <w:r>
        <w:rPr>
          <w:rFonts w:hint="default" w:ascii="Times New Roman" w:hAnsi="Times New Roman" w:eastAsia="方正仿宋_GBK" w:cs="Times New Roman"/>
          <w:color w:val="auto"/>
          <w:spacing w:val="0"/>
          <w:sz w:val="32"/>
          <w:szCs w:val="32"/>
          <w:highlight w:val="none"/>
          <w:u w:val="none" w:color="auto"/>
        </w:rPr>
        <w:t>闯新路中实现发展的突围突破。</w:t>
      </w:r>
    </w:p>
    <w:p w14:paraId="775CB8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sz w:val="32"/>
          <w:szCs w:val="32"/>
          <w:highlight w:val="none"/>
          <w:u w:val="none" w:color="auto"/>
        </w:rPr>
      </w:pPr>
      <w:r>
        <w:rPr>
          <w:rFonts w:hint="default" w:ascii="Times New Roman" w:hAnsi="Times New Roman" w:eastAsia="方正黑体_GBK" w:cs="Times New Roman"/>
          <w:b w:val="0"/>
          <w:bCs w:val="0"/>
          <w:color w:val="auto"/>
          <w:spacing w:val="0"/>
          <w:sz w:val="32"/>
          <w:szCs w:val="32"/>
          <w:highlight w:val="none"/>
          <w:u w:val="none" w:color="auto"/>
        </w:rPr>
        <w:t>坚持</w:t>
      </w:r>
      <w:r>
        <w:rPr>
          <w:rFonts w:hint="default" w:ascii="Times New Roman" w:hAnsi="Times New Roman" w:eastAsia="方正黑体_GBK" w:cs="Times New Roman"/>
          <w:b w:val="0"/>
          <w:bCs w:val="0"/>
          <w:color w:val="auto"/>
          <w:spacing w:val="0"/>
          <w:sz w:val="32"/>
          <w:szCs w:val="32"/>
          <w:highlight w:val="none"/>
          <w:u w:val="none" w:color="auto"/>
          <w:lang w:val="en-US" w:eastAsia="zh-CN"/>
        </w:rPr>
        <w:t>有效市场和有为政府相结合</w:t>
      </w:r>
      <w:r>
        <w:rPr>
          <w:rFonts w:hint="default" w:ascii="Times New Roman" w:hAnsi="Times New Roman" w:eastAsia="方正仿宋_GBK" w:cs="Times New Roman"/>
          <w:color w:val="auto"/>
          <w:spacing w:val="0"/>
          <w:sz w:val="32"/>
          <w:szCs w:val="32"/>
          <w:highlight w:val="none"/>
          <w:u w:val="none" w:color="auto"/>
          <w:lang w:val="en-US" w:eastAsia="zh-CN"/>
        </w:rPr>
        <w:t>。充分</w:t>
      </w:r>
      <w:r>
        <w:rPr>
          <w:rFonts w:hint="default" w:ascii="Times New Roman" w:hAnsi="Times New Roman" w:eastAsia="方正仿宋_GBK" w:cs="Times New Roman"/>
          <w:color w:val="auto"/>
          <w:spacing w:val="0"/>
          <w:sz w:val="32"/>
          <w:szCs w:val="32"/>
          <w:highlight w:val="none"/>
          <w:u w:val="none" w:color="auto"/>
        </w:rPr>
        <w:t>发挥市场在资源配置中的决定性作用，更好发挥政府作用，推动政府引导与市场驱动同频共振，</w:t>
      </w:r>
      <w:r>
        <w:rPr>
          <w:rFonts w:hint="default" w:ascii="Times New Roman" w:hAnsi="Times New Roman" w:eastAsia="方正仿宋_GBK" w:cs="Times New Roman"/>
          <w:color w:val="auto"/>
          <w:spacing w:val="0"/>
          <w:sz w:val="32"/>
          <w:szCs w:val="32"/>
          <w:highlight w:val="none"/>
          <w:u w:val="none" w:color="auto"/>
          <w:lang w:val="en-US" w:eastAsia="zh-CN"/>
        </w:rPr>
        <w:t>进一步厘清政府与企业的职能边界，建设法治经济、信用经济，打造市场化法治化国际化一流营商环境和</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信用渝中</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升级版，持续激发市场活力、制度活力和社会创造力，</w:t>
      </w:r>
      <w:r>
        <w:rPr>
          <w:rFonts w:hint="default" w:ascii="Times New Roman" w:hAnsi="Times New Roman" w:eastAsia="方正仿宋_GBK" w:cs="Times New Roman"/>
          <w:color w:val="auto"/>
          <w:spacing w:val="0"/>
          <w:sz w:val="32"/>
          <w:szCs w:val="32"/>
          <w:highlight w:val="none"/>
          <w:u w:val="none" w:color="auto"/>
        </w:rPr>
        <w:t>推动资源配置实现效益最大化和效率最优化。</w:t>
      </w:r>
    </w:p>
    <w:p w14:paraId="63F29A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napToGrid/>
          <w:color w:val="auto"/>
          <w:spacing w:val="0"/>
          <w:kern w:val="21"/>
          <w:sz w:val="32"/>
          <w:szCs w:val="32"/>
          <w:highlight w:val="none"/>
          <w:u w:val="none" w:color="auto"/>
          <w:lang w:val="en-US" w:eastAsia="zh-CN"/>
        </w:rPr>
      </w:pPr>
      <w:r>
        <w:rPr>
          <w:rFonts w:hint="default" w:ascii="Times New Roman" w:hAnsi="Times New Roman" w:eastAsia="方正黑体_GBK" w:cs="Times New Roman"/>
          <w:b w:val="0"/>
          <w:bCs w:val="0"/>
          <w:color w:val="auto"/>
          <w:spacing w:val="0"/>
          <w:sz w:val="32"/>
          <w:szCs w:val="32"/>
          <w:highlight w:val="none"/>
          <w:u w:val="none" w:color="auto"/>
          <w:lang w:val="en-US" w:eastAsia="zh-CN"/>
        </w:rPr>
        <w:t>坚持统筹发展和安全</w:t>
      </w:r>
      <w:r>
        <w:rPr>
          <w:rFonts w:hint="default" w:ascii="Times New Roman" w:hAnsi="Times New Roman" w:eastAsia="方正仿宋_GBK" w:cs="Times New Roman"/>
          <w:color w:val="auto"/>
          <w:spacing w:val="0"/>
          <w:sz w:val="32"/>
          <w:szCs w:val="32"/>
          <w:highlight w:val="none"/>
          <w:u w:val="none" w:color="auto"/>
          <w:lang w:val="en-US" w:eastAsia="zh-CN"/>
        </w:rPr>
        <w:t>。坚定不移贯彻总体国家安全观，</w:t>
      </w:r>
      <w:r>
        <w:rPr>
          <w:rFonts w:hint="default" w:ascii="Times New Roman" w:hAnsi="Times New Roman" w:eastAsia="方正仿宋_GBK" w:cs="Times New Roman"/>
          <w:color w:val="auto"/>
          <w:spacing w:val="0"/>
          <w:sz w:val="32"/>
          <w:szCs w:val="32"/>
          <w:highlight w:val="none"/>
          <w:u w:val="none" w:color="auto"/>
        </w:rPr>
        <w:t>在发展中固安全，在安全中谋发展，强化底线思维</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极限思维</w:t>
      </w:r>
      <w:r>
        <w:rPr>
          <w:rFonts w:hint="default" w:ascii="Times New Roman" w:hAnsi="Times New Roman" w:eastAsia="方正仿宋_GBK" w:cs="Times New Roman"/>
          <w:color w:val="auto"/>
          <w:spacing w:val="0"/>
          <w:sz w:val="32"/>
          <w:szCs w:val="32"/>
          <w:highlight w:val="none"/>
          <w:u w:val="none" w:color="auto"/>
        </w:rPr>
        <w:t>，</w:t>
      </w:r>
      <w:r>
        <w:rPr>
          <w:rFonts w:hint="default" w:ascii="Times New Roman" w:hAnsi="Times New Roman" w:eastAsia="方正仿宋_GBK" w:cs="Times New Roman"/>
          <w:color w:val="auto"/>
          <w:spacing w:val="0"/>
          <w:sz w:val="32"/>
          <w:szCs w:val="32"/>
          <w:highlight w:val="none"/>
          <w:u w:val="none" w:color="auto"/>
          <w:lang w:val="en-US" w:eastAsia="zh-CN"/>
        </w:rPr>
        <w:t>深化多跨协同、整体智治，一体推进政治安全、经济金融、网络舆情、社会民生、平安稳定等各领域风险隐患全量全过程闭环管控，增强经济和社会韧性，</w:t>
      </w:r>
      <w:r>
        <w:rPr>
          <w:rFonts w:hint="default" w:ascii="Times New Roman" w:hAnsi="Times New Roman" w:eastAsia="方正仿宋_GBK" w:cs="Times New Roman"/>
          <w:snapToGrid/>
          <w:color w:val="auto"/>
          <w:spacing w:val="0"/>
          <w:kern w:val="21"/>
          <w:sz w:val="32"/>
          <w:szCs w:val="32"/>
          <w:highlight w:val="none"/>
          <w:u w:val="none" w:color="auto"/>
          <w:lang w:val="en-US" w:eastAsia="zh-CN"/>
        </w:rPr>
        <w:t>提高应对各种极端情况的实战能力，以高水平安全保障高质量发展。</w:t>
      </w:r>
    </w:p>
    <w:p w14:paraId="2A5E08F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81" w:name="_Toc10566"/>
      <w:bookmarkStart w:id="82" w:name="_Toc3455"/>
      <w:bookmarkStart w:id="83" w:name="_Toc2232"/>
      <w:bookmarkStart w:id="84" w:name="_Toc8383"/>
      <w:bookmarkStart w:id="85" w:name="_Toc13335"/>
      <w:bookmarkStart w:id="86" w:name="_Toc31715"/>
      <w:bookmarkStart w:id="87" w:name="_Toc171"/>
      <w:bookmarkStart w:id="88" w:name="_Toc19602"/>
      <w:bookmarkStart w:id="89" w:name="_Toc18885"/>
      <w:bookmarkStart w:id="90" w:name="_Toc1940"/>
      <w:bookmarkStart w:id="91" w:name="_Toc13359"/>
      <w:bookmarkStart w:id="92" w:name="_Toc18720"/>
      <w:r>
        <w:rPr>
          <w:rFonts w:hint="default" w:ascii="Times New Roman" w:hAnsi="Times New Roman" w:eastAsia="方正楷体_GBK" w:cs="Times New Roman"/>
          <w:b w:val="0"/>
          <w:bCs w:val="0"/>
          <w:color w:val="auto"/>
          <w:sz w:val="32"/>
          <w:szCs w:val="32"/>
          <w:highlight w:val="none"/>
          <w:u w:val="none" w:color="auto"/>
          <w:lang w:val="en-US" w:eastAsia="zh-CN"/>
        </w:rPr>
        <w:fldChar w:fldCharType="begin"/>
      </w:r>
      <w:r>
        <w:rPr>
          <w:rFonts w:hint="default" w:ascii="Times New Roman" w:hAnsi="Times New Roman" w:eastAsia="方正楷体_GBK" w:cs="Times New Roman"/>
          <w:b w:val="0"/>
          <w:bCs w:val="0"/>
          <w:color w:val="auto"/>
          <w:sz w:val="32"/>
          <w:szCs w:val="32"/>
          <w:highlight w:val="none"/>
          <w:u w:val="none" w:color="auto"/>
          <w:lang w:val="en-US" w:eastAsia="zh-CN"/>
        </w:rPr>
        <w:instrText xml:space="preserve"> HYPERLINK \l _Toc20606 </w:instrTex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separate"/>
      </w:r>
      <w:r>
        <w:rPr>
          <w:rFonts w:hint="default" w:ascii="Times New Roman" w:hAnsi="Times New Roman" w:eastAsia="方正楷体_GBK" w:cs="Times New Roman"/>
          <w:b w:val="0"/>
          <w:bCs w:val="0"/>
          <w:color w:val="auto"/>
          <w:sz w:val="32"/>
          <w:szCs w:val="32"/>
          <w:highlight w:val="none"/>
          <w:u w:val="none" w:color="auto"/>
          <w:lang w:val="en-US" w:eastAsia="zh-CN"/>
        </w:rPr>
        <w:t xml:space="preserve">第三节 </w:t>
      </w:r>
      <w:r>
        <w:rPr>
          <w:rFonts w:hint="eastAsia" w:ascii="Times New Roman" w:hAnsi="Times New Roman" w:eastAsia="方正楷体_GBK" w:cs="Times New Roman"/>
          <w:b w:val="0"/>
          <w:bCs w:val="0"/>
          <w:color w:val="auto"/>
          <w:sz w:val="32"/>
          <w:szCs w:val="32"/>
          <w:highlight w:val="none"/>
          <w:u w:val="none" w:color="auto"/>
          <w:lang w:val="en-US" w:eastAsia="zh-CN"/>
        </w:rPr>
        <w:t>发展</w:t>
      </w:r>
      <w:r>
        <w:rPr>
          <w:rFonts w:hint="default" w:ascii="Times New Roman" w:hAnsi="Times New Roman" w:eastAsia="方正楷体_GBK" w:cs="Times New Roman"/>
          <w:b w:val="0"/>
          <w:bCs w:val="0"/>
          <w:color w:val="auto"/>
          <w:sz w:val="32"/>
          <w:szCs w:val="32"/>
          <w:highlight w:val="none"/>
          <w:u w:val="none" w:color="auto"/>
          <w:lang w:val="en-US" w:eastAsia="zh-CN"/>
        </w:rPr>
        <w:t>目标</w: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end"/>
      </w:r>
      <w:bookmarkEnd w:id="81"/>
      <w:bookmarkEnd w:id="82"/>
      <w:bookmarkEnd w:id="83"/>
      <w:bookmarkEnd w:id="84"/>
      <w:bookmarkEnd w:id="85"/>
      <w:bookmarkEnd w:id="86"/>
      <w:bookmarkEnd w:id="87"/>
      <w:bookmarkEnd w:id="88"/>
      <w:bookmarkEnd w:id="89"/>
      <w:bookmarkEnd w:id="90"/>
      <w:bookmarkEnd w:id="91"/>
      <w:bookmarkEnd w:id="92"/>
    </w:p>
    <w:p w14:paraId="78DBBE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0"/>
          <w:sz w:val="32"/>
          <w:szCs w:val="32"/>
          <w:highlight w:val="none"/>
          <w:u w:val="none" w:color="auto"/>
          <w:lang w:val="en-US" w:eastAsia="zh-CN" w:bidi="ar"/>
        </w:rPr>
      </w:pPr>
      <w:r>
        <w:rPr>
          <w:rFonts w:hint="default" w:ascii="Times New Roman" w:hAnsi="Times New Roman" w:eastAsia="方正仿宋_GBK" w:cs="Times New Roman"/>
          <w:color w:val="auto"/>
          <w:spacing w:val="0"/>
          <w:sz w:val="32"/>
          <w:szCs w:val="32"/>
          <w:highlight w:val="none"/>
          <w:u w:val="none" w:color="auto"/>
          <w:lang w:val="en-US" w:eastAsia="zh-CN" w:bidi="ar"/>
        </w:rPr>
        <w:t>紧扣2030年确保基本实现社会主义现代化取得决定性进展</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bidi="ar"/>
        </w:rPr>
        <w:t>和</w:t>
      </w:r>
      <w:r>
        <w:rPr>
          <w:rFonts w:hint="default" w:ascii="Times New Roman" w:hAnsi="Times New Roman" w:eastAsia="方正仿宋_GBK" w:cs="Times New Roman"/>
          <w:color w:val="auto"/>
          <w:spacing w:val="0"/>
          <w:sz w:val="32"/>
          <w:szCs w:val="32"/>
          <w:highlight w:val="none"/>
          <w:u w:val="none" w:color="auto"/>
          <w:lang w:val="en-US" w:eastAsia="zh-CN" w:bidi="ar"/>
        </w:rPr>
        <w:t>全市基本建成新时代西部大开发重要战略支点、内陆开放综合枢纽目标，基本建成</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六个新高地</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，加快呈现全域高质量发展、高水平开放、高品质生活、高效能治理的生动图景，在奋力谱写中国式现代化重庆篇章中走在前、争一流。</w:t>
      </w:r>
    </w:p>
    <w:p w14:paraId="01405F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b/>
          <w:bCs/>
          <w:color w:val="auto"/>
          <w:spacing w:val="-6"/>
          <w:sz w:val="32"/>
          <w:szCs w:val="32"/>
          <w:highlight w:val="none"/>
          <w:u w:val="none" w:color="auto"/>
          <w:lang w:val="en-US" w:eastAsia="zh-CN" w:bidi="ar"/>
        </w:rPr>
      </w:pPr>
      <w:r>
        <w:rPr>
          <w:rFonts w:hint="default" w:ascii="Times New Roman" w:hAnsi="Times New Roman" w:eastAsia="方正仿宋_GBK" w:cs="Times New Roman"/>
          <w:b/>
          <w:bCs/>
          <w:color w:val="auto"/>
          <w:spacing w:val="0"/>
          <w:sz w:val="32"/>
          <w:szCs w:val="32"/>
          <w:highlight w:val="none"/>
          <w:u w:val="none" w:color="auto"/>
          <w:lang w:val="en-US" w:eastAsia="zh-CN" w:bidi="ar"/>
        </w:rPr>
        <w:t>——支撑全市打造全国高质量发展重要增长极体现更强大区担当</w:t>
      </w:r>
      <w:r>
        <w:rPr>
          <w:rFonts w:hint="default" w:ascii="Times New Roman" w:hAnsi="Times New Roman" w:eastAsia="方正仿宋_GBK" w:cs="Times New Roman"/>
          <w:color w:val="auto"/>
          <w:spacing w:val="0"/>
          <w:sz w:val="32"/>
          <w:szCs w:val="32"/>
          <w:highlight w:val="none"/>
          <w:u w:val="none" w:color="auto"/>
          <w:lang w:val="en-US" w:eastAsia="zh-CN" w:bidi="ar"/>
        </w:rPr>
        <w:t>。经济增长保持在合理区间，全要素生产率稳步提升，地区生产总值、人均地区生产总值分别突破2200亿元、38万元，服务业增加值突破2000亿元、占地区</w:t>
      </w:r>
      <w:r>
        <w:rPr>
          <w:rFonts w:hint="default" w:ascii="Times New Roman" w:hAnsi="Times New Roman" w:eastAsia="方正仿宋_GBK" w:cs="Times New Roman"/>
          <w:color w:val="auto"/>
          <w:spacing w:val="0"/>
          <w:sz w:val="32"/>
          <w:szCs w:val="32"/>
          <w:highlight w:val="none"/>
          <w:u w:val="none" w:color="auto"/>
          <w:lang w:val="en-US" w:eastAsia="zh-CN"/>
        </w:rPr>
        <w:t>生产总值</w:t>
      </w:r>
      <w:r>
        <w:rPr>
          <w:rFonts w:hint="default" w:ascii="Times New Roman" w:hAnsi="Times New Roman" w:eastAsia="方正仿宋_GBK" w:cs="Times New Roman"/>
          <w:color w:val="auto"/>
          <w:spacing w:val="0"/>
          <w:sz w:val="32"/>
          <w:szCs w:val="32"/>
          <w:highlight w:val="none"/>
          <w:u w:val="none" w:color="auto"/>
          <w:lang w:val="en-US" w:eastAsia="zh-CN" w:bidi="ar"/>
        </w:rPr>
        <w:t>比重保持在95%左右，现代服务业示范集聚区建设取得新成效，区域发展能级和综合竞争力全面提升，</w:t>
      </w:r>
      <w:r>
        <w:rPr>
          <w:rFonts w:hint="default" w:ascii="Times New Roman" w:hAnsi="Times New Roman" w:eastAsia="方正仿宋_GBK" w:cs="Times New Roman"/>
          <w:color w:val="auto"/>
          <w:spacing w:val="-6"/>
          <w:sz w:val="32"/>
          <w:szCs w:val="32"/>
          <w:highlight w:val="none"/>
          <w:u w:val="none" w:color="auto"/>
          <w:lang w:val="en-US" w:eastAsia="zh-CN" w:bidi="ar"/>
        </w:rPr>
        <w:t>为成渝地区双城经济圈加快打造全国高质量发展重要增长极提供重要支撑。</w:t>
      </w:r>
    </w:p>
    <w:p w14:paraId="708E1B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600" w:lineRule="exact"/>
        <w:ind w:firstLine="643" w:firstLineChars="200"/>
        <w:textAlignment w:val="auto"/>
        <w:rPr>
          <w:rFonts w:hint="default" w:ascii="Times New Roman" w:hAnsi="Times New Roman" w:eastAsia="方正仿宋_GBK" w:cs="Times New Roman"/>
          <w:color w:val="auto"/>
          <w:spacing w:val="0"/>
          <w:sz w:val="32"/>
          <w:szCs w:val="32"/>
          <w:highlight w:val="none"/>
          <w:u w:val="none" w:color="auto"/>
          <w:lang w:val="en-US" w:eastAsia="zh-CN" w:bidi="ar"/>
        </w:rPr>
      </w:pPr>
      <w:r>
        <w:rPr>
          <w:rFonts w:hint="default" w:ascii="Times New Roman" w:hAnsi="Times New Roman" w:eastAsia="方正仿宋_GBK" w:cs="Times New Roman"/>
          <w:b/>
          <w:bCs/>
          <w:color w:val="auto"/>
          <w:spacing w:val="0"/>
          <w:sz w:val="32"/>
          <w:szCs w:val="32"/>
          <w:highlight w:val="none"/>
          <w:u w:val="none" w:color="auto"/>
          <w:lang w:val="en-US" w:eastAsia="zh-CN" w:bidi="ar"/>
        </w:rPr>
        <w:t>——科技创新产业创新引领</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bidi="ar"/>
        </w:rPr>
        <w:t>现代</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化产业体系实现新的跃升</w:t>
      </w:r>
      <w:r>
        <w:rPr>
          <w:rFonts w:hint="default" w:ascii="Times New Roman" w:hAnsi="Times New Roman" w:eastAsia="方正仿宋_GBK" w:cs="Times New Roman"/>
          <w:color w:val="auto"/>
          <w:spacing w:val="0"/>
          <w:sz w:val="32"/>
          <w:szCs w:val="32"/>
          <w:highlight w:val="none"/>
          <w:u w:val="none" w:color="auto"/>
          <w:lang w:val="en-US" w:eastAsia="zh-CN" w:bidi="ar"/>
        </w:rPr>
        <w:t>。创新策源能力持续提升，教育科技人才一体发展格局基本形成。</w:t>
      </w:r>
      <w:r>
        <w:rPr>
          <w:rFonts w:hint="default" w:ascii="Times New Roman" w:hAnsi="Times New Roman" w:eastAsia="方正仿宋_GBK" w:cs="Times New Roman"/>
          <w:color w:val="auto"/>
          <w:spacing w:val="0"/>
          <w:sz w:val="32"/>
          <w:szCs w:val="32"/>
          <w:highlight w:val="none"/>
          <w:u w:val="none" w:color="auto"/>
          <w:lang w:bidi="ar"/>
        </w:rPr>
        <w:t>现代化产业体系</w:t>
      </w:r>
      <w:r>
        <w:rPr>
          <w:rFonts w:hint="default" w:ascii="Times New Roman" w:hAnsi="Times New Roman" w:eastAsia="方正仿宋_GBK" w:cs="Times New Roman"/>
          <w:color w:val="auto"/>
          <w:spacing w:val="0"/>
          <w:sz w:val="32"/>
          <w:szCs w:val="32"/>
          <w:highlight w:val="none"/>
          <w:u w:val="none" w:color="auto"/>
          <w:lang w:val="en-US" w:eastAsia="zh-CN" w:bidi="ar"/>
        </w:rPr>
        <w:t>质效更高</w:t>
      </w:r>
      <w:r>
        <w:rPr>
          <w:rFonts w:hint="default" w:ascii="Times New Roman" w:hAnsi="Times New Roman" w:eastAsia="方正仿宋_GBK" w:cs="Times New Roman"/>
          <w:color w:val="auto"/>
          <w:spacing w:val="0"/>
          <w:sz w:val="32"/>
          <w:szCs w:val="32"/>
          <w:highlight w:val="none"/>
          <w:u w:val="none" w:color="auto"/>
          <w:lang w:bidi="ar"/>
        </w:rPr>
        <w:t>，产业能级大幅跃升，</w:t>
      </w:r>
      <w:r>
        <w:rPr>
          <w:rFonts w:hint="default" w:ascii="Times New Roman" w:hAnsi="Times New Roman" w:eastAsia="方正仿宋_GBK" w:cs="Times New Roman"/>
          <w:color w:val="auto"/>
          <w:spacing w:val="0"/>
          <w:sz w:val="32"/>
          <w:szCs w:val="32"/>
          <w:highlight w:val="none"/>
          <w:u w:val="none" w:color="auto"/>
          <w:lang w:val="en-US" w:eastAsia="zh-CN" w:bidi="ar"/>
        </w:rPr>
        <w:t>产业智能化、绿色化、融合化发展水平显著提升</w:t>
      </w:r>
      <w:r>
        <w:rPr>
          <w:rFonts w:hint="default" w:ascii="Times New Roman" w:hAnsi="Times New Roman" w:eastAsia="方正仿宋_GBK" w:cs="Times New Roman"/>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bidi="ar"/>
        </w:rPr>
        <w:t>总部经济</w:t>
      </w:r>
      <w:r>
        <w:rPr>
          <w:rFonts w:hint="default" w:ascii="Times New Roman" w:hAnsi="Times New Roman" w:eastAsia="方正仿宋_GBK" w:cs="Times New Roman"/>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楼宇经济发展水平保持</w:t>
      </w:r>
      <w:r>
        <w:rPr>
          <w:rFonts w:hint="default" w:ascii="Times New Roman" w:hAnsi="Times New Roman" w:eastAsia="方正仿宋_GBK" w:cs="Times New Roman"/>
          <w:color w:val="auto"/>
          <w:spacing w:val="0"/>
          <w:sz w:val="32"/>
          <w:szCs w:val="32"/>
          <w:highlight w:val="none"/>
          <w:u w:val="none" w:color="auto"/>
          <w:lang w:bidi="ar"/>
        </w:rPr>
        <w:t>国内一流</w:t>
      </w:r>
      <w:r>
        <w:rPr>
          <w:rFonts w:hint="default" w:ascii="Times New Roman" w:hAnsi="Times New Roman" w:eastAsia="方正仿宋_GBK" w:cs="Times New Roman"/>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bidi="ar"/>
        </w:rPr>
        <w:t>形成现代服务</w:t>
      </w:r>
      <w:r>
        <w:rPr>
          <w:rFonts w:hint="default" w:ascii="Times New Roman" w:hAnsi="Times New Roman" w:eastAsia="方正仿宋_GBK" w:cs="Times New Roman"/>
          <w:color w:val="auto"/>
          <w:spacing w:val="0"/>
          <w:sz w:val="32"/>
          <w:szCs w:val="32"/>
          <w:highlight w:val="none"/>
          <w:u w:val="none" w:color="auto"/>
          <w:lang w:val="en-US" w:eastAsia="zh-CN" w:bidi="ar"/>
        </w:rPr>
        <w:t>业</w:t>
      </w:r>
      <w:r>
        <w:rPr>
          <w:rFonts w:hint="default" w:ascii="Times New Roman" w:hAnsi="Times New Roman" w:eastAsia="方正仿宋_GBK" w:cs="Times New Roman"/>
          <w:color w:val="auto"/>
          <w:spacing w:val="0"/>
          <w:sz w:val="32"/>
          <w:szCs w:val="32"/>
          <w:highlight w:val="none"/>
          <w:u w:val="none" w:color="auto"/>
          <w:lang w:bidi="ar"/>
        </w:rPr>
        <w:t>新的竞争优势。</w:t>
      </w:r>
      <w:r>
        <w:rPr>
          <w:rFonts w:hint="default" w:ascii="Times New Roman" w:hAnsi="Times New Roman" w:eastAsia="方正仿宋_GBK" w:cs="Times New Roman"/>
          <w:color w:val="auto"/>
          <w:spacing w:val="0"/>
          <w:sz w:val="32"/>
          <w:szCs w:val="32"/>
          <w:highlight w:val="none"/>
          <w:u w:val="none" w:color="auto"/>
          <w:lang w:val="en-US" w:eastAsia="zh-CN" w:bidi="ar"/>
        </w:rPr>
        <w:t>人工智能、生命科学等新兴产业和未来产业发展成势见效。</w:t>
      </w:r>
    </w:p>
    <w:p w14:paraId="268458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b/>
          <w:bCs/>
          <w:color w:val="auto"/>
          <w:spacing w:val="0"/>
          <w:sz w:val="32"/>
          <w:szCs w:val="32"/>
          <w:highlight w:val="none"/>
          <w:u w:val="none" w:color="auto"/>
          <w:lang w:val="en-US" w:eastAsia="zh-CN" w:bidi="ar"/>
        </w:rPr>
        <w:t>——进一步全面深化改革取得明显成效</w:t>
      </w:r>
      <w:r>
        <w:rPr>
          <w:rFonts w:hint="default" w:ascii="Times New Roman" w:hAnsi="Times New Roman" w:eastAsia="方正仿宋_GBK" w:cs="Times New Roman"/>
          <w:color w:val="auto"/>
          <w:spacing w:val="0"/>
          <w:sz w:val="32"/>
          <w:szCs w:val="32"/>
          <w:highlight w:val="none"/>
          <w:u w:val="none" w:color="auto"/>
          <w:lang w:val="en-US" w:eastAsia="zh-CN"/>
        </w:rPr>
        <w:t>。全面落实落地党的二十届三中全会提出的重大改革事项和市委六届六次全会部署的改革任务。国资国企创新力控制力竞争力全面提升，民营经济发展活力充分激发，</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宜商渝中</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营商环境持续优化，要素市场化配置改革试点取得标志性成果，以人口为导向的公共服务资源配置机制更加健全，</w:t>
      </w:r>
      <w:r>
        <w:rPr>
          <w:rFonts w:hint="default" w:ascii="Times New Roman" w:hAnsi="Times New Roman" w:eastAsia="方正仿宋_GBK" w:cs="Times New Roman"/>
          <w:color w:val="auto"/>
          <w:spacing w:val="0"/>
          <w:sz w:val="32"/>
          <w:szCs w:val="32"/>
          <w:highlight w:val="none"/>
          <w:u w:val="none" w:color="auto"/>
        </w:rPr>
        <w:t>具有渝中辨识度的首创性、差别化改革成果</w:t>
      </w:r>
      <w:r>
        <w:rPr>
          <w:rFonts w:hint="default" w:ascii="Times New Roman" w:hAnsi="Times New Roman" w:eastAsia="方正仿宋_GBK" w:cs="Times New Roman"/>
          <w:color w:val="auto"/>
          <w:spacing w:val="0"/>
          <w:sz w:val="32"/>
          <w:szCs w:val="32"/>
          <w:highlight w:val="none"/>
          <w:u w:val="none" w:color="auto"/>
          <w:lang w:val="en-US" w:eastAsia="zh-CN"/>
        </w:rPr>
        <w:t>不断涌现。全过程人民民主制度化、规范化、程序化水平进一步提高。</w:t>
      </w:r>
    </w:p>
    <w:p w14:paraId="11670A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高水平带头开放带动开放影响力和辐射力大幅提升</w:t>
      </w:r>
      <w:r>
        <w:rPr>
          <w:rFonts w:hint="default" w:ascii="Times New Roman" w:hAnsi="Times New Roman" w:eastAsia="方正仿宋_GBK" w:cs="Times New Roman"/>
          <w:color w:val="auto"/>
          <w:spacing w:val="0"/>
          <w:sz w:val="32"/>
          <w:szCs w:val="32"/>
          <w:highlight w:val="none"/>
          <w:u w:val="none" w:color="auto"/>
          <w:lang w:val="en-US" w:eastAsia="zh-CN"/>
        </w:rPr>
        <w:t>。深度融入新时代西部大开发与</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一带一路</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、长江经济带、西部陆海新通道等联动发展的大通道体系，自贸试验区、中新互联互通示范项目、服务业扩大开放综合试点等开放平台能级全面提升，</w:t>
      </w:r>
      <w:r>
        <w:rPr>
          <w:rFonts w:hint="default" w:ascii="Times New Roman" w:hAnsi="Times New Roman" w:eastAsia="方正仿宋_GBK" w:cs="Times New Roman"/>
          <w:color w:val="auto"/>
          <w:spacing w:val="0"/>
          <w:sz w:val="32"/>
          <w:szCs w:val="32"/>
          <w:highlight w:val="none"/>
          <w:u w:val="none" w:color="auto"/>
          <w:lang w:eastAsia="zh-CN"/>
        </w:rPr>
        <w:t>外商投资和对外投资管理服务机制</w:t>
      </w:r>
      <w:r>
        <w:rPr>
          <w:rFonts w:hint="default" w:ascii="Times New Roman" w:hAnsi="Times New Roman" w:eastAsia="方正仿宋_GBK" w:cs="Times New Roman"/>
          <w:color w:val="auto"/>
          <w:spacing w:val="0"/>
          <w:sz w:val="32"/>
          <w:szCs w:val="32"/>
          <w:highlight w:val="none"/>
          <w:u w:val="none" w:color="auto"/>
          <w:lang w:val="en-US" w:eastAsia="zh-CN"/>
        </w:rPr>
        <w:t>持续</w:t>
      </w:r>
      <w:r>
        <w:rPr>
          <w:rFonts w:hint="default" w:ascii="Times New Roman" w:hAnsi="Times New Roman" w:eastAsia="方正仿宋_GBK" w:cs="Times New Roman"/>
          <w:color w:val="auto"/>
          <w:spacing w:val="0"/>
          <w:sz w:val="32"/>
          <w:szCs w:val="32"/>
          <w:highlight w:val="none"/>
          <w:u w:val="none" w:color="auto"/>
          <w:lang w:eastAsia="zh-CN"/>
        </w:rPr>
        <w:t>优化，</w:t>
      </w:r>
      <w:r>
        <w:rPr>
          <w:rFonts w:hint="default" w:ascii="Times New Roman" w:hAnsi="Times New Roman" w:eastAsia="方正仿宋_GBK" w:cs="Times New Roman"/>
          <w:color w:val="auto"/>
          <w:spacing w:val="0"/>
          <w:sz w:val="32"/>
          <w:szCs w:val="32"/>
          <w:highlight w:val="none"/>
          <w:u w:val="none" w:color="auto"/>
          <w:lang w:val="en-US" w:eastAsia="zh-CN"/>
        </w:rPr>
        <w:t>外向型经济更加活跃，国际交流交往更加密切，城市形象更具影响力。</w:t>
      </w:r>
    </w:p>
    <w:p w14:paraId="684619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spacing w:line="600" w:lineRule="exact"/>
        <w:ind w:firstLine="643" w:firstLineChars="200"/>
        <w:rPr>
          <w:rFonts w:hint="default" w:ascii="Times New Roman" w:hAnsi="Times New Roman" w:eastAsia="方正仿宋_GBK" w:cs="Times New Roman"/>
          <w:color w:val="auto"/>
          <w:spacing w:val="0"/>
          <w:sz w:val="32"/>
          <w:szCs w:val="32"/>
          <w:highlight w:val="none"/>
          <w:u w:val="none" w:color="auto"/>
          <w:lang w:bidi="ar"/>
        </w:rPr>
      </w:pP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数智赋能超大城市中心城区现代化治理形成渝中范例</w:t>
      </w:r>
      <w:r>
        <w:rPr>
          <w:rFonts w:hint="default" w:ascii="Times New Roman" w:hAnsi="Times New Roman" w:eastAsia="方正仿宋_GBK" w:cs="Times New Roman"/>
          <w:color w:val="auto"/>
          <w:spacing w:val="0"/>
          <w:sz w:val="32"/>
          <w:szCs w:val="32"/>
          <w:highlight w:val="none"/>
          <w:u w:val="none" w:color="auto"/>
          <w:lang w:val="en-US" w:eastAsia="zh-CN"/>
        </w:rPr>
        <w:t>。人工智能与数字重庆双向赋能效应充分展现，</w:t>
      </w:r>
      <w:r>
        <w:rPr>
          <w:rFonts w:hint="eastAsia" w:ascii="Times New Roman" w:hAnsi="Times New Roman" w:eastAsia="方正仿宋_GBK" w:cs="方正仿宋_GBK"/>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bidi="ar"/>
        </w:rPr>
        <w:t>大综合一体化</w:t>
      </w:r>
      <w:r>
        <w:rPr>
          <w:rFonts w:hint="eastAsia" w:ascii="Times New Roman" w:hAnsi="Times New Roman" w:eastAsia="方正仿宋_GBK" w:cs="方正仿宋_GBK"/>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bidi="ar"/>
        </w:rPr>
        <w:t>治理机制全面成熟，</w:t>
      </w:r>
      <w:r>
        <w:rPr>
          <w:rFonts w:hint="default" w:ascii="Times New Roman" w:hAnsi="Times New Roman" w:eastAsia="方正仿宋_GBK" w:cs="Times New Roman"/>
          <w:color w:val="auto"/>
          <w:spacing w:val="0"/>
          <w:sz w:val="32"/>
          <w:szCs w:val="32"/>
          <w:highlight w:val="none"/>
          <w:u w:val="none" w:color="auto"/>
          <w:lang w:eastAsia="zh-CN" w:bidi="ar"/>
        </w:rPr>
        <w:t>平安渝中法治渝中</w:t>
      </w:r>
      <w:r>
        <w:rPr>
          <w:rFonts w:hint="default" w:ascii="Times New Roman" w:hAnsi="Times New Roman" w:eastAsia="方正仿宋_GBK" w:cs="Times New Roman"/>
          <w:color w:val="auto"/>
          <w:spacing w:val="0"/>
          <w:sz w:val="32"/>
          <w:szCs w:val="32"/>
          <w:highlight w:val="none"/>
          <w:u w:val="none" w:color="auto"/>
          <w:lang w:val="en-US" w:eastAsia="zh-CN" w:bidi="ar"/>
        </w:rPr>
        <w:t>一体</w:t>
      </w:r>
      <w:r>
        <w:rPr>
          <w:rFonts w:hint="default" w:ascii="Times New Roman" w:hAnsi="Times New Roman" w:eastAsia="方正仿宋_GBK" w:cs="Times New Roman"/>
          <w:color w:val="auto"/>
          <w:spacing w:val="0"/>
          <w:sz w:val="32"/>
          <w:szCs w:val="32"/>
          <w:highlight w:val="none"/>
          <w:u w:val="none" w:color="auto"/>
          <w:lang w:eastAsia="zh-CN" w:bidi="ar"/>
        </w:rPr>
        <w:t>建设取得显著成效，</w:t>
      </w:r>
      <w:r>
        <w:rPr>
          <w:rFonts w:hint="default" w:ascii="Times New Roman" w:hAnsi="Times New Roman" w:eastAsia="方正仿宋_GBK" w:cs="Times New Roman"/>
          <w:color w:val="auto"/>
          <w:spacing w:val="0"/>
          <w:sz w:val="32"/>
          <w:szCs w:val="32"/>
          <w:highlight w:val="none"/>
          <w:u w:val="none" w:color="auto"/>
          <w:lang w:bidi="ar"/>
        </w:rPr>
        <w:t>高密度城区空间约束与功能提升的治理难题</w:t>
      </w:r>
      <w:r>
        <w:rPr>
          <w:rFonts w:hint="default" w:ascii="Times New Roman" w:hAnsi="Times New Roman" w:eastAsia="方正仿宋_GBK" w:cs="Times New Roman"/>
          <w:color w:val="auto"/>
          <w:spacing w:val="0"/>
          <w:sz w:val="32"/>
          <w:szCs w:val="32"/>
          <w:highlight w:val="none"/>
          <w:u w:val="none" w:color="auto"/>
          <w:lang w:val="en-US" w:eastAsia="zh-CN" w:bidi="ar"/>
        </w:rPr>
        <w:t>有效</w:t>
      </w:r>
      <w:r>
        <w:rPr>
          <w:rFonts w:hint="default" w:ascii="Times New Roman" w:hAnsi="Times New Roman" w:eastAsia="方正仿宋_GBK" w:cs="Times New Roman"/>
          <w:color w:val="auto"/>
          <w:spacing w:val="0"/>
          <w:sz w:val="32"/>
          <w:szCs w:val="32"/>
          <w:highlight w:val="none"/>
          <w:u w:val="none" w:color="auto"/>
          <w:lang w:bidi="ar"/>
        </w:rPr>
        <w:t>破解，</w:t>
      </w:r>
      <w:r>
        <w:rPr>
          <w:rFonts w:hint="default" w:ascii="Times New Roman" w:hAnsi="Times New Roman" w:eastAsia="方正仿宋_GBK" w:cs="Times New Roman"/>
          <w:color w:val="auto"/>
          <w:spacing w:val="0"/>
          <w:sz w:val="32"/>
          <w:szCs w:val="32"/>
          <w:highlight w:val="none"/>
          <w:u w:val="none" w:color="auto"/>
          <w:lang w:val="en-US" w:eastAsia="zh-CN"/>
        </w:rPr>
        <w:t>态势全面感知、趋势智能研判、处置协同高效、调度敏捷响应、平急快速转换的本质安全新体系全面构建，</w:t>
      </w:r>
      <w:r>
        <w:rPr>
          <w:rFonts w:hint="default" w:ascii="Times New Roman" w:hAnsi="Times New Roman" w:eastAsia="方正仿宋_GBK" w:cs="Times New Roman"/>
          <w:color w:val="auto"/>
          <w:spacing w:val="0"/>
          <w:sz w:val="32"/>
          <w:szCs w:val="32"/>
          <w:highlight w:val="none"/>
          <w:u w:val="none" w:color="auto"/>
          <w:lang w:bidi="ar"/>
        </w:rPr>
        <w:t>跨部门、</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bidi="ar"/>
        </w:rPr>
        <w:t>跨区域、跨层级</w:t>
      </w:r>
      <w:r>
        <w:rPr>
          <w:rFonts w:hint="default" w:ascii="Times New Roman" w:hAnsi="Times New Roman" w:eastAsia="方正仿宋_GBK" w:cs="Times New Roman"/>
          <w:color w:val="auto"/>
          <w:spacing w:val="0"/>
          <w:sz w:val="32"/>
          <w:szCs w:val="32"/>
          <w:highlight w:val="none"/>
          <w:u w:val="none" w:color="auto"/>
          <w:lang w:bidi="ar"/>
        </w:rPr>
        <w:t>协同处置能力达到西部领先水平。</w:t>
      </w:r>
    </w:p>
    <w:p w14:paraId="7B7D76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方正仿宋_GBK" w:cs="Times New Roman"/>
          <w:color w:val="auto"/>
          <w:spacing w:val="0"/>
          <w:sz w:val="32"/>
          <w:szCs w:val="32"/>
          <w:highlight w:val="none"/>
          <w:u w:val="none" w:color="auto"/>
          <w:lang w:bidi="ar"/>
        </w:rPr>
      </w:pP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color w:val="auto"/>
          <w:spacing w:val="0"/>
          <w:sz w:val="32"/>
          <w:szCs w:val="32"/>
          <w:highlight w:val="none"/>
          <w:u w:val="none" w:color="auto"/>
          <w:lang w:val="en-US" w:eastAsia="zh-CN"/>
        </w:rPr>
        <w:t>建设现代化人民城市渝中典范迈上新台阶</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投资于物、投资于人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的城市发展逻辑深度重构，</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规建治投融运</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一体化、</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留改拆增升</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全路径的可持续城市更新模式不断完善，城市</w:t>
      </w:r>
      <w:r>
        <w:rPr>
          <w:rFonts w:hint="default" w:ascii="Times New Roman" w:hAnsi="Times New Roman" w:eastAsia="方正仿宋_GBK" w:cs="Times New Roman"/>
          <w:color w:val="auto"/>
          <w:spacing w:val="0"/>
          <w:sz w:val="32"/>
          <w:szCs w:val="32"/>
          <w:highlight w:val="none"/>
          <w:u w:val="none" w:color="auto"/>
        </w:rPr>
        <w:t>空间格局</w:t>
      </w:r>
      <w:r>
        <w:rPr>
          <w:rFonts w:hint="default" w:ascii="Times New Roman" w:hAnsi="Times New Roman" w:eastAsia="方正仿宋_GBK" w:cs="Times New Roman"/>
          <w:color w:val="auto"/>
          <w:spacing w:val="0"/>
          <w:sz w:val="32"/>
          <w:szCs w:val="32"/>
          <w:highlight w:val="none"/>
          <w:u w:val="none" w:color="auto"/>
          <w:lang w:val="en-US" w:eastAsia="zh-CN"/>
        </w:rPr>
        <w:t>持续</w:t>
      </w:r>
      <w:r>
        <w:rPr>
          <w:rFonts w:hint="default" w:ascii="Times New Roman" w:hAnsi="Times New Roman" w:eastAsia="方正仿宋_GBK" w:cs="Times New Roman"/>
          <w:color w:val="auto"/>
          <w:spacing w:val="0"/>
          <w:sz w:val="32"/>
          <w:szCs w:val="32"/>
          <w:highlight w:val="none"/>
          <w:u w:val="none" w:color="auto"/>
        </w:rPr>
        <w:t>优化，城市功能品质系统跃升，老旧</w:t>
      </w:r>
      <w:r>
        <w:rPr>
          <w:rFonts w:hint="default" w:ascii="Times New Roman" w:hAnsi="Times New Roman" w:eastAsia="方正仿宋_GBK" w:cs="Times New Roman"/>
          <w:color w:val="auto"/>
          <w:spacing w:val="0"/>
          <w:sz w:val="32"/>
          <w:szCs w:val="32"/>
          <w:highlight w:val="none"/>
          <w:u w:val="none" w:color="auto"/>
          <w:lang w:bidi="ar"/>
        </w:rPr>
        <w:t>小区改造与智慧社区建设</w:t>
      </w:r>
      <w:r>
        <w:rPr>
          <w:rFonts w:hint="default" w:ascii="Times New Roman" w:hAnsi="Times New Roman" w:eastAsia="方正仿宋_GBK" w:cs="Times New Roman"/>
          <w:color w:val="auto"/>
          <w:spacing w:val="0"/>
          <w:sz w:val="32"/>
          <w:szCs w:val="32"/>
          <w:highlight w:val="none"/>
          <w:u w:val="none" w:color="auto"/>
          <w:lang w:val="en-US" w:eastAsia="zh-CN" w:bidi="ar"/>
        </w:rPr>
        <w:t>取得新进展</w:t>
      </w:r>
      <w:r>
        <w:rPr>
          <w:rFonts w:hint="default" w:ascii="Times New Roman" w:hAnsi="Times New Roman" w:eastAsia="方正仿宋_GBK" w:cs="Times New Roman"/>
          <w:color w:val="auto"/>
          <w:spacing w:val="0"/>
          <w:sz w:val="32"/>
          <w:szCs w:val="32"/>
          <w:highlight w:val="none"/>
          <w:u w:val="none" w:color="auto"/>
          <w:lang w:bidi="ar"/>
        </w:rPr>
        <w:t>，好房子、好小区、好社区、好城区建设</w:t>
      </w:r>
      <w:r>
        <w:rPr>
          <w:rFonts w:hint="default" w:ascii="Times New Roman" w:hAnsi="Times New Roman" w:eastAsia="方正仿宋_GBK" w:cs="Times New Roman"/>
          <w:color w:val="auto"/>
          <w:spacing w:val="0"/>
          <w:sz w:val="32"/>
          <w:szCs w:val="32"/>
          <w:highlight w:val="none"/>
          <w:u w:val="none" w:color="auto"/>
          <w:lang w:val="en-US" w:eastAsia="zh-CN" w:bidi="ar"/>
        </w:rPr>
        <w:t>一体推进，</w:t>
      </w:r>
      <w:r>
        <w:rPr>
          <w:rFonts w:hint="default" w:ascii="Times New Roman" w:hAnsi="Times New Roman" w:eastAsia="方正仿宋_GBK" w:cs="Times New Roman"/>
          <w:color w:val="auto"/>
          <w:spacing w:val="0"/>
          <w:sz w:val="32"/>
          <w:szCs w:val="32"/>
          <w:highlight w:val="none"/>
          <w:u w:val="none" w:color="auto"/>
          <w:lang w:bidi="ar"/>
        </w:rPr>
        <w:t>城市形态、业态、生</w:t>
      </w:r>
      <w:r>
        <w:rPr>
          <w:rFonts w:hint="default" w:ascii="Times New Roman" w:hAnsi="Times New Roman" w:eastAsia="方正仿宋_GBK" w:cs="Times New Roman"/>
          <w:color w:val="auto"/>
          <w:spacing w:val="0"/>
          <w:sz w:val="32"/>
          <w:szCs w:val="32"/>
          <w:highlight w:val="none"/>
          <w:u w:val="none" w:color="auto"/>
          <w:lang w:val="en-US" w:eastAsia="zh-CN"/>
        </w:rPr>
        <w:t>态、文态、质态更好彰显。</w:t>
      </w:r>
    </w:p>
    <w:p w14:paraId="27C596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方正仿宋_GBK" w:cs="Times New Roman"/>
          <w:color w:val="auto"/>
          <w:spacing w:val="0"/>
          <w:sz w:val="32"/>
          <w:szCs w:val="32"/>
          <w:highlight w:val="none"/>
          <w:u w:val="none" w:color="auto"/>
          <w:lang w:eastAsia="zh-CN" w:bidi="ar"/>
        </w:rPr>
      </w:pP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eastAsia="zh-CN" w:bidi="ar"/>
        </w:rPr>
        <w:t>——</w:t>
      </w:r>
      <w:r>
        <w:rPr>
          <w:rFonts w:hint="eastAsia" w:ascii="Times New Roman" w:hAnsi="Times New Roman" w:eastAsia="方正仿宋_GBK" w:cs="方正仿宋_GBK"/>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中国式现代化，民生为大</w:t>
      </w:r>
      <w:r>
        <w:rPr>
          <w:rFonts w:hint="eastAsia" w:ascii="Times New Roman" w:hAnsi="Times New Roman" w:eastAsia="方正仿宋_GBK" w:cs="方正仿宋_GBK"/>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区域实践</w:t>
      </w:r>
      <w:r>
        <w:rPr>
          <w:rFonts w:hint="default" w:ascii="Times New Roman" w:hAnsi="Times New Roman" w:eastAsia="方正仿宋_GBK" w:cs="Times New Roman"/>
          <w:b/>
          <w:bCs/>
          <w:color w:val="auto"/>
          <w:spacing w:val="0"/>
          <w:sz w:val="32"/>
          <w:szCs w:val="32"/>
          <w:highlight w:val="none"/>
          <w:u w:val="none" w:color="auto"/>
          <w:lang w:val="en-US" w:eastAsia="zh-CN"/>
        </w:rPr>
        <w:t>形成示范</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eastAsia" w:ascii="Times New Roman" w:hAnsi="Times New Roman" w:eastAsia="方正仿宋_GBK" w:cs="方正仿宋_GBK"/>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15分钟高品质生活服务圈</w:t>
      </w:r>
      <w:r>
        <w:rPr>
          <w:rFonts w:hint="eastAsia" w:ascii="Times New Roman" w:hAnsi="Times New Roman" w:eastAsia="方正仿宋_GBK" w:cs="方正仿宋_GBK"/>
          <w:color w:val="auto"/>
          <w:spacing w:val="0"/>
          <w:sz w:val="32"/>
          <w:szCs w:val="32"/>
          <w:highlight w:val="none"/>
          <w:u w:val="none" w:color="auto"/>
          <w:lang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全域覆盖</w:t>
      </w:r>
      <w:r>
        <w:rPr>
          <w:rFonts w:hint="default" w:ascii="Times New Roman" w:hAnsi="Times New Roman" w:eastAsia="方正仿宋_GBK" w:cs="Times New Roman"/>
          <w:color w:val="auto"/>
          <w:spacing w:val="0"/>
          <w:sz w:val="32"/>
          <w:szCs w:val="32"/>
          <w:highlight w:val="none"/>
          <w:u w:val="none" w:color="auto"/>
          <w:lang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高质量充分就业取得新进展，居民人均可支配收入保持全市领先，全国一流教育强区建设实现新突破，</w:t>
      </w:r>
      <w:r>
        <w:rPr>
          <w:rFonts w:hint="default" w:ascii="Times New Roman" w:hAnsi="Times New Roman" w:eastAsia="方正仿宋_GBK" w:cs="Times New Roman"/>
          <w:color w:val="auto"/>
          <w:spacing w:val="0"/>
          <w:sz w:val="32"/>
          <w:szCs w:val="32"/>
          <w:highlight w:val="none"/>
          <w:u w:val="none" w:color="auto"/>
          <w:lang w:bidi="ar"/>
        </w:rPr>
        <w:t>医药卫生体制改革</w:t>
      </w:r>
      <w:r>
        <w:rPr>
          <w:rFonts w:hint="default" w:ascii="Times New Roman" w:hAnsi="Times New Roman" w:eastAsia="方正仿宋_GBK" w:cs="Times New Roman"/>
          <w:color w:val="auto"/>
          <w:spacing w:val="0"/>
          <w:sz w:val="32"/>
          <w:szCs w:val="32"/>
          <w:highlight w:val="none"/>
          <w:u w:val="none" w:color="auto"/>
          <w:lang w:val="en-US" w:eastAsia="zh-CN" w:bidi="ar"/>
        </w:rPr>
        <w:t>取得重大进展，</w:t>
      </w:r>
      <w:r>
        <w:rPr>
          <w:rFonts w:hint="default" w:ascii="Times New Roman" w:hAnsi="Times New Roman" w:eastAsia="方正仿宋_GBK" w:cs="Times New Roman"/>
          <w:color w:val="auto"/>
          <w:spacing w:val="0"/>
          <w:sz w:val="32"/>
          <w:szCs w:val="32"/>
          <w:highlight w:val="none"/>
          <w:u w:val="none" w:color="auto"/>
          <w:lang w:bidi="ar"/>
        </w:rPr>
        <w:t>多层次社会保障体系</w:t>
      </w:r>
      <w:r>
        <w:rPr>
          <w:rFonts w:hint="default" w:ascii="Times New Roman" w:hAnsi="Times New Roman" w:eastAsia="方正仿宋_GBK" w:cs="Times New Roman"/>
          <w:color w:val="auto"/>
          <w:spacing w:val="0"/>
          <w:sz w:val="32"/>
          <w:szCs w:val="32"/>
          <w:highlight w:val="none"/>
          <w:u w:val="none" w:color="auto"/>
          <w:lang w:val="en-US" w:eastAsia="zh-CN" w:bidi="ar"/>
        </w:rPr>
        <w:t>持续优化</w:t>
      </w:r>
      <w:r>
        <w:rPr>
          <w:rFonts w:hint="default" w:ascii="Times New Roman" w:hAnsi="Times New Roman" w:eastAsia="方正仿宋_GBK" w:cs="Times New Roman"/>
          <w:color w:val="auto"/>
          <w:spacing w:val="0"/>
          <w:sz w:val="32"/>
          <w:szCs w:val="32"/>
          <w:highlight w:val="none"/>
          <w:u w:val="none" w:color="auto"/>
          <w:lang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覆盖全人群、全生命周期人口服务体系不断健全，数字化、多样化、高品质、个性化公共服务供给更加丰富便利，儿童友好、青年发展、老年幸福的全龄友好城市全面成型，共同富裕更加可感可及。</w:t>
      </w:r>
    </w:p>
    <w:p w14:paraId="5978C4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打造新时代文化旅游强区实现重要突破</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社会主义核心价值观广泛践行</w:t>
      </w:r>
      <w:r>
        <w:rPr>
          <w:rFonts w:hint="default" w:ascii="Times New Roman" w:hAnsi="Times New Roman" w:eastAsia="方正仿宋_GBK" w:cs="Times New Roman"/>
          <w:color w:val="auto"/>
          <w:spacing w:val="0"/>
          <w:sz w:val="32"/>
          <w:szCs w:val="32"/>
          <w:highlight w:val="none"/>
          <w:u w:val="none" w:color="auto"/>
          <w:lang w:val="en-US" w:eastAsia="zh-CN"/>
        </w:rPr>
        <w:t>，主流思想舆论不断巩固壮大，母城人文魅力和红色文化底蕴持续彰显，城市精神深入人心，市民文明素质和城区文明程度全面提升。科技赋能、创意驱动新型文化业态蓬勃发展，高品质现代文化供给更加丰富，文化创新创造活力迸发，城市文化软实力和国际传播力大幅提升，兼具</w:t>
      </w:r>
      <w:r>
        <w:rPr>
          <w:rFonts w:hint="default" w:ascii="Times New Roman" w:hAnsi="Times New Roman" w:eastAsia="方正仿宋_GBK" w:cs="Times New Roman"/>
          <w:color w:val="auto"/>
          <w:spacing w:val="0"/>
          <w:sz w:val="32"/>
          <w:szCs w:val="32"/>
          <w:highlight w:val="none"/>
          <w:u w:val="none" w:color="auto"/>
        </w:rPr>
        <w:t>巴渝人文风韵</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rPr>
        <w:t>山城江城</w:t>
      </w:r>
      <w:r>
        <w:rPr>
          <w:rFonts w:hint="default" w:ascii="Times New Roman" w:hAnsi="Times New Roman" w:eastAsia="方正仿宋_GBK" w:cs="Times New Roman"/>
          <w:color w:val="auto"/>
          <w:spacing w:val="0"/>
          <w:sz w:val="32"/>
          <w:szCs w:val="32"/>
          <w:highlight w:val="none"/>
          <w:u w:val="none" w:color="auto"/>
          <w:lang w:val="en-US" w:eastAsia="zh-CN"/>
        </w:rPr>
        <w:t>风景、</w:t>
      </w:r>
      <w:r>
        <w:rPr>
          <w:rFonts w:hint="default" w:ascii="Times New Roman" w:hAnsi="Times New Roman" w:eastAsia="方正仿宋_GBK" w:cs="Times New Roman"/>
          <w:color w:val="auto"/>
          <w:spacing w:val="0"/>
          <w:sz w:val="32"/>
          <w:szCs w:val="32"/>
          <w:highlight w:val="none"/>
          <w:u w:val="none" w:color="auto"/>
        </w:rPr>
        <w:t>现代国际风范的世界</w:t>
      </w:r>
      <w:r>
        <w:rPr>
          <w:rFonts w:hint="default" w:ascii="Times New Roman" w:hAnsi="Times New Roman" w:eastAsia="方正仿宋_GBK" w:cs="Times New Roman"/>
          <w:color w:val="auto"/>
          <w:spacing w:val="0"/>
          <w:sz w:val="32"/>
          <w:szCs w:val="32"/>
          <w:highlight w:val="none"/>
          <w:u w:val="none" w:color="auto"/>
          <w:lang w:val="en-US" w:eastAsia="zh-CN"/>
        </w:rPr>
        <w:t>知名文化旅游目的地核心区</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基本</w:t>
      </w:r>
      <w:r>
        <w:rPr>
          <w:rFonts w:hint="default" w:ascii="Times New Roman" w:hAnsi="Times New Roman" w:eastAsia="方正仿宋_GBK" w:cs="Times New Roman"/>
          <w:color w:val="auto"/>
          <w:spacing w:val="0"/>
          <w:sz w:val="32"/>
          <w:szCs w:val="32"/>
          <w:highlight w:val="none"/>
          <w:u w:val="none" w:color="auto"/>
          <w:lang w:val="en-US" w:eastAsia="zh-CN"/>
        </w:rPr>
        <w:t>建成。</w:t>
      </w:r>
    </w:p>
    <w:p w14:paraId="5D690E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_GBK" w:cs="Times New Roman"/>
          <w:b w:val="0"/>
          <w:bCs w:val="0"/>
          <w:color w:val="auto"/>
          <w:spacing w:val="0"/>
          <w:kern w:val="0"/>
          <w:sz w:val="32"/>
          <w:szCs w:val="32"/>
          <w:highlight w:val="none"/>
          <w:u w:val="none" w:color="auto"/>
          <w:lang w:val="en-US" w:eastAsia="zh-CN"/>
        </w:rPr>
      </w:pP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eastAsia="zh-CN" w:bidi="ar"/>
        </w:rPr>
        <w:t>——</w:t>
      </w:r>
      <w:r>
        <w:rPr>
          <w:rFonts w:hint="default" w:ascii="Times New Roman" w:hAnsi="Times New Roman" w:eastAsia="方正仿宋_GBK" w:cs="Times New Roman"/>
          <w:b/>
          <w:bCs/>
          <w:i w:val="0"/>
          <w:iCs w:val="0"/>
          <w:caps w:val="0"/>
          <w:color w:val="auto"/>
          <w:spacing w:val="0"/>
          <w:sz w:val="32"/>
          <w:szCs w:val="32"/>
          <w:highlight w:val="none"/>
          <w:u w:val="none" w:color="auto"/>
          <w:shd w:val="clear" w:color="auto" w:fill="auto"/>
          <w:lang w:val="en-US" w:eastAsia="zh-CN" w:bidi="ar"/>
        </w:rPr>
        <w:t>建设全面绿色低碳发展的美丽渝中取得重大成果</w:t>
      </w:r>
      <w:r>
        <w:rPr>
          <w:rFonts w:hint="default" w:ascii="Times New Roman" w:hAnsi="Times New Roman" w:eastAsia="方正仿宋_GBK" w:cs="Times New Roman"/>
          <w:color w:val="auto"/>
          <w:spacing w:val="0"/>
          <w:sz w:val="32"/>
          <w:szCs w:val="32"/>
          <w:highlight w:val="none"/>
          <w:u w:val="none" w:color="auto"/>
          <w:lang w:val="en-US" w:eastAsia="zh-CN" w:bidi="ar"/>
        </w:rPr>
        <w:t>。</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绿色生产生活方式基本形成，碳达峰目标如期实现，</w:t>
      </w:r>
      <w:r>
        <w:rPr>
          <w:rFonts w:hint="eastAsia" w:ascii="Times New Roman" w:hAnsi="Times New Roman" w:eastAsia="方正仿宋_GBK" w:cs="方正仿宋_GBK"/>
          <w:strike w:val="0"/>
          <w:dstrike w:val="0"/>
          <w:color w:val="auto"/>
          <w:spacing w:val="0"/>
          <w:sz w:val="32"/>
          <w:szCs w:val="32"/>
          <w:highlight w:val="none"/>
          <w:u w:val="none" w:color="auto"/>
          <w:lang w:val="en-US" w:eastAsia="zh-CN"/>
        </w:rPr>
        <w:t>“</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双碳</w:t>
      </w:r>
      <w:r>
        <w:rPr>
          <w:rFonts w:hint="eastAsia" w:ascii="Times New Roman" w:hAnsi="Times New Roman" w:eastAsia="方正仿宋_GBK" w:cs="方正仿宋_GBK"/>
          <w:strike w:val="0"/>
          <w:dstrike w:val="0"/>
          <w:color w:val="auto"/>
          <w:spacing w:val="0"/>
          <w:sz w:val="32"/>
          <w:szCs w:val="32"/>
          <w:highlight w:val="none"/>
          <w:u w:val="none" w:color="auto"/>
          <w:lang w:val="en-US" w:eastAsia="zh-CN"/>
        </w:rPr>
        <w:t>”</w:t>
      </w:r>
      <w:r>
        <w:rPr>
          <w:rFonts w:hint="default" w:ascii="Times New Roman" w:hAnsi="Times New Roman" w:eastAsia="方正仿宋_GBK" w:cs="Times New Roman"/>
          <w:strike w:val="0"/>
          <w:dstrike w:val="0"/>
          <w:color w:val="auto"/>
          <w:spacing w:val="0"/>
          <w:sz w:val="32"/>
          <w:szCs w:val="32"/>
          <w:highlight w:val="none"/>
          <w:u w:val="none" w:color="auto"/>
          <w:lang w:val="en-US" w:eastAsia="zh-CN"/>
        </w:rPr>
        <w:t>引领绿色转型实现更大突破，</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九治</w:t>
      </w:r>
      <w:r>
        <w:rPr>
          <w:rFonts w:hint="eastAsia" w:ascii="Times New Roman" w:hAnsi="Times New Roman" w:eastAsia="方正仿宋_GBK" w:cs="方正仿宋_GBK"/>
          <w:color w:val="auto"/>
          <w:spacing w:val="0"/>
          <w:sz w:val="32"/>
          <w:szCs w:val="32"/>
          <w:highlight w:val="none"/>
          <w:u w:val="none" w:color="auto"/>
          <w:lang w:val="en-US" w:eastAsia="zh-CN" w:bidi="ar"/>
        </w:rPr>
        <w:t>”</w:t>
      </w:r>
      <w:r>
        <w:rPr>
          <w:rFonts w:hint="default" w:ascii="Times New Roman" w:hAnsi="Times New Roman" w:eastAsia="方正仿宋_GBK" w:cs="Times New Roman"/>
          <w:color w:val="auto"/>
          <w:spacing w:val="0"/>
          <w:sz w:val="32"/>
          <w:szCs w:val="32"/>
          <w:highlight w:val="none"/>
          <w:u w:val="none" w:color="auto"/>
          <w:lang w:val="en-US" w:eastAsia="zh-CN" w:bidi="ar"/>
        </w:rPr>
        <w:t>成效巩固拓展，清洁低碳安全高效的新型能源体系初步建成，生态环境质量持续改善，主要污染物排放总量进一步削减，生态系统多样性、稳定性、持续性不断提升，山水相依、景城一体的城市生态空间加快打造，绿色生产力培育壮大，绿色低碳整体大美的山水都市新风貌全面彰显。</w:t>
      </w:r>
    </w:p>
    <w:p w14:paraId="6C6DB4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spacing w:val="0"/>
          <w:highlight w:val="none"/>
          <w:u w:val="none" w:color="auto"/>
        </w:rPr>
      </w:pPr>
      <w:r>
        <w:rPr>
          <w:rFonts w:hint="default" w:ascii="Times New Roman" w:hAnsi="Times New Roman" w:eastAsia="方正仿宋_GBK" w:cs="Times New Roman"/>
          <w:b w:val="0"/>
          <w:bCs w:val="0"/>
          <w:color w:val="auto"/>
          <w:spacing w:val="0"/>
          <w:kern w:val="0"/>
          <w:sz w:val="32"/>
          <w:szCs w:val="32"/>
          <w:highlight w:val="none"/>
          <w:u w:val="none" w:color="auto"/>
          <w:lang w:val="en-US" w:eastAsia="zh-CN"/>
        </w:rPr>
        <w:t>到二〇三五年，重要发展指标保持全市领先水平，城市综合实力、经济实力、核心竞争力、国际影响力跃上新台阶，人的全面发展、全体人民共同富裕取得更为明显的实质性进展，成为充分展现国际风范、巴渝风韵、时代风尚的现代化城区。</w:t>
      </w:r>
    </w:p>
    <w:p w14:paraId="249E016E">
      <w:pPr>
        <w:pStyle w:val="16"/>
        <w:keepNext w:val="0"/>
        <w:keepLines w:val="0"/>
        <w:pageBreakBefore w:val="0"/>
        <w:tabs>
          <w:tab w:val="right" w:leader="dot" w:pos="8844"/>
        </w:tabs>
        <w:kinsoku/>
        <w:wordWrap/>
        <w:topLinePunct w:val="0"/>
        <w:autoSpaceDE/>
        <w:autoSpaceDN/>
        <w:bidi w:val="0"/>
        <w:ind w:firstLine="640" w:firstLineChars="200"/>
        <w:jc w:val="center"/>
        <w:outlineLvl w:val="9"/>
        <w:rPr>
          <w:rFonts w:hint="default" w:ascii="Times New Roman" w:hAnsi="Times New Roman" w:cs="Times New Roman"/>
          <w:color w:val="auto"/>
          <w:highlight w:val="none"/>
          <w:u w:val="none" w:color="auto"/>
          <w:lang w:val="en-US" w:eastAsia="zh-CN"/>
        </w:rPr>
      </w:pPr>
      <w:r>
        <w:rPr>
          <w:rFonts w:hint="default" w:ascii="Times New Roman" w:hAnsi="Times New Roman" w:eastAsia="方正黑体_GBK" w:cs="Times New Roman"/>
          <w:color w:val="auto"/>
          <w:kern w:val="2"/>
          <w:sz w:val="32"/>
          <w:szCs w:val="32"/>
          <w:highlight w:val="none"/>
          <w:u w:val="none" w:color="auto"/>
          <w:lang w:val="en-US" w:eastAsia="zh-CN" w:bidi="ar-SA"/>
        </w:rPr>
        <w:t>表2  渝中区</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黑体_GBK" w:cs="Times New Roman"/>
          <w:color w:val="auto"/>
          <w:kern w:val="2"/>
          <w:sz w:val="32"/>
          <w:szCs w:val="32"/>
          <w:highlight w:val="none"/>
          <w:u w:val="none" w:color="auto"/>
          <w:lang w:val="en-US" w:eastAsia="zh-CN" w:bidi="ar-SA"/>
        </w:rPr>
        <w:t>十五五</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黑体_GBK" w:cs="Times New Roman"/>
          <w:color w:val="auto"/>
          <w:kern w:val="2"/>
          <w:sz w:val="32"/>
          <w:szCs w:val="32"/>
          <w:highlight w:val="none"/>
          <w:u w:val="none" w:color="auto"/>
          <w:lang w:val="en-US" w:eastAsia="zh-CN" w:bidi="ar-SA"/>
        </w:rPr>
        <w:t>规划经济社会发展主要指标</w:t>
      </w:r>
    </w:p>
    <w:tbl>
      <w:tblPr>
        <w:tblStyle w:val="20"/>
        <w:tblW w:w="92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3" w:type="dxa"/>
          <w:bottom w:w="0" w:type="dxa"/>
          <w:right w:w="23" w:type="dxa"/>
        </w:tblCellMar>
      </w:tblPr>
      <w:tblGrid>
        <w:gridCol w:w="1123"/>
        <w:gridCol w:w="4391"/>
        <w:gridCol w:w="1287"/>
        <w:gridCol w:w="1195"/>
        <w:gridCol w:w="1277"/>
      </w:tblGrid>
      <w:tr w14:paraId="4F849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3" w:type="dxa"/>
            <w:bottom w:w="0" w:type="dxa"/>
            <w:right w:w="23" w:type="dxa"/>
          </w:tblCellMar>
        </w:tblPrEx>
        <w:trPr>
          <w:trHeight w:val="461" w:hRule="atLeast"/>
          <w:tblHeader/>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8E0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黑体" w:cs="Times New Roman"/>
                <w:i w:val="0"/>
                <w:iCs w:val="0"/>
                <w:color w:val="auto"/>
                <w:sz w:val="22"/>
                <w:szCs w:val="22"/>
                <w:highlight w:val="none"/>
                <w:u w:val="none" w:color="auto"/>
              </w:rPr>
            </w:pPr>
            <w:bookmarkStart w:id="93" w:name="_Toc7257"/>
            <w:bookmarkStart w:id="94" w:name="_Toc19353"/>
            <w:r>
              <w:rPr>
                <w:rFonts w:hint="default" w:ascii="Times New Roman" w:hAnsi="Times New Roman" w:eastAsia="黑体" w:cs="Times New Roman"/>
                <w:i w:val="0"/>
                <w:iCs w:val="0"/>
                <w:color w:val="auto"/>
                <w:kern w:val="0"/>
                <w:sz w:val="22"/>
                <w:szCs w:val="22"/>
                <w:highlight w:val="none"/>
                <w:u w:val="none" w:color="auto"/>
                <w:lang w:val="en-US" w:eastAsia="zh-CN" w:bidi="ar"/>
              </w:rPr>
              <w:t>序号</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FDF6">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黑体" w:cs="Times New Roman"/>
                <w:i w:val="0"/>
                <w:iCs w:val="0"/>
                <w:color w:val="auto"/>
                <w:sz w:val="22"/>
                <w:szCs w:val="22"/>
                <w:highlight w:val="none"/>
                <w:u w:val="none" w:color="auto"/>
              </w:rPr>
            </w:pPr>
            <w:r>
              <w:rPr>
                <w:rFonts w:hint="default" w:ascii="Times New Roman" w:hAnsi="Times New Roman" w:eastAsia="黑体" w:cs="Times New Roman"/>
                <w:i w:val="0"/>
                <w:iCs w:val="0"/>
                <w:color w:val="auto"/>
                <w:kern w:val="0"/>
                <w:sz w:val="22"/>
                <w:szCs w:val="22"/>
                <w:highlight w:val="none"/>
                <w:u w:val="none" w:color="auto"/>
                <w:lang w:val="en-US" w:eastAsia="zh-CN" w:bidi="ar"/>
              </w:rPr>
              <w:t>指标名称</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272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2025</w:t>
            </w:r>
            <w:r>
              <w:rPr>
                <w:rFonts w:hint="default" w:ascii="Times New Roman" w:hAnsi="Times New Roman" w:eastAsia="黑体" w:cs="Times New Roman"/>
                <w:i w:val="0"/>
                <w:iCs w:val="0"/>
                <w:color w:val="auto"/>
                <w:kern w:val="0"/>
                <w:sz w:val="22"/>
                <w:szCs w:val="22"/>
                <w:highlight w:val="none"/>
                <w:u w:val="none" w:color="auto"/>
                <w:lang w:val="en-US" w:eastAsia="zh-CN" w:bidi="ar"/>
              </w:rPr>
              <w:t>年</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AE8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2030</w:t>
            </w:r>
            <w:r>
              <w:rPr>
                <w:rFonts w:hint="default" w:ascii="Times New Roman" w:hAnsi="Times New Roman" w:eastAsia="黑体" w:cs="Times New Roman"/>
                <w:i w:val="0"/>
                <w:iCs w:val="0"/>
                <w:color w:val="auto"/>
                <w:kern w:val="0"/>
                <w:sz w:val="22"/>
                <w:szCs w:val="22"/>
                <w:highlight w:val="none"/>
                <w:u w:val="none" w:color="auto"/>
                <w:lang w:val="en-US" w:eastAsia="zh-CN" w:bidi="ar"/>
              </w:rPr>
              <w:t>年目标</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9E82">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黑体" w:cs="Times New Roman"/>
                <w:i w:val="0"/>
                <w:iCs w:val="0"/>
                <w:color w:val="auto"/>
                <w:sz w:val="22"/>
                <w:szCs w:val="22"/>
                <w:highlight w:val="none"/>
                <w:u w:val="none" w:color="auto"/>
              </w:rPr>
            </w:pPr>
            <w:r>
              <w:rPr>
                <w:rFonts w:hint="default" w:ascii="Times New Roman" w:hAnsi="Times New Roman" w:eastAsia="黑体" w:cs="Times New Roman"/>
                <w:i w:val="0"/>
                <w:iCs w:val="0"/>
                <w:color w:val="auto"/>
                <w:kern w:val="0"/>
                <w:sz w:val="22"/>
                <w:szCs w:val="22"/>
                <w:highlight w:val="none"/>
                <w:u w:val="none" w:color="auto"/>
                <w:lang w:val="en-US" w:eastAsia="zh-CN" w:bidi="ar"/>
              </w:rPr>
              <w:t>属  性</w:t>
            </w:r>
          </w:p>
        </w:tc>
      </w:tr>
      <w:tr w14:paraId="0CC5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A40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76D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【#】地区生产总值增速（</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40F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4.5</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C2D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5B32">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2BE5A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A41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2</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623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【#】人均地区生产总值（万元）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5759">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31</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43A7">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38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133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2158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9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8FE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3</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8E8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【#】全员劳动生产率（万元</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人）</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4D5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51.3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A088">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64</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4518">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49904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C02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4</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3B7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生产性服务业增加值占服务业增加值比重（</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891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53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BF8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65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7C8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07118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4EE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5</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FDC2">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【#】研发经费投入强度（</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378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eastAsia="zh-CN"/>
              </w:rPr>
            </w:pPr>
            <w:r>
              <w:rPr>
                <w:rFonts w:hint="default" w:ascii="Times New Roman" w:hAnsi="Times New Roman" w:eastAsia="宋体" w:cs="Times New Roman"/>
                <w:i w:val="0"/>
                <w:iCs w:val="0"/>
                <w:color w:val="auto"/>
                <w:sz w:val="22"/>
                <w:szCs w:val="22"/>
                <w:highlight w:val="none"/>
                <w:u w:val="none" w:color="auto"/>
                <w:lang w:val="en-US" w:eastAsia="zh-CN"/>
              </w:rPr>
              <w:t>1.2</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59B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F36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3F57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D919">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6</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0AA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【#】每万人高价值发明专利拥有量（件）</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35E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18</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DC4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24</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991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5FF7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49F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7</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5EC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【#】数字经济核心产业增加值占地区生产总值比重（</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318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10.3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E48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11</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F99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01F54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6A96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8</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373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民营经济增加值（亿元）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27A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660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8EF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880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F969">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3E71E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9D3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9</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F11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楼均</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GDP</w:t>
            </w:r>
            <w:r>
              <w:rPr>
                <w:rStyle w:val="29"/>
                <w:rFonts w:hint="default" w:ascii="Times New Roman" w:hAnsi="Times New Roman" w:cs="Times New Roman"/>
                <w:color w:val="auto"/>
                <w:highlight w:val="none"/>
                <w:u w:val="none" w:color="auto"/>
                <w:lang w:val="en-US" w:eastAsia="zh-CN" w:bidi="ar"/>
              </w:rPr>
              <w:t>产出（万元</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平方米）</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2AE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1.3</w:t>
            </w:r>
            <w:r>
              <w:rPr>
                <w:rFonts w:hint="eastAsia" w:ascii="Times New Roman" w:hAnsi="Times New Roman" w:eastAsia="宋体" w:cs="Times New Roman"/>
                <w:i w:val="0"/>
                <w:iCs w:val="0"/>
                <w:color w:val="auto"/>
                <w:kern w:val="0"/>
                <w:sz w:val="22"/>
                <w:szCs w:val="22"/>
                <w:highlight w:val="none"/>
                <w:u w:val="none" w:color="auto"/>
                <w:lang w:val="en-US" w:eastAsia="zh-CN" w:bidi="ar"/>
              </w:rPr>
              <w:t>9</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A6D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1.5</w:t>
            </w:r>
            <w:r>
              <w:rPr>
                <w:rFonts w:hint="eastAsia" w:ascii="Times New Roman" w:hAnsi="Times New Roman" w:eastAsia="宋体" w:cs="Times New Roman"/>
                <w:i w:val="0"/>
                <w:iCs w:val="0"/>
                <w:color w:val="auto"/>
                <w:kern w:val="0"/>
                <w:sz w:val="22"/>
                <w:szCs w:val="22"/>
                <w:highlight w:val="none"/>
                <w:u w:val="none" w:color="auto"/>
                <w:lang w:val="en-US" w:eastAsia="zh-CN" w:bidi="ar"/>
              </w:rPr>
              <w:t>6</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0C5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0782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8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5CE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10</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3742">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eastAsia" w:ascii="Times New Roman" w:hAnsi="Times New Roman" w:cs="Times New Roman"/>
                <w:color w:val="auto"/>
                <w:highlight w:val="none"/>
                <w:u w:val="none" w:color="auto"/>
                <w:lang w:val="en-US" w:eastAsia="zh-CN" w:bidi="ar"/>
              </w:rPr>
              <w:t>货物</w:t>
            </w:r>
            <w:r>
              <w:rPr>
                <w:rStyle w:val="29"/>
                <w:rFonts w:hint="default" w:ascii="Times New Roman" w:hAnsi="Times New Roman" w:cs="Times New Roman"/>
                <w:color w:val="auto"/>
                <w:highlight w:val="none"/>
                <w:u w:val="none" w:color="auto"/>
                <w:lang w:val="en-US" w:eastAsia="zh-CN" w:bidi="ar"/>
              </w:rPr>
              <w:t>贸易进出口总额占全市的比重（</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40D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1.2</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3D0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CEA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571F1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2EA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11</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123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与东盟贸易额（亿元）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367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8.3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9A07">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b/>
                <w:bCs/>
                <w:i w:val="0"/>
                <w:iCs w:val="0"/>
                <w:color w:val="auto"/>
                <w:sz w:val="22"/>
                <w:szCs w:val="22"/>
                <w:highlight w:val="none"/>
                <w:u w:val="none" w:color="auto"/>
              </w:rPr>
            </w:pPr>
            <w:r>
              <w:rPr>
                <w:rFonts w:hint="default" w:ascii="Times New Roman" w:hAnsi="Times New Roman" w:eastAsia="方正仿宋_GBK" w:cs="Times New Roman"/>
                <w:b/>
                <w:bCs/>
                <w:i w:val="0"/>
                <w:iCs w:val="0"/>
                <w:color w:val="auto"/>
                <w:kern w:val="0"/>
                <w:sz w:val="22"/>
                <w:szCs w:val="22"/>
                <w:highlight w:val="none"/>
                <w:u w:val="none" w:color="auto"/>
                <w:lang w:val="en-US" w:eastAsia="zh-CN" w:bidi="ar"/>
              </w:rPr>
              <w:t>〔</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9.62</w:t>
            </w:r>
            <w:r>
              <w:rPr>
                <w:rFonts w:hint="default" w:ascii="Times New Roman" w:hAnsi="Times New Roman" w:eastAsia="方正仿宋_GBK" w:cs="Times New Roman"/>
                <w:b/>
                <w:bCs/>
                <w:i w:val="0"/>
                <w:iCs w:val="0"/>
                <w:color w:val="auto"/>
                <w:kern w:val="0"/>
                <w:sz w:val="22"/>
                <w:szCs w:val="22"/>
                <w:highlight w:val="none"/>
                <w:u w:val="none" w:color="auto"/>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637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612F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2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818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12</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922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【#】亿元地区生产总值安全事故死亡率（人</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亿元）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4218">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eastAsia="zh-CN"/>
              </w:rPr>
            </w:pPr>
            <w:r>
              <w:rPr>
                <w:rFonts w:hint="eastAsia" w:ascii="Times New Roman" w:hAnsi="Times New Roman" w:eastAsia="宋体" w:cs="Times New Roman"/>
                <w:i w:val="0"/>
                <w:iCs w:val="0"/>
                <w:color w:val="auto"/>
                <w:sz w:val="22"/>
                <w:szCs w:val="22"/>
                <w:highlight w:val="none"/>
                <w:u w:val="none" w:color="auto"/>
                <w:lang w:val="en-US" w:eastAsia="zh-CN"/>
              </w:rPr>
              <w:t>0.0028</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D322">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0.0044</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FD9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r w14:paraId="63B1E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7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8E3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13</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87D5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【#】粮食综合保障能力（万吨）</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CF7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≥2.16</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0DA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eastAsia" w:ascii="Times New Roman" w:hAnsi="Times New Roman" w:eastAsia="方正仿宋_GBK" w:cs="Times New Roman"/>
                <w:i w:val="0"/>
                <w:iCs w:val="0"/>
                <w:color w:val="auto"/>
                <w:kern w:val="0"/>
                <w:sz w:val="22"/>
                <w:szCs w:val="22"/>
                <w:highlight w:val="none"/>
                <w:u w:val="none" w:color="auto"/>
                <w:lang w:val="en-US" w:eastAsia="zh-CN" w:bidi="ar"/>
              </w:rPr>
              <w:t>市级下达</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D626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r w14:paraId="56FC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CF6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14</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7E6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固定资产投资总额（亿元）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C71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244.9</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F717">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b/>
                <w:bCs/>
                <w:i w:val="0"/>
                <w:iCs w:val="0"/>
                <w:color w:val="auto"/>
                <w:sz w:val="22"/>
                <w:szCs w:val="22"/>
                <w:highlight w:val="none"/>
                <w:u w:val="none" w:color="auto"/>
              </w:rPr>
            </w:pPr>
            <w:r>
              <w:rPr>
                <w:rFonts w:hint="default" w:ascii="Times New Roman" w:hAnsi="Times New Roman" w:eastAsia="方正仿宋_GBK" w:cs="Times New Roman"/>
                <w:b/>
                <w:bCs/>
                <w:i w:val="0"/>
                <w:iCs w:val="0"/>
                <w:color w:val="auto"/>
                <w:kern w:val="0"/>
                <w:sz w:val="22"/>
                <w:szCs w:val="22"/>
                <w:highlight w:val="none"/>
                <w:u w:val="none" w:color="auto"/>
                <w:lang w:val="en-US" w:eastAsia="zh-CN" w:bidi="ar"/>
              </w:rPr>
              <w:t>〔</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1100</w:t>
            </w:r>
            <w:r>
              <w:rPr>
                <w:rFonts w:hint="default" w:ascii="Times New Roman" w:hAnsi="Times New Roman" w:eastAsia="方正仿宋_GBK" w:cs="Times New Roman"/>
                <w:b/>
                <w:bCs/>
                <w:i w:val="0"/>
                <w:iCs w:val="0"/>
                <w:color w:val="auto"/>
                <w:kern w:val="0"/>
                <w:sz w:val="22"/>
                <w:szCs w:val="22"/>
                <w:highlight w:val="none"/>
                <w:u w:val="none" w:color="auto"/>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202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3CB3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A52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15</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60A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lang w:val="en-US"/>
              </w:rPr>
            </w:pPr>
            <w:r>
              <w:rPr>
                <w:rStyle w:val="29"/>
                <w:rFonts w:hint="default" w:ascii="Times New Roman" w:hAnsi="Times New Roman" w:cs="Times New Roman"/>
                <w:color w:val="auto"/>
                <w:highlight w:val="none"/>
                <w:u w:val="none" w:color="auto"/>
                <w:lang w:val="en-US" w:eastAsia="zh-CN" w:bidi="ar"/>
              </w:rPr>
              <w:t>15分钟高品质生活服务圈覆盖率（%）</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664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30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089F">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233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779D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76"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B9D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kern w:val="0"/>
                <w:sz w:val="22"/>
                <w:szCs w:val="22"/>
                <w:highlight w:val="none"/>
                <w:u w:val="none" w:color="auto"/>
                <w:lang w:val="en-US" w:eastAsia="zh-CN" w:bidi="ar"/>
              </w:rPr>
              <w:t>16</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3AD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Style w:val="29"/>
                <w:rFonts w:hint="default" w:ascii="Times New Roman" w:hAnsi="Times New Roman" w:cs="Times New Roman"/>
                <w:color w:val="auto"/>
                <w:highlight w:val="none"/>
                <w:u w:val="none" w:color="auto"/>
                <w:lang w:val="en-US" w:eastAsia="zh-CN" w:bidi="ar"/>
              </w:rPr>
              <w:t>【#】城镇调查失业率（</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7AD1">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sz w:val="22"/>
                <w:szCs w:val="22"/>
                <w:highlight w:val="none"/>
                <w:u w:val="none" w:color="auto"/>
                <w:lang w:val="en-US" w:eastAsia="zh-CN"/>
              </w:rPr>
              <w:t>5.3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0F15">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sz w:val="22"/>
                <w:szCs w:val="22"/>
                <w:highlight w:val="none"/>
                <w:u w:val="none" w:color="auto"/>
                <w:lang w:val="en-US" w:eastAsia="zh-CN"/>
              </w:rPr>
              <w:t>5.3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1EB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kern w:val="2"/>
                <w:sz w:val="22"/>
                <w:szCs w:val="22"/>
                <w:highlight w:val="none"/>
                <w:u w:val="none" w:color="auto"/>
                <w:lang w:val="en-US" w:eastAsia="zh-CN" w:bidi="ar-SA"/>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5F750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76"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568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kern w:val="0"/>
                <w:sz w:val="22"/>
                <w:szCs w:val="22"/>
                <w:highlight w:val="none"/>
                <w:u w:val="none" w:color="auto"/>
                <w:lang w:val="en-US" w:eastAsia="zh-CN" w:bidi="ar"/>
              </w:rPr>
              <w:t>17</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1EF0">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kern w:val="2"/>
                <w:sz w:val="22"/>
                <w:szCs w:val="22"/>
                <w:highlight w:val="none"/>
                <w:u w:val="none" w:color="auto"/>
                <w:lang w:val="en-US" w:eastAsia="zh-CN" w:bidi="ar-SA"/>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Fonts w:hint="eastAsia" w:ascii="Times New Roman" w:hAnsi="Times New Roman" w:eastAsia="方正仿宋_GBK" w:cs="Times New Roman"/>
                <w:i w:val="0"/>
                <w:iCs w:val="0"/>
                <w:color w:val="auto"/>
                <w:kern w:val="0"/>
                <w:sz w:val="22"/>
                <w:szCs w:val="22"/>
                <w:highlight w:val="none"/>
                <w:u w:val="none" w:color="auto"/>
                <w:lang w:val="en-US" w:eastAsia="zh-CN" w:bidi="ar"/>
              </w:rPr>
              <w:t>城镇</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居民人均可支配收入增速（%）</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48CC">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宋体"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sz w:val="21"/>
                <w:szCs w:val="21"/>
                <w:highlight w:val="none"/>
                <w:u w:val="none" w:color="auto"/>
                <w:lang w:val="en-US" w:eastAsia="zh-CN"/>
              </w:rPr>
              <w:t>4.5</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52C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kern w:val="2"/>
                <w:sz w:val="22"/>
                <w:szCs w:val="22"/>
                <w:highlight w:val="none"/>
                <w:u w:val="none" w:color="auto"/>
                <w:lang w:val="en-US" w:eastAsia="zh-CN" w:bidi="ar-SA"/>
              </w:rPr>
            </w:pPr>
            <w:r>
              <w:rPr>
                <w:rFonts w:hint="default" w:ascii="Times New Roman" w:hAnsi="Times New Roman" w:eastAsia="宋体" w:cs="Times New Roman"/>
                <w:i w:val="0"/>
                <w:iCs w:val="0"/>
                <w:color w:val="auto"/>
                <w:kern w:val="0"/>
                <w:sz w:val="22"/>
                <w:szCs w:val="22"/>
                <w:highlight w:val="none"/>
                <w:u w:val="none" w:color="auto"/>
                <w:lang w:val="en-US" w:eastAsia="zh-CN" w:bidi="ar"/>
              </w:rPr>
              <w:t>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13A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kern w:val="2"/>
                <w:sz w:val="22"/>
                <w:szCs w:val="22"/>
                <w:highlight w:val="none"/>
                <w:u w:val="none" w:color="auto"/>
                <w:lang w:val="en-US" w:eastAsia="zh-CN" w:bidi="ar-SA"/>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3F73F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DD67">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18</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7E9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【#】人均预期寿命（岁）</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5BC5">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82.</w:t>
            </w:r>
            <w:r>
              <w:rPr>
                <w:rFonts w:hint="eastAsia" w:ascii="Times New Roman" w:hAnsi="Times New Roman" w:eastAsia="宋体" w:cs="Times New Roman"/>
                <w:i w:val="0"/>
                <w:iCs w:val="0"/>
                <w:color w:val="auto"/>
                <w:kern w:val="0"/>
                <w:sz w:val="22"/>
                <w:szCs w:val="22"/>
                <w:highlight w:val="none"/>
                <w:u w:val="none" w:color="auto"/>
                <w:lang w:val="en-US" w:eastAsia="zh-CN" w:bidi="ar"/>
              </w:rPr>
              <w:t>03</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1DF7">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82.63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FA3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4600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07"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031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19</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50A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【#】常住人口平均受教育年限（年）</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855B">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宋体" w:cs="Times New Roman"/>
                <w:i w:val="0"/>
                <w:iCs w:val="0"/>
                <w:color w:val="auto"/>
                <w:sz w:val="22"/>
                <w:szCs w:val="22"/>
                <w:highlight w:val="none"/>
                <w:u w:val="none" w:color="auto"/>
                <w:lang w:val="en-US" w:eastAsia="zh-CN"/>
              </w:rPr>
            </w:pPr>
            <w:r>
              <w:rPr>
                <w:rFonts w:hint="default" w:ascii="Times New Roman" w:hAnsi="Times New Roman" w:eastAsia="宋体" w:cs="Times New Roman"/>
                <w:i w:val="0"/>
                <w:iCs w:val="0"/>
                <w:color w:val="auto"/>
                <w:sz w:val="22"/>
                <w:szCs w:val="22"/>
                <w:highlight w:val="none"/>
                <w:u w:val="none" w:color="auto"/>
                <w:lang w:val="en-US" w:eastAsia="zh-CN"/>
              </w:rPr>
              <w:t>13.49</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D78E">
            <w:pPr>
              <w:keepNext w:val="0"/>
              <w:keepLines w:val="0"/>
              <w:pageBreakBefore w:val="0"/>
              <w:widowControl/>
              <w:kinsoku/>
              <w:wordWrap/>
              <w:overflowPunct/>
              <w:topLinePunct w:val="0"/>
              <w:autoSpaceDE/>
              <w:autoSpaceDN/>
              <w:bidi w:val="0"/>
              <w:adjustRightInd/>
              <w:snapToGrid w:val="0"/>
              <w:spacing w:line="300" w:lineRule="exact"/>
              <w:jc w:val="center"/>
              <w:rPr>
                <w:rFonts w:hint="default" w:ascii="Times New Roman" w:hAnsi="Times New Roman" w:eastAsia="宋体" w:cs="Times New Roman"/>
                <w:i w:val="0"/>
                <w:iCs w:val="0"/>
                <w:color w:val="auto"/>
                <w:sz w:val="22"/>
                <w:szCs w:val="22"/>
                <w:highlight w:val="none"/>
                <w:u w:val="none" w:color="auto"/>
                <w:lang w:val="en-US" w:eastAsia="zh-CN"/>
              </w:rPr>
            </w:pPr>
            <w:r>
              <w:rPr>
                <w:rFonts w:hint="default" w:ascii="Times New Roman" w:hAnsi="Times New Roman" w:eastAsia="宋体" w:cs="Times New Roman"/>
                <w:i w:val="0"/>
                <w:iCs w:val="0"/>
                <w:color w:val="auto"/>
                <w:sz w:val="22"/>
                <w:szCs w:val="22"/>
                <w:highlight w:val="none"/>
                <w:u w:val="none" w:color="auto"/>
                <w:lang w:val="en-US" w:eastAsia="zh-CN"/>
              </w:rPr>
              <w:t>13.74</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F71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r w14:paraId="7D19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8"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F75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20</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25C0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【#】养老机构护理型养老床位占比（</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F778">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60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0D62">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90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49C0">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01489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29"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97BF">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kern w:val="0"/>
                <w:sz w:val="22"/>
                <w:szCs w:val="22"/>
                <w:highlight w:val="none"/>
                <w:u w:val="none" w:color="auto"/>
                <w:lang w:val="en-US" w:eastAsia="zh-CN" w:bidi="ar"/>
              </w:rPr>
            </w:pPr>
            <w:r>
              <w:rPr>
                <w:rFonts w:hint="eastAsia" w:ascii="Times New Roman" w:hAnsi="Times New Roman" w:eastAsia="宋体" w:cs="Times New Roman"/>
                <w:i w:val="0"/>
                <w:iCs w:val="0"/>
                <w:color w:val="auto"/>
                <w:kern w:val="0"/>
                <w:sz w:val="22"/>
                <w:szCs w:val="22"/>
                <w:highlight w:val="none"/>
                <w:u w:val="none" w:color="auto"/>
                <w:lang w:val="en-US" w:eastAsia="zh-CN" w:bidi="ar"/>
              </w:rPr>
              <w:t>21</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9C3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Style w:val="29"/>
                <w:rFonts w:hint="default" w:ascii="Times New Roman" w:hAnsi="Times New Roman" w:cs="Times New Roman"/>
                <w:color w:val="auto"/>
                <w:highlight w:val="none"/>
                <w:u w:val="none" w:color="auto"/>
                <w:lang w:val="en-US" w:eastAsia="zh-CN" w:bidi="ar"/>
              </w:rPr>
            </w:pPr>
            <w:r>
              <w:rPr>
                <w:rStyle w:val="29"/>
                <w:rFonts w:hint="default" w:ascii="Times New Roman" w:hAnsi="Times New Roman" w:cs="Times New Roman"/>
                <w:color w:val="auto"/>
                <w:highlight w:val="none"/>
                <w:u w:val="none" w:color="auto"/>
                <w:lang w:val="en-US" w:eastAsia="zh-CN" w:bidi="ar"/>
              </w:rPr>
              <w:t>【#】</w:t>
            </w:r>
            <w:r>
              <w:rPr>
                <w:rStyle w:val="29"/>
                <w:rFonts w:hint="eastAsia" w:ascii="Times New Roman" w:hAnsi="Times New Roman" w:cs="Times New Roman"/>
                <w:color w:val="auto"/>
                <w:highlight w:val="none"/>
                <w:u w:val="none" w:color="auto"/>
                <w:lang w:val="en-US" w:eastAsia="zh-CN" w:bidi="ar"/>
              </w:rPr>
              <w:t>3岁以下婴幼儿入托率（%）</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CEC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cs="Times New Roman"/>
                <w:color w:val="auto"/>
                <w:highlight w:val="none"/>
                <w:u w:val="none" w:color="auto"/>
                <w:lang w:val="en-US" w:eastAsia="zh-CN" w:bidi="ar"/>
              </w:rPr>
            </w:pPr>
            <w:r>
              <w:rPr>
                <w:rStyle w:val="29"/>
                <w:rFonts w:hint="eastAsia" w:ascii="Times New Roman" w:hAnsi="Times New Roman" w:cs="Times New Roman"/>
                <w:color w:val="auto"/>
                <w:highlight w:val="none"/>
                <w:u w:val="none" w:color="auto"/>
                <w:lang w:val="en-US" w:eastAsia="zh-CN" w:bidi="ar"/>
              </w:rPr>
              <w:t>2.75</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DECF">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cs="Times New Roman"/>
                <w:color w:val="auto"/>
                <w:highlight w:val="none"/>
                <w:u w:val="none" w:color="auto"/>
                <w:lang w:val="en-US" w:eastAsia="zh-CN" w:bidi="ar"/>
              </w:rPr>
            </w:pPr>
            <w:r>
              <w:rPr>
                <w:rStyle w:val="29"/>
                <w:rFonts w:hint="eastAsia" w:ascii="Times New Roman" w:hAnsi="Times New Roman" w:cs="Times New Roman"/>
                <w:color w:val="auto"/>
                <w:highlight w:val="none"/>
                <w:u w:val="none" w:color="auto"/>
                <w:lang w:val="en-US" w:eastAsia="zh-CN" w:bidi="ar"/>
              </w:rPr>
              <w:t>7.5</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E76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cs="Times New Roman"/>
                <w:color w:val="auto"/>
                <w:highlight w:val="none"/>
                <w:u w:val="none" w:color="auto"/>
                <w:lang w:val="en-US" w:eastAsia="zh-CN" w:bidi="ar"/>
              </w:rPr>
            </w:pPr>
            <w:r>
              <w:rPr>
                <w:rStyle w:val="29"/>
                <w:rFonts w:hint="default" w:ascii="Times New Roman" w:hAnsi="Times New Roman" w:cs="Times New Roman"/>
                <w:color w:val="auto"/>
                <w:highlight w:val="none"/>
                <w:u w:val="none" w:color="auto"/>
                <w:lang w:val="en-US" w:eastAsia="zh-CN" w:bidi="ar"/>
              </w:rPr>
              <w:t>预期性</w:t>
            </w:r>
          </w:p>
        </w:tc>
      </w:tr>
      <w:tr w14:paraId="4C8AE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8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F35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宋体" w:cs="Times New Roman"/>
                <w:i w:val="0"/>
                <w:iCs w:val="0"/>
                <w:color w:val="auto"/>
                <w:sz w:val="22"/>
                <w:szCs w:val="22"/>
                <w:highlight w:val="none"/>
                <w:u w:val="none" w:color="auto"/>
                <w:lang w:val="en-US" w:bidi="ar"/>
              </w:rPr>
            </w:pPr>
            <w:r>
              <w:rPr>
                <w:rStyle w:val="29"/>
                <w:rFonts w:hint="eastAsia" w:ascii="Times New Roman" w:hAnsi="Times New Roman" w:eastAsia="宋体" w:cs="Times New Roman"/>
                <w:i w:val="0"/>
                <w:iCs w:val="0"/>
                <w:color w:val="auto"/>
                <w:kern w:val="0"/>
                <w:sz w:val="22"/>
                <w:szCs w:val="22"/>
                <w:highlight w:val="none"/>
                <w:u w:val="none" w:color="auto"/>
                <w:lang w:val="en-US" w:eastAsia="zh-CN" w:bidi="ar"/>
              </w:rPr>
              <w:t>22</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764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Style w:val="29"/>
                <w:rFonts w:hint="default" w:ascii="Times New Roman" w:hAnsi="Times New Roman" w:eastAsia="方正仿宋_GBK" w:cs="Times New Roman"/>
                <w:i w:val="0"/>
                <w:iCs w:val="0"/>
                <w:color w:val="auto"/>
                <w:sz w:val="22"/>
                <w:szCs w:val="22"/>
                <w:highlight w:val="none"/>
                <w:u w:val="none" w:color="auto"/>
                <w:lang w:bidi="ar"/>
              </w:rPr>
            </w:pPr>
            <w:r>
              <w:rPr>
                <w:rStyle w:val="29"/>
                <w:rFonts w:hint="default" w:ascii="Times New Roman" w:hAnsi="Times New Roman" w:cs="Times New Roman"/>
                <w:color w:val="auto"/>
                <w:highlight w:val="none"/>
                <w:u w:val="none" w:color="auto"/>
                <w:lang w:bidi="ar"/>
              </w:rPr>
              <w:t>文化产业增加值占GDP比重（%）</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C6D3">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宋体" w:cs="Times New Roman"/>
                <w:i w:val="0"/>
                <w:iCs w:val="0"/>
                <w:color w:val="auto"/>
                <w:sz w:val="22"/>
                <w:szCs w:val="22"/>
                <w:highlight w:val="none"/>
                <w:u w:val="none" w:color="auto"/>
                <w:lang w:bidi="ar"/>
              </w:rPr>
            </w:pPr>
            <w:r>
              <w:rPr>
                <w:rStyle w:val="29"/>
                <w:rFonts w:hint="default" w:ascii="Times New Roman" w:hAnsi="Times New Roman" w:eastAsia="宋体" w:cs="Times New Roman"/>
                <w:i w:val="0"/>
                <w:iCs w:val="0"/>
                <w:color w:val="auto"/>
                <w:kern w:val="0"/>
                <w:sz w:val="22"/>
                <w:szCs w:val="22"/>
                <w:highlight w:val="none"/>
                <w:u w:val="none" w:color="auto"/>
                <w:lang w:val="en-US" w:eastAsia="zh-CN" w:bidi="ar"/>
              </w:rPr>
              <w:t>6.</w:t>
            </w:r>
            <w:r>
              <w:rPr>
                <w:rStyle w:val="29"/>
                <w:rFonts w:hint="eastAsia" w:ascii="Times New Roman" w:hAnsi="Times New Roman" w:eastAsia="宋体" w:cs="Times New Roman"/>
                <w:i w:val="0"/>
                <w:iCs w:val="0"/>
                <w:color w:val="auto"/>
                <w:kern w:val="0"/>
                <w:sz w:val="22"/>
                <w:szCs w:val="22"/>
                <w:highlight w:val="none"/>
                <w:u w:val="none" w:color="auto"/>
                <w:lang w:val="en-US" w:eastAsia="zh-CN" w:bidi="ar"/>
              </w:rPr>
              <w:t>4</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DBD4">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宋体" w:cs="Times New Roman"/>
                <w:i w:val="0"/>
                <w:iCs w:val="0"/>
                <w:color w:val="auto"/>
                <w:sz w:val="22"/>
                <w:szCs w:val="22"/>
                <w:highlight w:val="none"/>
                <w:u w:val="none" w:color="auto"/>
                <w:lang w:bidi="ar"/>
              </w:rPr>
            </w:pPr>
            <w:r>
              <w:rPr>
                <w:rStyle w:val="29"/>
                <w:rFonts w:hint="default" w:ascii="Times New Roman" w:hAnsi="Times New Roman" w:eastAsia="宋体" w:cs="Times New Roman"/>
                <w:i w:val="0"/>
                <w:iCs w:val="0"/>
                <w:color w:val="auto"/>
                <w:kern w:val="0"/>
                <w:sz w:val="22"/>
                <w:szCs w:val="22"/>
                <w:highlight w:val="none"/>
                <w:u w:val="none" w:color="auto"/>
                <w:lang w:val="en-US" w:eastAsia="zh-CN" w:bidi="ar"/>
              </w:rPr>
              <w:t>7.3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99FF">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i w:val="0"/>
                <w:iCs w:val="0"/>
                <w:color w:val="auto"/>
                <w:sz w:val="22"/>
                <w:szCs w:val="22"/>
                <w:highlight w:val="none"/>
                <w:u w:val="none" w:color="auto"/>
                <w:lang w:bidi="ar"/>
              </w:rPr>
            </w:pPr>
            <w:r>
              <w:rPr>
                <w:rStyle w:val="29"/>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22BC0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8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15F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cs="Times New Roman"/>
                <w:color w:val="auto"/>
                <w:highlight w:val="none"/>
                <w:u w:val="none" w:color="auto"/>
                <w:lang w:val="en-US"/>
              </w:rPr>
            </w:pPr>
            <w:r>
              <w:rPr>
                <w:rStyle w:val="29"/>
                <w:rFonts w:hint="eastAsia" w:ascii="Times New Roman" w:hAnsi="Times New Roman" w:eastAsia="方正仿宋_GBK" w:cs="Times New Roman"/>
                <w:color w:val="auto"/>
                <w:highlight w:val="none"/>
                <w:u w:val="none" w:color="auto"/>
                <w:lang w:val="en-US" w:eastAsia="zh-CN"/>
              </w:rPr>
              <w:t>23</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D26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Style w:val="29"/>
                <w:rFonts w:hint="default" w:ascii="Times New Roman" w:hAnsi="Times New Roman" w:eastAsia="方正仿宋_GBK" w:cs="Times New Roman"/>
                <w:color w:val="auto"/>
                <w:highlight w:val="none"/>
                <w:u w:val="none" w:color="auto"/>
                <w:lang w:bidi="ar"/>
              </w:rPr>
            </w:pPr>
            <w:r>
              <w:rPr>
                <w:rStyle w:val="29"/>
                <w:rFonts w:hint="default" w:ascii="Times New Roman" w:hAnsi="Times New Roman" w:cs="Times New Roman"/>
                <w:color w:val="auto"/>
                <w:highlight w:val="none"/>
                <w:u w:val="none" w:color="auto"/>
                <w:lang w:bidi="ar"/>
              </w:rPr>
              <w:t>旅游产业增加值占GDP比重（%）</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39F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color w:val="auto"/>
                <w:highlight w:val="none"/>
                <w:u w:val="none" w:color="auto"/>
              </w:rPr>
            </w:pPr>
            <w:r>
              <w:rPr>
                <w:rStyle w:val="29"/>
                <w:rFonts w:hint="default" w:ascii="Times New Roman" w:hAnsi="Times New Roman" w:eastAsia="方正仿宋_GBK" w:cs="Times New Roman"/>
                <w:color w:val="auto"/>
                <w:highlight w:val="none"/>
                <w:u w:val="none" w:color="auto"/>
                <w:lang w:val="en-US" w:eastAsia="zh-CN"/>
              </w:rPr>
              <w:t>8.8</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898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color w:val="auto"/>
                <w:highlight w:val="none"/>
                <w:u w:val="none" w:color="auto"/>
              </w:rPr>
            </w:pPr>
            <w:r>
              <w:rPr>
                <w:rStyle w:val="29"/>
                <w:rFonts w:hint="default" w:ascii="Times New Roman" w:hAnsi="Times New Roman" w:eastAsia="方正仿宋_GBK" w:cs="Times New Roman"/>
                <w:color w:val="auto"/>
                <w:highlight w:val="none"/>
                <w:u w:val="none" w:color="auto"/>
                <w:lang w:val="en-US" w:eastAsia="zh-CN"/>
              </w:rPr>
              <w:t>9.3</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80E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cs="Times New Roman"/>
                <w:color w:val="auto"/>
                <w:highlight w:val="none"/>
                <w:u w:val="none" w:color="auto"/>
              </w:rPr>
            </w:pPr>
            <w:r>
              <w:rPr>
                <w:rStyle w:val="29"/>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6C18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58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919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color w:val="auto"/>
                <w:highlight w:val="none"/>
                <w:u w:val="none" w:color="auto"/>
                <w:lang w:val="en-US" w:eastAsia="zh-CN"/>
              </w:rPr>
            </w:pPr>
            <w:r>
              <w:rPr>
                <w:rStyle w:val="29"/>
                <w:rFonts w:hint="eastAsia" w:ascii="Times New Roman" w:hAnsi="Times New Roman" w:eastAsia="方正仿宋_GBK" w:cs="Times New Roman"/>
                <w:color w:val="auto"/>
                <w:highlight w:val="none"/>
                <w:u w:val="none" w:color="auto"/>
                <w:lang w:val="en-US" w:eastAsia="zh-CN"/>
              </w:rPr>
              <w:t>24</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E8C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Style w:val="29"/>
                <w:rFonts w:hint="default" w:ascii="Times New Roman" w:hAnsi="Times New Roman" w:eastAsia="方正仿宋_GBK" w:cs="Times New Roman"/>
                <w:color w:val="auto"/>
                <w:kern w:val="0"/>
                <w:sz w:val="21"/>
                <w:szCs w:val="21"/>
                <w:highlight w:val="none"/>
                <w:u w:val="none" w:color="auto"/>
                <w:lang w:val="en-US" w:eastAsia="zh-CN" w:bidi="ar"/>
              </w:rPr>
            </w:pPr>
            <w:r>
              <w:rPr>
                <w:rStyle w:val="29"/>
                <w:rFonts w:hint="default" w:ascii="Times New Roman" w:hAnsi="Times New Roman" w:eastAsia="方正仿宋_GBK" w:cs="Times New Roman"/>
                <w:color w:val="auto"/>
                <w:kern w:val="0"/>
                <w:sz w:val="21"/>
                <w:szCs w:val="21"/>
                <w:highlight w:val="none"/>
                <w:u w:val="none" w:color="auto"/>
                <w:lang w:val="en-US" w:eastAsia="zh-CN" w:bidi="ar"/>
              </w:rPr>
              <w:t>文化保护单位开放利用率（%）</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FA7D">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color w:val="auto"/>
                <w:highlight w:val="none"/>
                <w:u w:val="none" w:color="auto"/>
                <w:lang w:val="en-US" w:eastAsia="zh-CN"/>
              </w:rPr>
            </w:pPr>
            <w:r>
              <w:rPr>
                <w:rStyle w:val="29"/>
                <w:rFonts w:hint="default" w:ascii="Times New Roman" w:hAnsi="Times New Roman" w:eastAsia="方正仿宋_GBK" w:cs="Times New Roman"/>
                <w:color w:val="auto"/>
                <w:highlight w:val="none"/>
                <w:u w:val="none" w:color="auto"/>
                <w:lang w:val="en-US" w:eastAsia="zh-CN"/>
              </w:rPr>
              <w:t>95</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24E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color w:val="auto"/>
                <w:highlight w:val="none"/>
                <w:u w:val="none" w:color="auto"/>
                <w:lang w:val="en-US" w:eastAsia="zh-CN"/>
              </w:rPr>
            </w:pPr>
            <w:r>
              <w:rPr>
                <w:rStyle w:val="29"/>
                <w:rFonts w:hint="default" w:ascii="Times New Roman" w:hAnsi="Times New Roman" w:eastAsia="方正仿宋_GBK" w:cs="Times New Roman"/>
                <w:color w:val="auto"/>
                <w:highlight w:val="none"/>
                <w:u w:val="none" w:color="auto"/>
                <w:lang w:val="en-US" w:eastAsia="zh-CN"/>
              </w:rPr>
              <w:t>98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F35E">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Style w:val="29"/>
                <w:rFonts w:hint="default" w:ascii="Times New Roman" w:hAnsi="Times New Roman" w:eastAsia="方正仿宋_GBK" w:cs="Times New Roman"/>
                <w:i w:val="0"/>
                <w:iCs w:val="0"/>
                <w:color w:val="auto"/>
                <w:kern w:val="0"/>
                <w:sz w:val="22"/>
                <w:szCs w:val="22"/>
                <w:highlight w:val="none"/>
                <w:u w:val="none" w:color="auto"/>
                <w:lang w:val="en-US" w:eastAsia="zh-CN" w:bidi="ar"/>
              </w:rPr>
            </w:pPr>
            <w:r>
              <w:rPr>
                <w:rStyle w:val="29"/>
                <w:rFonts w:hint="default" w:ascii="Times New Roman" w:hAnsi="Times New Roman" w:eastAsia="方正仿宋_GBK" w:cs="Times New Roman"/>
                <w:i w:val="0"/>
                <w:iCs w:val="0"/>
                <w:color w:val="auto"/>
                <w:kern w:val="0"/>
                <w:sz w:val="22"/>
                <w:szCs w:val="22"/>
                <w:highlight w:val="none"/>
                <w:u w:val="none" w:color="auto"/>
                <w:lang w:val="en-US" w:eastAsia="zh-CN" w:bidi="ar"/>
              </w:rPr>
              <w:t>预期性</w:t>
            </w:r>
          </w:p>
        </w:tc>
      </w:tr>
      <w:tr w14:paraId="022C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4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927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25</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E72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【#】单位地区生产总值二氧化碳排放降低（</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A6D9">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color w:val="auto"/>
                <w:kern w:val="0"/>
                <w:sz w:val="22"/>
                <w:szCs w:val="22"/>
                <w:highlight w:val="none"/>
                <w:u w:val="none" w:color="auto"/>
                <w:lang w:bidi="ar"/>
              </w:rPr>
              <w:t>—</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60B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lang w:val="en-US"/>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市级下达</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338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r w14:paraId="7D211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60C6">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26</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A75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【#】地表水达到或好于</w:t>
            </w:r>
            <w:r>
              <w:rPr>
                <w:rFonts w:hint="default" w:ascii="Times New Roman" w:hAnsi="Times New Roman" w:eastAsia="方正仿宋_GBK" w:cs="Times New Roman"/>
                <w:color w:val="auto"/>
                <w:kern w:val="0"/>
                <w:sz w:val="22"/>
                <w:szCs w:val="22"/>
                <w:highlight w:val="none"/>
                <w:u w:val="none" w:color="auto"/>
                <w:lang w:bidi="ar"/>
              </w:rPr>
              <w:t>Ⅱ</w:t>
            </w:r>
            <w:r>
              <w:rPr>
                <w:rStyle w:val="29"/>
                <w:rFonts w:hint="default" w:ascii="Times New Roman" w:hAnsi="Times New Roman" w:cs="Times New Roman"/>
                <w:color w:val="auto"/>
                <w:highlight w:val="none"/>
                <w:u w:val="none" w:color="auto"/>
                <w:lang w:val="en-US" w:eastAsia="zh-CN" w:bidi="ar"/>
              </w:rPr>
              <w:t>类比例（</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17F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416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rPr>
            </w:pPr>
            <w:r>
              <w:rPr>
                <w:rFonts w:hint="default" w:ascii="Times New Roman" w:hAnsi="Times New Roman" w:eastAsia="宋体" w:cs="Times New Roman"/>
                <w:i w:val="0"/>
                <w:iCs w:val="0"/>
                <w:color w:val="auto"/>
                <w:kern w:val="0"/>
                <w:sz w:val="22"/>
                <w:szCs w:val="22"/>
                <w:highlight w:val="none"/>
                <w:u w:val="none" w:color="auto"/>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3C3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r w14:paraId="5016F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600" w:hRule="atLeast"/>
          <w:jc w:val="center"/>
        </w:trPr>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73D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eastAsia" w:ascii="Times New Roman" w:hAnsi="Times New Roman" w:eastAsia="宋体" w:cs="Times New Roman"/>
                <w:i w:val="0"/>
                <w:iCs w:val="0"/>
                <w:color w:val="auto"/>
                <w:kern w:val="0"/>
                <w:sz w:val="22"/>
                <w:szCs w:val="22"/>
                <w:highlight w:val="none"/>
                <w:u w:val="none" w:color="auto"/>
                <w:lang w:val="en-US" w:eastAsia="zh-CN" w:bidi="ar"/>
              </w:rPr>
              <w:t>27</w:t>
            </w:r>
          </w:p>
        </w:tc>
        <w:tc>
          <w:tcPr>
            <w:tcW w:w="4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777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center"/>
              <w:rPr>
                <w:rFonts w:hint="default" w:ascii="Times New Roman" w:hAnsi="Times New Roman" w:eastAsia="方正仿宋_GBK" w:cs="Times New Roman"/>
                <w:i w:val="0"/>
                <w:iCs w:val="0"/>
                <w:color w:val="auto"/>
                <w:sz w:val="22"/>
                <w:szCs w:val="22"/>
                <w:highlight w:val="none"/>
                <w:u w:val="none" w:color="auto"/>
              </w:rPr>
            </w:pPr>
            <w:r>
              <w:rPr>
                <w:rStyle w:val="29"/>
                <w:rFonts w:hint="default" w:ascii="Times New Roman" w:hAnsi="Times New Roman" w:cs="Times New Roman"/>
                <w:color w:val="auto"/>
                <w:highlight w:val="none"/>
                <w:u w:val="none" w:color="auto"/>
                <w:lang w:val="en-US" w:eastAsia="zh-CN" w:bidi="ar"/>
              </w:rPr>
              <w:t>【#】细颗粒物（</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PM2.5</w:t>
            </w:r>
            <w:r>
              <w:rPr>
                <w:rStyle w:val="29"/>
                <w:rFonts w:hint="default" w:ascii="Times New Roman" w:hAnsi="Times New Roman" w:cs="Times New Roman"/>
                <w:color w:val="auto"/>
                <w:highlight w:val="none"/>
                <w:u w:val="none" w:color="auto"/>
                <w:lang w:val="en-US" w:eastAsia="zh-CN" w:bidi="ar"/>
              </w:rPr>
              <w:t>）浓度（微克</w:t>
            </w:r>
            <w:r>
              <w:rPr>
                <w:rFonts w:hint="default" w:ascii="Times New Roman" w:hAnsi="Times New Roman" w:eastAsia="方正仿宋_GBK" w:cs="Times New Roman"/>
                <w:i w:val="0"/>
                <w:iCs w:val="0"/>
                <w:color w:val="auto"/>
                <w:kern w:val="0"/>
                <w:sz w:val="22"/>
                <w:szCs w:val="22"/>
                <w:highlight w:val="none"/>
                <w:u w:val="none" w:color="auto"/>
                <w:lang w:val="en-US" w:eastAsia="zh-CN" w:bidi="ar"/>
              </w:rPr>
              <w:t>/</w:t>
            </w:r>
            <w:r>
              <w:rPr>
                <w:rStyle w:val="29"/>
                <w:rFonts w:hint="default" w:ascii="Times New Roman" w:hAnsi="Times New Roman" w:cs="Times New Roman"/>
                <w:color w:val="auto"/>
                <w:highlight w:val="none"/>
                <w:u w:val="none" w:color="auto"/>
                <w:lang w:val="en-US" w:eastAsia="zh-CN" w:bidi="ar"/>
              </w:rPr>
              <w:t>立方米）</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B348">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宋体" w:cs="Times New Roman"/>
                <w:i w:val="0"/>
                <w:iCs w:val="0"/>
                <w:color w:val="auto"/>
                <w:kern w:val="0"/>
                <w:sz w:val="22"/>
                <w:szCs w:val="22"/>
                <w:highlight w:val="none"/>
                <w:u w:val="none" w:color="auto"/>
                <w:lang w:val="en-US" w:eastAsia="zh-CN" w:bidi="ar"/>
              </w:rPr>
              <w:t>31.7</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6E1C">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宋体" w:cs="Times New Roman"/>
                <w:i w:val="0"/>
                <w:iCs w:val="0"/>
                <w:color w:val="auto"/>
                <w:sz w:val="22"/>
                <w:szCs w:val="22"/>
                <w:highlight w:val="none"/>
                <w:u w:val="none" w:color="auto"/>
                <w:lang w:val="en-US"/>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市级下达</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BC92">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仿宋_GBK" w:cs="Times New Roman"/>
                <w:i w:val="0"/>
                <w:iCs w:val="0"/>
                <w:color w:val="auto"/>
                <w:sz w:val="22"/>
                <w:szCs w:val="22"/>
                <w:highlight w:val="none"/>
                <w:u w:val="none" w:color="auto"/>
              </w:rPr>
            </w:pPr>
            <w:r>
              <w:rPr>
                <w:rFonts w:hint="default" w:ascii="Times New Roman" w:hAnsi="Times New Roman" w:eastAsia="方正仿宋_GBK" w:cs="Times New Roman"/>
                <w:i w:val="0"/>
                <w:iCs w:val="0"/>
                <w:color w:val="auto"/>
                <w:kern w:val="0"/>
                <w:sz w:val="22"/>
                <w:szCs w:val="22"/>
                <w:highlight w:val="none"/>
                <w:u w:val="none" w:color="auto"/>
                <w:lang w:val="en-US" w:eastAsia="zh-CN" w:bidi="ar"/>
              </w:rPr>
              <w:t>约束性</w:t>
            </w:r>
          </w:p>
        </w:tc>
      </w:tr>
    </w:tbl>
    <w:p w14:paraId="36ACD7A3">
      <w:pPr>
        <w:keepNext w:val="0"/>
        <w:keepLines w:val="0"/>
        <w:pageBreakBefore w:val="0"/>
        <w:widowControl/>
        <w:kinsoku/>
        <w:wordWrap/>
        <w:overflowPunct/>
        <w:topLinePunct w:val="0"/>
        <w:autoSpaceDE/>
        <w:autoSpaceDN/>
        <w:bidi w:val="0"/>
        <w:adjustRightInd/>
        <w:snapToGrid/>
        <w:spacing w:line="300" w:lineRule="exact"/>
        <w:ind w:firstLine="360" w:firstLineChars="200"/>
        <w:jc w:val="both"/>
        <w:textAlignment w:val="center"/>
        <w:outlineLvl w:val="9"/>
        <w:rPr>
          <w:rFonts w:hint="default" w:ascii="Times New Roman" w:hAnsi="Times New Roman" w:eastAsia="方正仿宋_GBK" w:cs="Times New Roman"/>
          <w:color w:val="auto"/>
          <w:sz w:val="18"/>
          <w:szCs w:val="18"/>
          <w:highlight w:val="none"/>
          <w:u w:val="none" w:color="auto"/>
          <w:lang w:val="en-US" w:eastAsia="zh-CN"/>
        </w:rPr>
      </w:pPr>
      <w:r>
        <w:rPr>
          <w:rFonts w:hint="default" w:ascii="Times New Roman" w:hAnsi="Times New Roman" w:eastAsia="方正仿宋_GBK" w:cs="Times New Roman"/>
          <w:color w:val="auto"/>
          <w:sz w:val="18"/>
          <w:szCs w:val="18"/>
          <w:highlight w:val="none"/>
          <w:u w:val="none" w:color="auto"/>
          <w:lang w:val="en-US" w:eastAsia="zh-CN"/>
        </w:rPr>
        <w:t>注：【#】指标为承接市级指标；</w:t>
      </w:r>
      <w:r>
        <w:rPr>
          <w:rFonts w:hint="eastAsia" w:ascii="Times New Roman" w:hAnsi="Times New Roman" w:eastAsia="方正仿宋_GBK" w:cs="方正仿宋_GBK"/>
          <w:color w:val="auto"/>
          <w:sz w:val="18"/>
          <w:szCs w:val="18"/>
          <w:highlight w:val="none"/>
          <w:u w:val="none" w:color="auto"/>
          <w:lang w:val="en-US" w:eastAsia="zh-CN"/>
        </w:rPr>
        <w:t>“</w:t>
      </w:r>
      <w:r>
        <w:rPr>
          <w:rFonts w:hint="default" w:ascii="Times New Roman" w:hAnsi="Times New Roman" w:eastAsia="方正仿宋_GBK" w:cs="Times New Roman"/>
          <w:color w:val="auto"/>
          <w:sz w:val="18"/>
          <w:szCs w:val="18"/>
          <w:highlight w:val="none"/>
          <w:u w:val="none" w:color="auto"/>
          <w:lang w:val="en-US" w:eastAsia="zh-CN"/>
        </w:rPr>
        <w:t>*</w:t>
      </w:r>
      <w:r>
        <w:rPr>
          <w:rFonts w:hint="eastAsia" w:ascii="Times New Roman" w:hAnsi="Times New Roman" w:eastAsia="方正仿宋_GBK" w:cs="方正仿宋_GBK"/>
          <w:color w:val="auto"/>
          <w:sz w:val="18"/>
          <w:szCs w:val="18"/>
          <w:highlight w:val="none"/>
          <w:u w:val="none" w:color="auto"/>
          <w:lang w:val="en-US" w:eastAsia="zh-CN"/>
        </w:rPr>
        <w:t>”</w:t>
      </w:r>
      <w:r>
        <w:rPr>
          <w:rFonts w:hint="default" w:ascii="Times New Roman" w:hAnsi="Times New Roman" w:eastAsia="方正仿宋_GBK" w:cs="Times New Roman"/>
          <w:color w:val="auto"/>
          <w:sz w:val="18"/>
          <w:szCs w:val="18"/>
          <w:highlight w:val="none"/>
          <w:u w:val="none" w:color="auto"/>
          <w:lang w:val="en-US" w:eastAsia="zh-CN"/>
        </w:rPr>
        <w:t>为年均增速</w:t>
      </w:r>
      <w:r>
        <w:rPr>
          <w:rFonts w:hint="default" w:ascii="Times New Roman" w:hAnsi="Times New Roman" w:eastAsia="方正仿宋_GBK" w:cs="Times New Roman"/>
          <w:b w:val="0"/>
          <w:bCs w:val="0"/>
          <w:color w:val="auto"/>
          <w:sz w:val="18"/>
          <w:szCs w:val="18"/>
          <w:highlight w:val="none"/>
          <w:u w:val="none" w:color="auto"/>
          <w:lang w:val="en-US" w:eastAsia="zh-CN"/>
        </w:rPr>
        <w:t>；</w:t>
      </w:r>
      <w:r>
        <w:rPr>
          <w:rFonts w:hint="eastAsia" w:ascii="Times New Roman" w:hAnsi="Times New Roman" w:eastAsia="方正仿宋_GBK" w:cs="方正仿宋_GBK"/>
          <w:b w:val="0"/>
          <w:bCs w:val="0"/>
          <w:color w:val="auto"/>
          <w:sz w:val="18"/>
          <w:szCs w:val="18"/>
          <w:highlight w:val="none"/>
          <w:u w:val="none" w:color="auto"/>
          <w:lang w:val="en-US" w:eastAsia="zh-CN"/>
        </w:rPr>
        <w:t>“</w:t>
      </w:r>
      <w:r>
        <w:rPr>
          <w:rFonts w:hint="default" w:ascii="Times New Roman" w:hAnsi="Times New Roman" w:eastAsia="方正仿宋_GBK" w:cs="Times New Roman"/>
          <w:b w:val="0"/>
          <w:bCs w:val="0"/>
          <w:i w:val="0"/>
          <w:iCs w:val="0"/>
          <w:color w:val="auto"/>
          <w:kern w:val="2"/>
          <w:sz w:val="18"/>
          <w:szCs w:val="18"/>
          <w:highlight w:val="none"/>
          <w:u w:val="none" w:color="auto"/>
          <w:lang w:val="en-US" w:eastAsia="zh-CN" w:bidi="ar-SA"/>
        </w:rPr>
        <w:t>〔〕</w:t>
      </w:r>
      <w:r>
        <w:rPr>
          <w:rFonts w:hint="eastAsia" w:ascii="Times New Roman" w:hAnsi="Times New Roman" w:eastAsia="方正仿宋_GBK" w:cs="方正仿宋_GBK"/>
          <w:b w:val="0"/>
          <w:bCs w:val="0"/>
          <w:color w:val="auto"/>
          <w:sz w:val="18"/>
          <w:szCs w:val="18"/>
          <w:highlight w:val="none"/>
          <w:u w:val="none" w:color="auto"/>
          <w:lang w:val="en-US" w:eastAsia="zh-CN"/>
        </w:rPr>
        <w:t>”</w:t>
      </w:r>
      <w:r>
        <w:rPr>
          <w:rFonts w:hint="default" w:ascii="Times New Roman" w:hAnsi="Times New Roman" w:eastAsia="方正仿宋_GBK" w:cs="Times New Roman"/>
          <w:b w:val="0"/>
          <w:bCs w:val="0"/>
          <w:color w:val="auto"/>
          <w:sz w:val="18"/>
          <w:szCs w:val="18"/>
          <w:highlight w:val="none"/>
          <w:u w:val="none" w:color="auto"/>
          <w:lang w:val="en-US" w:eastAsia="zh-CN"/>
        </w:rPr>
        <w:t>为累计数</w:t>
      </w:r>
      <w:r>
        <w:rPr>
          <w:rFonts w:hint="default" w:ascii="Times New Roman" w:hAnsi="Times New Roman" w:eastAsia="方正仿宋_GBK" w:cs="Times New Roman"/>
          <w:color w:val="auto"/>
          <w:sz w:val="18"/>
          <w:szCs w:val="18"/>
          <w:highlight w:val="none"/>
          <w:u w:val="none" w:color="auto"/>
          <w:lang w:val="en-US" w:eastAsia="zh-CN"/>
        </w:rPr>
        <w:t>。</w:t>
      </w:r>
    </w:p>
    <w:p w14:paraId="4C7EEB9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方正小标宋_GBK" w:cs="Times New Roman"/>
          <w:b w:val="0"/>
          <w:bCs w:val="0"/>
          <w:color w:val="auto"/>
          <w:kern w:val="44"/>
          <w:sz w:val="32"/>
          <w:szCs w:val="32"/>
          <w:highlight w:val="none"/>
          <w:u w:val="none" w:color="auto"/>
          <w:lang w:val="en-US" w:eastAsia="zh-CN"/>
        </w:rPr>
      </w:pPr>
    </w:p>
    <w:p w14:paraId="2263F835">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95" w:name="_Toc30893"/>
      <w:bookmarkStart w:id="96" w:name="_Toc25547"/>
      <w:bookmarkStart w:id="97" w:name="_Toc16665"/>
      <w:bookmarkStart w:id="98" w:name="_Toc2622"/>
      <w:bookmarkStart w:id="99" w:name="_Toc20896"/>
      <w:bookmarkStart w:id="100" w:name="_Toc27678"/>
      <w:bookmarkStart w:id="101" w:name="_Toc28488"/>
      <w:bookmarkStart w:id="102" w:name="_Toc9758"/>
      <w:bookmarkStart w:id="103" w:name="_Toc29120"/>
      <w:bookmarkStart w:id="104" w:name="_Toc24069"/>
      <w:bookmarkStart w:id="105" w:name="_Toc5392"/>
      <w:bookmarkStart w:id="106" w:name="_Toc29474"/>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 w:val="0"/>
          <w:bCs w:val="0"/>
          <w:color w:val="auto"/>
          <w:kern w:val="44"/>
          <w:sz w:val="32"/>
          <w:szCs w:val="32"/>
          <w:highlight w:val="none"/>
          <w:u w:val="none" w:color="auto"/>
          <w:lang w:val="en-US" w:eastAsia="zh-CN"/>
        </w:rPr>
        <w:instrText xml:space="preserve"> HYPERLINK \l _Toc29216 </w:instrText>
      </w:r>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separate"/>
      </w:r>
      <w:r>
        <w:rPr>
          <w:rFonts w:hint="default" w:ascii="Times New Roman" w:hAnsi="Times New Roman" w:eastAsia="方正黑体_GBK" w:cs="Times New Roman"/>
          <w:b w:val="0"/>
          <w:bCs w:val="0"/>
          <w:color w:val="auto"/>
          <w:kern w:val="44"/>
          <w:sz w:val="32"/>
          <w:szCs w:val="32"/>
          <w:highlight w:val="none"/>
          <w:u w:val="none" w:color="auto"/>
          <w:lang w:val="en-US" w:eastAsia="zh-CN"/>
        </w:rPr>
        <w:t xml:space="preserve">第二篇 </w:t>
      </w:r>
      <w:bookmarkEnd w:id="93"/>
      <w:r>
        <w:rPr>
          <w:rFonts w:hint="default" w:ascii="Times New Roman" w:hAnsi="Times New Roman" w:eastAsia="方正黑体_GBK" w:cs="Times New Roman"/>
          <w:b w:val="0"/>
          <w:bCs w:val="0"/>
          <w:color w:val="auto"/>
          <w:kern w:val="44"/>
          <w:sz w:val="32"/>
          <w:szCs w:val="32"/>
          <w:highlight w:val="none"/>
          <w:u w:val="none" w:color="auto"/>
          <w:lang w:val="en-US" w:eastAsia="zh-CN"/>
        </w:rPr>
        <w:t>深度融入和服务国家战略 更好发挥辐射带动作用</w:t>
      </w:r>
      <w:bookmarkEnd w:id="95"/>
      <w:bookmarkEnd w:id="96"/>
      <w:bookmarkEnd w:id="97"/>
      <w:bookmarkEnd w:id="98"/>
      <w:bookmarkEnd w:id="99"/>
      <w:bookmarkEnd w:id="100"/>
      <w:bookmarkEnd w:id="101"/>
      <w:bookmarkEnd w:id="102"/>
      <w:bookmarkEnd w:id="103"/>
      <w:bookmarkEnd w:id="104"/>
      <w:bookmarkEnd w:id="105"/>
      <w:bookmarkEnd w:id="106"/>
    </w:p>
    <w:p w14:paraId="2BA2AE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107" w:name="_Toc15940"/>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end"/>
      </w:r>
    </w:p>
    <w:p w14:paraId="4FFDAD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pacing w:val="0"/>
          <w:sz w:val="32"/>
          <w:szCs w:val="32"/>
          <w:highlight w:val="none"/>
          <w:u w:val="none" w:color="auto"/>
          <w:lang w:val="en-US" w:eastAsia="zh-CN"/>
        </w:rPr>
        <w:t>坚持从全局谋划一域、以一域服务全局，始终将渝中发展放在党中央对重庆发展的战略定位上、放在全国全市发展大局中，</w:t>
      </w:r>
      <w:r>
        <w:rPr>
          <w:rFonts w:hint="eastAsia" w:ascii="Times New Roman" w:hAnsi="Times New Roman" w:eastAsia="方正仿宋_GBK" w:cs="Times New Roman"/>
          <w:color w:val="auto"/>
          <w:spacing w:val="0"/>
          <w:sz w:val="32"/>
          <w:szCs w:val="32"/>
          <w:highlight w:val="none"/>
          <w:u w:val="none" w:color="auto"/>
          <w:lang w:val="en-US" w:eastAsia="zh-CN"/>
        </w:rPr>
        <w:t>强化战略思维，保持战略定力，</w:t>
      </w:r>
      <w:r>
        <w:rPr>
          <w:rFonts w:hint="default" w:ascii="Times New Roman" w:hAnsi="Times New Roman" w:eastAsia="方正仿宋_GBK" w:cs="Times New Roman"/>
          <w:color w:val="auto"/>
          <w:spacing w:val="0"/>
          <w:sz w:val="32"/>
          <w:szCs w:val="32"/>
          <w:highlight w:val="none"/>
          <w:u w:val="none" w:color="auto"/>
          <w:lang w:val="en-US" w:eastAsia="zh-CN"/>
        </w:rPr>
        <w:t>促进各方面各领域工作全面提质、全面焕新、全面跃升。</w:t>
      </w:r>
      <w:bookmarkStart w:id="2298" w:name="_GoBack"/>
      <w:bookmarkEnd w:id="2298"/>
    </w:p>
    <w:p w14:paraId="4A395E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108" w:name="_Toc3242"/>
      <w:bookmarkStart w:id="109" w:name="_Toc6529"/>
      <w:bookmarkStart w:id="110" w:name="_Toc29871"/>
      <w:bookmarkStart w:id="111" w:name="_Toc9474"/>
      <w:bookmarkStart w:id="112" w:name="_Toc24990"/>
      <w:bookmarkStart w:id="113" w:name="_Toc32144"/>
      <w:bookmarkStart w:id="114" w:name="_Toc21164"/>
      <w:bookmarkStart w:id="115" w:name="_Toc11439"/>
      <w:bookmarkStart w:id="116" w:name="_Toc8626"/>
      <w:bookmarkStart w:id="117" w:name="_Toc17793"/>
      <w:bookmarkStart w:id="118" w:name="_Toc24207"/>
      <w:bookmarkStart w:id="119" w:name="_Toc26733"/>
      <w:r>
        <w:rPr>
          <w:rFonts w:hint="default" w:ascii="Times New Roman" w:hAnsi="Times New Roman" w:eastAsia="方正黑体_GBK" w:cs="Times New Roman"/>
          <w:color w:val="auto"/>
          <w:kern w:val="2"/>
          <w:sz w:val="32"/>
          <w:szCs w:val="32"/>
          <w:highlight w:val="none"/>
          <w:u w:val="none" w:color="auto"/>
          <w:lang w:val="en-US" w:eastAsia="zh-CN" w:bidi="ar-SA"/>
        </w:rPr>
        <w:t xml:space="preserve">第四章 </w:t>
      </w:r>
      <w:bookmarkEnd w:id="107"/>
      <w:r>
        <w:rPr>
          <w:rFonts w:hint="default" w:ascii="Times New Roman" w:hAnsi="Times New Roman" w:eastAsia="方正黑体_GBK" w:cs="Times New Roman"/>
          <w:color w:val="auto"/>
          <w:kern w:val="2"/>
          <w:sz w:val="32"/>
          <w:szCs w:val="32"/>
          <w:highlight w:val="none"/>
          <w:u w:val="none" w:color="auto"/>
          <w:lang w:val="en-US" w:eastAsia="zh-CN" w:bidi="ar-SA"/>
        </w:rPr>
        <w:t>全力助推成渝地区双城经济圈发展能级提升</w:t>
      </w:r>
      <w:bookmarkEnd w:id="108"/>
      <w:bookmarkEnd w:id="109"/>
      <w:bookmarkEnd w:id="110"/>
      <w:bookmarkEnd w:id="111"/>
      <w:bookmarkEnd w:id="112"/>
      <w:bookmarkEnd w:id="113"/>
      <w:bookmarkEnd w:id="114"/>
      <w:bookmarkEnd w:id="115"/>
      <w:bookmarkEnd w:id="116"/>
      <w:bookmarkEnd w:id="117"/>
      <w:bookmarkEnd w:id="118"/>
      <w:bookmarkEnd w:id="119"/>
    </w:p>
    <w:p w14:paraId="3A1DABD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bookmarkStart w:id="120" w:name="_Toc1707"/>
      <w:bookmarkStart w:id="121" w:name="_Toc11716"/>
      <w:bookmarkStart w:id="122" w:name="_Toc18394"/>
      <w:bookmarkStart w:id="123" w:name="_Toc22170"/>
      <w:bookmarkStart w:id="124" w:name="_Toc5104"/>
      <w:bookmarkStart w:id="125" w:name="_Toc5617"/>
      <w:r>
        <w:rPr>
          <w:rFonts w:hint="default" w:ascii="Times New Roman" w:hAnsi="Times New Roman" w:eastAsia="方正仿宋_GBK" w:cs="Times New Roman"/>
          <w:color w:val="auto"/>
          <w:kern w:val="2"/>
          <w:sz w:val="32"/>
          <w:szCs w:val="32"/>
          <w:highlight w:val="none"/>
          <w:u w:val="none" w:color="auto"/>
          <w:lang w:val="en-US" w:eastAsia="zh-CN" w:bidi="ar-SA"/>
        </w:rPr>
        <w:t>坚持川渝</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一盘棋</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思想，围绕</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两中心两地</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战略定位、落实</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三中心一走廊</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战略部署，增强渝中在成渝地区双城经济圈建设中的辐射带动和产业引领功能。</w:t>
      </w:r>
    </w:p>
    <w:p w14:paraId="3689288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26" w:name="_Toc11674"/>
      <w:bookmarkStart w:id="127" w:name="_Toc32438"/>
      <w:bookmarkStart w:id="128" w:name="_Toc26349"/>
      <w:bookmarkStart w:id="129" w:name="_Toc7938"/>
      <w:bookmarkStart w:id="130" w:name="_Toc2027"/>
      <w:bookmarkStart w:id="131" w:name="_Toc6560"/>
      <w:bookmarkStart w:id="132" w:name="_Toc6640"/>
      <w:r>
        <w:rPr>
          <w:rFonts w:hint="default" w:ascii="Times New Roman" w:hAnsi="Times New Roman" w:eastAsia="方正楷体_GBK" w:cs="Times New Roman"/>
          <w:b w:val="0"/>
          <w:bCs w:val="0"/>
          <w:color w:val="auto"/>
          <w:sz w:val="32"/>
          <w:szCs w:val="32"/>
          <w:highlight w:val="none"/>
          <w:u w:val="none" w:color="auto"/>
          <w:lang w:val="en-US" w:eastAsia="zh-CN"/>
        </w:rPr>
        <w:t>第一节 协同建设</w:t>
      </w:r>
      <w:bookmarkEnd w:id="120"/>
      <w:r>
        <w:rPr>
          <w:rFonts w:hint="default" w:ascii="Times New Roman" w:hAnsi="Times New Roman" w:eastAsia="方正楷体_GBK" w:cs="Times New Roman"/>
          <w:b w:val="0"/>
          <w:bCs w:val="0"/>
          <w:color w:val="auto"/>
          <w:sz w:val="32"/>
          <w:szCs w:val="32"/>
          <w:highlight w:val="none"/>
          <w:u w:val="none" w:color="auto"/>
          <w:lang w:val="en-US" w:eastAsia="zh-CN"/>
        </w:rPr>
        <w:t>具有全国影响力的经济中心</w:t>
      </w:r>
      <w:bookmarkEnd w:id="121"/>
      <w:bookmarkEnd w:id="122"/>
      <w:bookmarkEnd w:id="123"/>
      <w:bookmarkEnd w:id="124"/>
      <w:bookmarkEnd w:id="125"/>
      <w:bookmarkEnd w:id="126"/>
      <w:bookmarkEnd w:id="127"/>
      <w:bookmarkEnd w:id="128"/>
      <w:bookmarkEnd w:id="129"/>
      <w:bookmarkEnd w:id="130"/>
      <w:bookmarkEnd w:id="131"/>
      <w:bookmarkEnd w:id="132"/>
      <w:bookmarkStart w:id="133" w:name="_Toc26578"/>
      <w:bookmarkStart w:id="134" w:name="_Toc7092"/>
    </w:p>
    <w:p w14:paraId="66794F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持续推动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双核</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联动联建，推动建设综合交通枢纽，建成重庆站铁路综合交通枢纽，推动渝湘高铁（渝中区段）、成渝客专（渝中区段）、成渝铁路改造项目（渝中区段）建成通车，加快融入成渝高铁网络。深化创新要素自由流动，促进产业链、供应链、创新链深度融合，推动渝中区与锦江区、青羊区、金牛区创新协同、产业配套和功能互补。联动春熙路共建世界知名商圈，联合承办大型赛事、演艺活动，大力发展美食、时尚经济，联动打造一批具有区域带动力、国际影响力的特色消费品牌。拓展与成渝其他市区县的产业合作，打造区域协同发展示范样板。深化区域战略协同联动，加强与京津冀、长三角、粤港澳大湾区产业联动、互补发展，服务构建以成渝地区为中心联结西南西北、带动新时代西部大开发的战略枢纽。加强与新疆合作，深化建设渝中—哈密（伊吾）算力产业协同发展示范基地。深化与巫溪等地协同合作，支持区内商贸、数字经济企业开展渠道对接、产销合作。</w:t>
      </w:r>
    </w:p>
    <w:p w14:paraId="62DE925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35" w:name="_Toc2808"/>
      <w:bookmarkStart w:id="136" w:name="_Toc3246"/>
      <w:bookmarkStart w:id="137" w:name="_Toc6295"/>
      <w:bookmarkStart w:id="138" w:name="_Toc13709"/>
      <w:bookmarkStart w:id="139" w:name="_Toc20719"/>
      <w:bookmarkStart w:id="140" w:name="_Toc20919"/>
      <w:bookmarkStart w:id="141" w:name="_Toc24871"/>
      <w:bookmarkStart w:id="142" w:name="_Toc30553"/>
      <w:bookmarkStart w:id="143" w:name="_Toc32400"/>
      <w:bookmarkStart w:id="144" w:name="_Toc10216"/>
      <w:bookmarkStart w:id="145" w:name="_Toc5284"/>
      <w:bookmarkStart w:id="146" w:name="_Toc32046"/>
      <w:r>
        <w:rPr>
          <w:rFonts w:hint="default" w:ascii="Times New Roman" w:hAnsi="Times New Roman" w:eastAsia="方正楷体_GBK" w:cs="Times New Roman"/>
          <w:b w:val="0"/>
          <w:bCs w:val="0"/>
          <w:color w:val="auto"/>
          <w:sz w:val="32"/>
          <w:szCs w:val="32"/>
          <w:highlight w:val="none"/>
          <w:u w:val="none" w:color="auto"/>
          <w:lang w:val="en-US" w:eastAsia="zh-CN"/>
        </w:rPr>
        <w:t>第二节 协同打造区域科技创新中心</w:t>
      </w:r>
      <w:bookmarkEnd w:id="133"/>
      <w:bookmarkEnd w:id="135"/>
      <w:bookmarkEnd w:id="136"/>
      <w:bookmarkEnd w:id="137"/>
      <w:bookmarkEnd w:id="138"/>
      <w:bookmarkEnd w:id="139"/>
      <w:bookmarkEnd w:id="140"/>
      <w:bookmarkEnd w:id="141"/>
      <w:bookmarkEnd w:id="142"/>
      <w:bookmarkEnd w:id="143"/>
      <w:bookmarkEnd w:id="144"/>
      <w:bookmarkEnd w:id="145"/>
      <w:bookmarkEnd w:id="146"/>
    </w:p>
    <w:p w14:paraId="315C05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支持</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产学研用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各类主体跨区域跨领域协作攻关，协同打造细胞基因治疗、脑机接口、具身智能等应用场景，构建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市场应用+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服务网络</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形成一批标志性创新成果。积极融入成渝低空经济带建设，精心谋划区域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空中飞网</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，布局</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飞网算指控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全产业链。助力川渝算力智能一体化建设，搭建异构算力研发平台，重点攻关传输时延优化、国产协议适配等关键技术，打造西部算力调度服务枢纽。</w:t>
      </w:r>
      <w:r>
        <w:rPr>
          <w:rFonts w:hint="default" w:ascii="Times New Roman" w:hAnsi="Times New Roman" w:eastAsia="方正仿宋_GBK" w:cs="Times New Roman"/>
          <w:color w:val="auto"/>
          <w:sz w:val="32"/>
          <w:szCs w:val="32"/>
          <w:highlight w:val="none"/>
          <w:lang w:val="en-US" w:eastAsia="zh-CN"/>
        </w:rPr>
        <w:t>深度参与成渝、渝哈等教育协作</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支持重庆医科大学与四川高校开展学科共建共享工程，设立跨区域产教融合特色专业。协同发挥重庆医科大学附属儿童医院、四川大学华西医学中心等优质医疗资源，服务共建国家医学中心，推动建设国家临床重点专科群。健全科技创新人才协同引育机制，促进专家共享、人才共育、等级互认。</w:t>
      </w:r>
    </w:p>
    <w:p w14:paraId="6989A28C">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47" w:name="_Toc7406"/>
      <w:bookmarkStart w:id="148" w:name="_Toc23724"/>
      <w:bookmarkStart w:id="149" w:name="_Toc30116"/>
      <w:bookmarkStart w:id="150" w:name="_Toc16651"/>
      <w:bookmarkStart w:id="151" w:name="_Toc259"/>
      <w:bookmarkStart w:id="152" w:name="_Toc25577"/>
      <w:bookmarkStart w:id="153" w:name="_Toc183"/>
      <w:bookmarkStart w:id="154" w:name="_Toc589"/>
      <w:bookmarkStart w:id="155" w:name="_Toc20368"/>
      <w:bookmarkStart w:id="156" w:name="_Toc18963"/>
      <w:bookmarkStart w:id="157" w:name="_Toc28389"/>
      <w:bookmarkStart w:id="158" w:name="_Toc21772"/>
      <w:r>
        <w:rPr>
          <w:rFonts w:hint="default" w:ascii="Times New Roman" w:hAnsi="Times New Roman" w:eastAsia="方正楷体_GBK" w:cs="Times New Roman"/>
          <w:b w:val="0"/>
          <w:bCs w:val="0"/>
          <w:color w:val="auto"/>
          <w:sz w:val="32"/>
          <w:szCs w:val="32"/>
          <w:highlight w:val="none"/>
          <w:u w:val="none" w:color="auto"/>
          <w:lang w:val="en-US" w:eastAsia="zh-CN"/>
        </w:rPr>
        <w:t>第三节 协同共建西部金融中心</w:t>
      </w:r>
      <w:bookmarkEnd w:id="134"/>
      <w:bookmarkEnd w:id="147"/>
      <w:bookmarkEnd w:id="148"/>
      <w:bookmarkEnd w:id="149"/>
      <w:bookmarkEnd w:id="150"/>
      <w:bookmarkEnd w:id="151"/>
      <w:bookmarkEnd w:id="152"/>
      <w:bookmarkEnd w:id="153"/>
      <w:bookmarkEnd w:id="154"/>
      <w:bookmarkEnd w:id="155"/>
      <w:bookmarkEnd w:id="156"/>
      <w:bookmarkEnd w:id="157"/>
      <w:bookmarkEnd w:id="158"/>
    </w:p>
    <w:p w14:paraId="349F18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度融入成渝金融市场一体化建设，主动参与跨省域数字化金融综合服务平台互联互通，鼓励两地金融机构建立业务合作机制，争取地方法人金融机构依法异地设立分支、拓展业务。积极争取开展科技金融、绿色金融、普惠金融、养老金融、数字金融等领域改革创新试点。共建多层次资本市场体系，助推股权、债券等直接融资，稳步发展期货、衍生品和资产证券化。充分发挥成渝金融法院平台作用，推动市场化金融纠纷一体化调处改革试点走深走实，深化金融司法协作，共建风险防范化解体系，持续丰富风险处置资源和手段，深化跨境业务创新协同。</w:t>
      </w:r>
    </w:p>
    <w:p w14:paraId="6D5A08E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59" w:name="_Toc12831"/>
      <w:bookmarkStart w:id="160" w:name="_Toc8185"/>
      <w:bookmarkStart w:id="161" w:name="_Toc11635"/>
      <w:bookmarkStart w:id="162" w:name="_Toc20864"/>
      <w:bookmarkStart w:id="163" w:name="_Toc16191"/>
      <w:bookmarkStart w:id="164" w:name="_Toc18056"/>
      <w:bookmarkStart w:id="165" w:name="_Toc10581"/>
      <w:bookmarkStart w:id="166" w:name="_Toc1427"/>
      <w:bookmarkStart w:id="167" w:name="_Toc16808"/>
      <w:bookmarkStart w:id="168" w:name="_Toc2072"/>
      <w:bookmarkStart w:id="169" w:name="_Toc19025"/>
      <w:bookmarkStart w:id="170" w:name="_Toc6886"/>
      <w:bookmarkStart w:id="171" w:name="_Toc30914"/>
      <w:r>
        <w:rPr>
          <w:rFonts w:hint="default" w:ascii="Times New Roman" w:hAnsi="Times New Roman" w:eastAsia="方正楷体_GBK" w:cs="Times New Roman"/>
          <w:b w:val="0"/>
          <w:bCs w:val="0"/>
          <w:color w:val="auto"/>
          <w:sz w:val="32"/>
          <w:szCs w:val="32"/>
          <w:highlight w:val="none"/>
          <w:u w:val="none" w:color="auto"/>
          <w:lang w:val="en-US" w:eastAsia="zh-CN"/>
        </w:rPr>
        <w:t>第四节 协同建设巴蜀文化旅游走廊</w:t>
      </w:r>
      <w:bookmarkEnd w:id="159"/>
      <w:bookmarkEnd w:id="160"/>
      <w:bookmarkEnd w:id="161"/>
      <w:bookmarkEnd w:id="162"/>
      <w:bookmarkEnd w:id="163"/>
      <w:bookmarkEnd w:id="164"/>
      <w:bookmarkEnd w:id="165"/>
      <w:bookmarkEnd w:id="166"/>
      <w:bookmarkEnd w:id="167"/>
      <w:bookmarkEnd w:id="168"/>
      <w:bookmarkEnd w:id="169"/>
      <w:bookmarkEnd w:id="170"/>
      <w:bookmarkEnd w:id="171"/>
    </w:p>
    <w:p w14:paraId="2F38C2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加快老鼓楼衙署、湖广会馆、重庆古城门城墙等文化遗产整体性保护和利用，推进宋元山城防御体系等巴蜀文化遗址群挖掘和研究，做大做强成渝蜀绣保护传承联盟，共创国家级巴蜀生态文化保护区。深化川渝文旅规划对接、线路互通、景区联动，参与共建长江上游文化旅游带，强化长江嘉陵江人文景观保护利用，串珠成链打造巴蜀文明、红色记忆、现代都市等精品旅游线路，推进川渝文旅市场一体化建设。联动解放碑、太古里、洪崖洞、宽窄巷子等特色场景，协同开展成渝双城消费节、双城都市文旅产业推介会等大型活动，持续做靓</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宽洪大量</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锦渝满堂</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等特色品牌。用好240小时过境免签政策，</w:t>
      </w:r>
      <w:r>
        <w:rPr>
          <w:rFonts w:hint="eastAsia" w:ascii="Times New Roman" w:hAnsi="Times New Roman" w:eastAsia="方正仿宋_GBK" w:cs="Times New Roman"/>
          <w:color w:val="auto"/>
          <w:sz w:val="32"/>
          <w:szCs w:val="32"/>
          <w:highlight w:val="none"/>
          <w:u w:val="none" w:color="auto"/>
          <w:lang w:val="en-US" w:eastAsia="zh-CN"/>
        </w:rPr>
        <w:t>推动“两江游”国际化发展，活化山城步道与街巷体系，打造世界级都市旅游核心产品，</w:t>
      </w:r>
      <w:r>
        <w:rPr>
          <w:rFonts w:hint="default" w:ascii="Times New Roman" w:hAnsi="Times New Roman" w:eastAsia="方正仿宋_GBK" w:cs="Times New Roman"/>
          <w:color w:val="auto"/>
          <w:sz w:val="32"/>
          <w:szCs w:val="32"/>
          <w:highlight w:val="none"/>
          <w:u w:val="none" w:color="auto"/>
          <w:lang w:val="en-US" w:eastAsia="zh-CN"/>
        </w:rPr>
        <w:t>加强</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渝进蓉出、蓉进渝出</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入境游联动，</w:t>
      </w:r>
      <w:r>
        <w:rPr>
          <w:rFonts w:hint="eastAsia" w:ascii="Times New Roman" w:hAnsi="Times New Roman" w:eastAsia="方正仿宋_GBK" w:cs="Times New Roman"/>
          <w:color w:val="auto"/>
          <w:sz w:val="32"/>
          <w:szCs w:val="32"/>
          <w:highlight w:val="none"/>
          <w:u w:val="none" w:color="auto"/>
          <w:lang w:val="en-US" w:eastAsia="zh-CN"/>
        </w:rPr>
        <w:t>提高入境旅游服务水平，提升“重庆母城·人文渝中”全球影响力。</w:t>
      </w:r>
    </w:p>
    <w:p w14:paraId="73323A67">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72" w:name="_Toc1199"/>
      <w:bookmarkStart w:id="173" w:name="_Toc911"/>
      <w:bookmarkStart w:id="174" w:name="_Toc32067"/>
      <w:bookmarkStart w:id="175" w:name="_Toc19494"/>
      <w:bookmarkStart w:id="176" w:name="_Toc7070"/>
      <w:bookmarkStart w:id="177" w:name="_Toc26048"/>
      <w:bookmarkStart w:id="178" w:name="_Toc6899"/>
      <w:bookmarkStart w:id="179" w:name="_Toc16323"/>
      <w:bookmarkStart w:id="180" w:name="_Toc1515"/>
      <w:bookmarkStart w:id="181" w:name="_Toc9115"/>
      <w:bookmarkStart w:id="182" w:name="_Toc15441"/>
      <w:bookmarkStart w:id="183" w:name="_Toc14526"/>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五</w:t>
      </w:r>
      <w:r>
        <w:rPr>
          <w:rFonts w:hint="default" w:ascii="Times New Roman" w:hAnsi="Times New Roman" w:eastAsia="方正黑体_GBK" w:cs="Times New Roman"/>
          <w:color w:val="auto"/>
          <w:sz w:val="32"/>
          <w:szCs w:val="32"/>
          <w:highlight w:val="none"/>
          <w:u w:val="none" w:color="auto"/>
        </w:rPr>
        <w:t xml:space="preserve">章 </w:t>
      </w:r>
      <w:r>
        <w:rPr>
          <w:rFonts w:hint="default" w:ascii="Times New Roman" w:hAnsi="Times New Roman" w:eastAsia="方正黑体_GBK" w:cs="Times New Roman"/>
          <w:color w:val="auto"/>
          <w:sz w:val="32"/>
          <w:szCs w:val="32"/>
          <w:highlight w:val="none"/>
          <w:u w:val="none" w:color="auto"/>
          <w:lang w:val="en-US" w:eastAsia="zh-CN"/>
        </w:rPr>
        <w:t>参与</w:t>
      </w:r>
      <w:r>
        <w:rPr>
          <w:rFonts w:hint="default" w:ascii="Times New Roman" w:hAnsi="Times New Roman" w:eastAsia="方正黑体_GBK" w:cs="Times New Roman"/>
          <w:color w:val="auto"/>
          <w:sz w:val="32"/>
          <w:szCs w:val="32"/>
          <w:highlight w:val="none"/>
          <w:u w:val="none" w:color="auto"/>
        </w:rPr>
        <w:t>西部陆海新通道建设</w:t>
      </w:r>
      <w:bookmarkEnd w:id="172"/>
      <w:bookmarkEnd w:id="173"/>
      <w:bookmarkEnd w:id="174"/>
      <w:bookmarkEnd w:id="175"/>
      <w:bookmarkEnd w:id="176"/>
      <w:r>
        <w:rPr>
          <w:rFonts w:hint="default" w:ascii="Times New Roman" w:hAnsi="Times New Roman" w:eastAsia="方正黑体_GBK" w:cs="Times New Roman"/>
          <w:color w:val="auto"/>
          <w:sz w:val="32"/>
          <w:szCs w:val="32"/>
          <w:highlight w:val="none"/>
          <w:u w:val="none" w:color="auto"/>
          <w:lang w:val="en-US" w:eastAsia="zh-CN"/>
        </w:rPr>
        <w:t>展现更大作为</w:t>
      </w:r>
      <w:bookmarkEnd w:id="177"/>
      <w:bookmarkEnd w:id="178"/>
      <w:bookmarkEnd w:id="179"/>
      <w:bookmarkEnd w:id="180"/>
      <w:bookmarkEnd w:id="181"/>
      <w:bookmarkEnd w:id="182"/>
      <w:bookmarkEnd w:id="183"/>
    </w:p>
    <w:p w14:paraId="376F89C1">
      <w:pPr>
        <w:pStyle w:val="6"/>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K" w:cs="Times New Roman"/>
          <w:color w:val="auto"/>
          <w:kern w:val="0"/>
          <w:sz w:val="32"/>
          <w:szCs w:val="32"/>
          <w:highlight w:val="none"/>
          <w:u w:val="none" w:color="auto"/>
          <w:lang w:val="en-US" w:eastAsia="zh-CN" w:bidi="ar"/>
        </w:rPr>
      </w:pPr>
      <w:bookmarkStart w:id="184" w:name="_Toc5815"/>
      <w:bookmarkStart w:id="185" w:name="_Toc17601"/>
      <w:r>
        <w:rPr>
          <w:rFonts w:hint="default" w:ascii="Times New Roman" w:hAnsi="Times New Roman" w:eastAsia="方正仿宋_GBK" w:cs="Times New Roman"/>
          <w:color w:val="auto"/>
          <w:kern w:val="0"/>
          <w:sz w:val="32"/>
          <w:szCs w:val="32"/>
          <w:highlight w:val="none"/>
          <w:u w:val="none" w:color="auto"/>
          <w:lang w:val="en-US" w:eastAsia="zh-CN" w:bidi="ar"/>
        </w:rPr>
        <w:t>坚持以通道带物流、物流带经贸、经贸带产业，全方位、各领域、全区域融入西部陆海新通道建设。</w:t>
      </w:r>
      <w:bookmarkEnd w:id="184"/>
      <w:bookmarkEnd w:id="185"/>
    </w:p>
    <w:p w14:paraId="2FBF2DB9">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2"/>
        <w:rPr>
          <w:rFonts w:hint="default" w:ascii="Times New Roman" w:hAnsi="Times New Roman" w:eastAsia="方正楷体_GBK" w:cs="Times New Roman"/>
          <w:color w:val="auto"/>
          <w:kern w:val="0"/>
          <w:sz w:val="32"/>
          <w:szCs w:val="32"/>
          <w:highlight w:val="none"/>
          <w:u w:val="none" w:color="auto"/>
          <w:lang w:val="en-US" w:eastAsia="zh-CN" w:bidi="ar"/>
        </w:rPr>
      </w:pPr>
      <w:bookmarkStart w:id="186" w:name="_Toc908"/>
      <w:bookmarkStart w:id="187" w:name="_Toc26552"/>
      <w:bookmarkStart w:id="188" w:name="_Toc18892"/>
      <w:bookmarkStart w:id="189" w:name="_Toc28739"/>
      <w:bookmarkStart w:id="190" w:name="_Toc29951"/>
      <w:bookmarkStart w:id="191" w:name="_Toc22402"/>
      <w:bookmarkStart w:id="192" w:name="_Toc26357"/>
      <w:bookmarkStart w:id="193" w:name="_Toc21101"/>
      <w:bookmarkStart w:id="194" w:name="_Toc10163"/>
      <w:bookmarkStart w:id="195" w:name="_Toc10001"/>
      <w:bookmarkStart w:id="196" w:name="_Toc19090"/>
      <w:r>
        <w:rPr>
          <w:rFonts w:hint="default" w:ascii="Times New Roman" w:hAnsi="Times New Roman" w:eastAsia="方正楷体_GBK" w:cs="Times New Roman"/>
          <w:color w:val="auto"/>
          <w:kern w:val="0"/>
          <w:sz w:val="32"/>
          <w:szCs w:val="32"/>
          <w:highlight w:val="none"/>
          <w:u w:val="none" w:color="auto"/>
          <w:lang w:val="en-US" w:eastAsia="zh-CN" w:bidi="ar"/>
        </w:rPr>
        <w:t>第一节 打造西部陆海新通道物流贸易总部基地</w:t>
      </w:r>
      <w:bookmarkEnd w:id="186"/>
      <w:bookmarkEnd w:id="187"/>
      <w:bookmarkEnd w:id="188"/>
      <w:bookmarkEnd w:id="189"/>
      <w:bookmarkEnd w:id="190"/>
      <w:bookmarkEnd w:id="191"/>
      <w:bookmarkEnd w:id="192"/>
      <w:bookmarkEnd w:id="193"/>
      <w:bookmarkEnd w:id="194"/>
      <w:bookmarkEnd w:id="195"/>
      <w:bookmarkEnd w:id="196"/>
    </w:p>
    <w:p w14:paraId="11832F3F">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u w:val="none" w:color="auto"/>
          <w:lang w:val="en-US" w:eastAsia="zh-CN" w:bidi="ar"/>
        </w:rPr>
      </w:pPr>
      <w:r>
        <w:rPr>
          <w:rFonts w:hint="default" w:ascii="Times New Roman" w:hAnsi="Times New Roman" w:eastAsia="方正仿宋_GBK" w:cs="Times New Roman"/>
          <w:color w:val="auto"/>
          <w:sz w:val="32"/>
          <w:szCs w:val="32"/>
          <w:highlight w:val="none"/>
          <w:u w:val="none" w:color="auto"/>
          <w:lang w:eastAsia="zh-CN"/>
        </w:rPr>
        <w:t>依托来福士、大都会、民生大厦等优质载体，引育更多国际物流、贸易企业总部，鼓励头部企业推进国际物流基地、分拨集散中心、海外仓等建设，提升境外物流节点联运和集散能力。</w:t>
      </w:r>
      <w:r>
        <w:rPr>
          <w:rFonts w:hint="eastAsia" w:eastAsia="方正仿宋_GBK" w:cs="Times New Roman"/>
          <w:color w:val="auto"/>
          <w:kern w:val="0"/>
          <w:sz w:val="32"/>
          <w:szCs w:val="32"/>
          <w:highlight w:val="none"/>
          <w:u w:val="none" w:color="auto"/>
          <w:lang w:val="en-US" w:eastAsia="zh-CN" w:bidi="ar"/>
        </w:rPr>
        <w:t>鼓励</w:t>
      </w:r>
      <w:r>
        <w:rPr>
          <w:rFonts w:hint="default" w:ascii="Times New Roman" w:hAnsi="Times New Roman" w:eastAsia="方正仿宋_GBK" w:cs="Times New Roman"/>
          <w:color w:val="auto"/>
          <w:kern w:val="0"/>
          <w:sz w:val="32"/>
          <w:szCs w:val="32"/>
          <w:highlight w:val="none"/>
          <w:u w:val="none" w:color="auto"/>
          <w:lang w:val="en-US" w:eastAsia="zh-CN" w:bidi="ar"/>
        </w:rPr>
        <w:t>企业拓展业务，打造肉制品进口分销高地。依托陆海国际中心等载体，打造陆海新通道立体产业园，引导与陆海新通道贸易服务相关国际经贸组织或分支机构、贸易纠纷解决机构等落户，为企业提供专业综合服务。</w:t>
      </w:r>
    </w:p>
    <w:p w14:paraId="2B930877">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197" w:name="_Toc30932"/>
      <w:bookmarkStart w:id="198" w:name="_Toc5940"/>
      <w:bookmarkStart w:id="199" w:name="_Toc21988"/>
      <w:bookmarkStart w:id="200" w:name="_Toc8695"/>
      <w:bookmarkStart w:id="201" w:name="_Toc31346"/>
      <w:bookmarkStart w:id="202" w:name="_Toc7766"/>
      <w:bookmarkStart w:id="203" w:name="_Toc24380"/>
      <w:bookmarkStart w:id="204" w:name="_Toc21685"/>
      <w:bookmarkStart w:id="205" w:name="_Toc2178"/>
      <w:bookmarkStart w:id="206" w:name="_Toc28612"/>
      <w:bookmarkStart w:id="207" w:name="_Toc1795"/>
      <w:r>
        <w:rPr>
          <w:rFonts w:hint="default" w:ascii="Times New Roman" w:hAnsi="Times New Roman" w:eastAsia="方正楷体_GBK" w:cs="Times New Roman"/>
          <w:color w:val="auto"/>
          <w:sz w:val="32"/>
          <w:szCs w:val="32"/>
          <w:highlight w:val="none"/>
          <w:u w:val="none" w:color="auto"/>
          <w:lang w:val="en-US" w:eastAsia="zh-CN"/>
        </w:rPr>
        <w:t xml:space="preserve">第二节 </w:t>
      </w:r>
      <w:r>
        <w:rPr>
          <w:rFonts w:hint="default" w:ascii="Times New Roman" w:hAnsi="Times New Roman" w:eastAsia="方正楷体_GBK" w:cs="Times New Roman"/>
          <w:color w:val="auto"/>
          <w:sz w:val="32"/>
          <w:szCs w:val="32"/>
          <w:highlight w:val="none"/>
          <w:u w:val="none" w:color="auto"/>
        </w:rPr>
        <w:t>打造西部陆海新通道国际消费中心</w:t>
      </w:r>
      <w:bookmarkEnd w:id="197"/>
      <w:bookmarkEnd w:id="198"/>
      <w:bookmarkEnd w:id="199"/>
      <w:bookmarkEnd w:id="200"/>
      <w:bookmarkEnd w:id="201"/>
      <w:bookmarkEnd w:id="202"/>
      <w:bookmarkEnd w:id="203"/>
      <w:bookmarkEnd w:id="204"/>
      <w:bookmarkEnd w:id="205"/>
      <w:bookmarkEnd w:id="206"/>
      <w:bookmarkEnd w:id="207"/>
    </w:p>
    <w:p w14:paraId="74D560F8">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kern w:val="0"/>
          <w:sz w:val="32"/>
          <w:szCs w:val="32"/>
          <w:highlight w:val="none"/>
          <w:u w:val="none" w:color="auto"/>
        </w:rPr>
      </w:pPr>
      <w:r>
        <w:rPr>
          <w:rFonts w:hint="default" w:ascii="Times New Roman" w:hAnsi="Times New Roman" w:eastAsia="方正仿宋_GBK" w:cs="Times New Roman"/>
          <w:color w:val="auto"/>
          <w:kern w:val="0"/>
          <w:sz w:val="32"/>
          <w:szCs w:val="32"/>
          <w:highlight w:val="none"/>
          <w:u w:val="none" w:color="auto"/>
        </w:rPr>
        <w:t>发展保税退税经济，优化</w:t>
      </w:r>
      <w:r>
        <w:rPr>
          <w:rFonts w:hint="default" w:ascii="Times New Roman" w:hAnsi="Times New Roman" w:eastAsia="方正仿宋_GBK" w:cs="Times New Roman"/>
          <w:color w:val="auto"/>
          <w:kern w:val="0"/>
          <w:sz w:val="32"/>
          <w:szCs w:val="32"/>
          <w:highlight w:val="none"/>
          <w:u w:val="none" w:color="auto"/>
          <w:lang w:val="en-US" w:eastAsia="zh-CN"/>
        </w:rPr>
        <w:t>国别馆和</w:t>
      </w:r>
      <w:r>
        <w:rPr>
          <w:rFonts w:hint="default" w:ascii="Times New Roman" w:hAnsi="Times New Roman" w:eastAsia="方正仿宋_GBK" w:cs="Times New Roman"/>
          <w:color w:val="auto"/>
          <w:kern w:val="0"/>
          <w:sz w:val="32"/>
          <w:szCs w:val="32"/>
          <w:highlight w:val="none"/>
          <w:u w:val="none" w:color="auto"/>
        </w:rPr>
        <w:t>陆海优品布局，</w:t>
      </w:r>
      <w:r>
        <w:rPr>
          <w:rFonts w:hint="default" w:ascii="Times New Roman" w:hAnsi="Times New Roman" w:eastAsia="方正仿宋_GBK" w:cs="Times New Roman"/>
          <w:bCs/>
          <w:color w:val="auto"/>
          <w:kern w:val="0"/>
          <w:sz w:val="32"/>
          <w:szCs w:val="32"/>
          <w:highlight w:val="none"/>
          <w:u w:val="none" w:color="auto"/>
        </w:rPr>
        <w:t>打造陆海新通道国际消费中心新场景</w:t>
      </w:r>
      <w:r>
        <w:rPr>
          <w:rFonts w:hint="default" w:ascii="Times New Roman" w:hAnsi="Times New Roman" w:eastAsia="方正仿宋_GBK" w:cs="Times New Roman"/>
          <w:color w:val="auto"/>
          <w:kern w:val="0"/>
          <w:sz w:val="32"/>
          <w:szCs w:val="32"/>
          <w:highlight w:val="none"/>
          <w:u w:val="none" w:color="auto"/>
        </w:rPr>
        <w:t>。举办陆海精品展洽会，发挥陆海新通道国际工商会联盟秘书处项目办公室作用，</w:t>
      </w:r>
      <w:r>
        <w:rPr>
          <w:rFonts w:hint="default" w:ascii="Times New Roman" w:hAnsi="Times New Roman" w:eastAsia="方正仿宋_GBK" w:cs="Times New Roman"/>
          <w:color w:val="auto"/>
          <w:kern w:val="0"/>
          <w:sz w:val="32"/>
          <w:szCs w:val="32"/>
          <w:highlight w:val="none"/>
          <w:u w:val="none" w:color="auto"/>
          <w:lang w:val="en-US" w:eastAsia="zh-CN"/>
        </w:rPr>
        <w:t>发动</w:t>
      </w:r>
      <w:r>
        <w:rPr>
          <w:rFonts w:hint="default" w:ascii="Times New Roman" w:hAnsi="Times New Roman" w:eastAsia="方正仿宋_GBK" w:cs="Times New Roman"/>
          <w:color w:val="auto"/>
          <w:kern w:val="0"/>
          <w:sz w:val="32"/>
          <w:szCs w:val="32"/>
          <w:highlight w:val="none"/>
          <w:u w:val="none" w:color="auto"/>
        </w:rPr>
        <w:t>通道沿线国家和13+2省（区、市）商协会、企业参加，打造西部陆海新通道展会品牌。推动解放碑步行街与新加坡乌节路建立联动机制，促进国际品牌和资源导入。</w:t>
      </w:r>
    </w:p>
    <w:p w14:paraId="4FE68835">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208" w:name="_Toc20409"/>
      <w:bookmarkStart w:id="209" w:name="_Toc32117"/>
      <w:bookmarkStart w:id="210" w:name="_Toc4368"/>
      <w:bookmarkStart w:id="211" w:name="_Toc9972"/>
      <w:bookmarkStart w:id="212" w:name="_Toc13013"/>
      <w:bookmarkStart w:id="213" w:name="_Toc29838"/>
      <w:bookmarkStart w:id="214" w:name="_Toc18898"/>
      <w:bookmarkStart w:id="215" w:name="_Toc4441"/>
      <w:bookmarkStart w:id="216" w:name="_Toc15146"/>
      <w:bookmarkStart w:id="217" w:name="_Toc29880"/>
      <w:bookmarkStart w:id="218" w:name="_Toc6961"/>
      <w:r>
        <w:rPr>
          <w:rFonts w:hint="default" w:ascii="Times New Roman" w:hAnsi="Times New Roman" w:eastAsia="方正楷体_GBK" w:cs="Times New Roman"/>
          <w:color w:val="auto"/>
          <w:sz w:val="32"/>
          <w:szCs w:val="32"/>
          <w:highlight w:val="none"/>
          <w:u w:val="none" w:color="auto"/>
          <w:lang w:val="en-US" w:eastAsia="zh-CN"/>
        </w:rPr>
        <w:t xml:space="preserve">第三节 </w:t>
      </w:r>
      <w:r>
        <w:rPr>
          <w:rFonts w:hint="default" w:ascii="Times New Roman" w:hAnsi="Times New Roman" w:eastAsia="方正楷体_GBK" w:cs="Times New Roman"/>
          <w:color w:val="auto"/>
          <w:sz w:val="32"/>
          <w:szCs w:val="32"/>
          <w:highlight w:val="none"/>
          <w:u w:val="none" w:color="auto"/>
        </w:rPr>
        <w:t>打造西部陆海新通道金融服务</w:t>
      </w:r>
      <w:r>
        <w:rPr>
          <w:rFonts w:hint="default" w:ascii="Times New Roman" w:hAnsi="Times New Roman" w:eastAsia="方正楷体_GBK" w:cs="Times New Roman"/>
          <w:color w:val="auto"/>
          <w:sz w:val="32"/>
          <w:szCs w:val="32"/>
          <w:highlight w:val="none"/>
          <w:u w:val="none" w:color="auto"/>
          <w:lang w:val="en-US" w:eastAsia="zh-CN"/>
        </w:rPr>
        <w:t>和</w:t>
      </w:r>
      <w:r>
        <w:rPr>
          <w:rFonts w:hint="default" w:ascii="Times New Roman" w:hAnsi="Times New Roman" w:eastAsia="方正楷体_GBK" w:cs="Times New Roman"/>
          <w:color w:val="auto"/>
          <w:sz w:val="32"/>
          <w:szCs w:val="32"/>
          <w:highlight w:val="none"/>
          <w:u w:val="none" w:color="auto"/>
        </w:rPr>
        <w:t>专业服务中心</w:t>
      </w:r>
      <w:bookmarkEnd w:id="208"/>
      <w:bookmarkEnd w:id="209"/>
      <w:bookmarkEnd w:id="210"/>
      <w:bookmarkEnd w:id="211"/>
      <w:bookmarkEnd w:id="212"/>
      <w:bookmarkEnd w:id="213"/>
      <w:bookmarkEnd w:id="214"/>
      <w:bookmarkEnd w:id="215"/>
      <w:bookmarkEnd w:id="216"/>
      <w:bookmarkEnd w:id="217"/>
      <w:bookmarkEnd w:id="218"/>
    </w:p>
    <w:p w14:paraId="29C6AA24">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eastAsia="zh-CN"/>
        </w:rPr>
      </w:pPr>
      <w:r>
        <w:rPr>
          <w:rFonts w:hint="default" w:ascii="Times New Roman" w:hAnsi="Times New Roman" w:eastAsia="方正仿宋_GBK" w:cs="Times New Roman"/>
          <w:color w:val="auto"/>
          <w:sz w:val="32"/>
          <w:szCs w:val="32"/>
          <w:highlight w:val="none"/>
          <w:u w:val="none" w:color="auto"/>
          <w:lang w:eastAsia="zh-CN"/>
        </w:rPr>
        <w:t>积极</w:t>
      </w:r>
      <w:r>
        <w:rPr>
          <w:rFonts w:hint="default" w:ascii="Times New Roman" w:hAnsi="Times New Roman" w:eastAsia="方正仿宋_GBK" w:cs="Times New Roman"/>
          <w:color w:val="auto"/>
          <w:sz w:val="32"/>
          <w:szCs w:val="32"/>
          <w:highlight w:val="none"/>
          <w:u w:val="none" w:color="auto"/>
          <w:lang w:val="en-US" w:eastAsia="zh-CN"/>
        </w:rPr>
        <w:t>推动越南工商银行</w:t>
      </w:r>
      <w:r>
        <w:rPr>
          <w:rFonts w:hint="default" w:ascii="Times New Roman" w:hAnsi="Times New Roman" w:eastAsia="方正仿宋_GBK" w:cs="Times New Roman"/>
          <w:color w:val="auto"/>
          <w:sz w:val="32"/>
          <w:szCs w:val="32"/>
          <w:highlight w:val="none"/>
          <w:u w:val="none" w:color="auto"/>
          <w:lang w:eastAsia="zh-CN"/>
        </w:rPr>
        <w:t>等重大项目落户</w:t>
      </w:r>
      <w:r>
        <w:rPr>
          <w:rFonts w:hint="default" w:ascii="Times New Roman" w:hAnsi="Times New Roman" w:eastAsia="方正仿宋_GBK" w:cs="Times New Roman"/>
          <w:color w:val="auto"/>
          <w:sz w:val="32"/>
          <w:szCs w:val="32"/>
          <w:highlight w:val="none"/>
          <w:u w:val="none" w:color="auto"/>
          <w:lang w:val="en-US" w:eastAsia="zh-CN"/>
        </w:rPr>
        <w:t>运营</w:t>
      </w:r>
      <w:r>
        <w:rPr>
          <w:rFonts w:hint="default" w:ascii="Times New Roman" w:hAnsi="Times New Roman" w:eastAsia="方正仿宋_GBK" w:cs="Times New Roman"/>
          <w:color w:val="auto"/>
          <w:sz w:val="32"/>
          <w:szCs w:val="32"/>
          <w:highlight w:val="none"/>
          <w:u w:val="none" w:color="auto"/>
          <w:lang w:eastAsia="zh-CN"/>
        </w:rPr>
        <w:t>，落地新加坡全球金融科技学院重庆学院。</w:t>
      </w:r>
      <w:r>
        <w:rPr>
          <w:rFonts w:hint="default" w:ascii="Times New Roman" w:hAnsi="Times New Roman" w:eastAsia="方正仿宋_GBK" w:cs="Times New Roman"/>
          <w:color w:val="auto"/>
          <w:sz w:val="32"/>
          <w:szCs w:val="32"/>
          <w:highlight w:val="none"/>
          <w:u w:val="none" w:color="auto"/>
          <w:lang w:val="en-US" w:eastAsia="zh-CN"/>
        </w:rPr>
        <w:t>开展贸易融资转让、数字人民币跨境结算试点，服务打造西部陆海新通道投融资和结算中心。依托</w:t>
      </w:r>
      <w:r>
        <w:rPr>
          <w:rFonts w:hint="default" w:ascii="Times New Roman" w:hAnsi="Times New Roman" w:eastAsia="方正仿宋_GBK" w:cs="Times New Roman"/>
          <w:color w:val="auto"/>
          <w:sz w:val="32"/>
          <w:szCs w:val="32"/>
          <w:highlight w:val="none"/>
          <w:u w:val="none" w:color="auto"/>
          <w:lang w:eastAsia="zh-CN"/>
        </w:rPr>
        <w:t>中国—东盟法律服务中心、</w:t>
      </w:r>
      <w:r>
        <w:rPr>
          <w:rFonts w:hint="default" w:ascii="Times New Roman" w:hAnsi="Times New Roman" w:eastAsia="方正仿宋_GBK" w:cs="Times New Roman"/>
          <w:color w:val="auto"/>
          <w:sz w:val="32"/>
          <w:szCs w:val="32"/>
          <w:highlight w:val="none"/>
          <w:u w:val="none" w:color="auto"/>
          <w:lang w:val="en-US" w:eastAsia="zh-CN"/>
        </w:rPr>
        <w:t>陆海新通道国际工商会联盟商法服务中心，打造法商融合示范区</w:t>
      </w:r>
      <w:r>
        <w:rPr>
          <w:rFonts w:hint="default" w:ascii="Times New Roman" w:hAnsi="Times New Roman" w:eastAsia="方正仿宋_GBK" w:cs="Times New Roman"/>
          <w:color w:val="auto"/>
          <w:sz w:val="32"/>
          <w:szCs w:val="32"/>
          <w:highlight w:val="none"/>
          <w:u w:val="none" w:color="auto"/>
          <w:lang w:eastAsia="zh-CN"/>
        </w:rPr>
        <w:t>。支持律所在新加坡、马来西亚、泰国等通道沿线国家设立分支机构，打造法律服务业高质量发展示范区。</w:t>
      </w:r>
    </w:p>
    <w:p w14:paraId="1457120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9" w:name="_Toc1291"/>
      <w:bookmarkStart w:id="220" w:name="_Toc28422"/>
      <w:bookmarkStart w:id="221" w:name="_Toc19757"/>
      <w:bookmarkStart w:id="222" w:name="_Toc14430"/>
      <w:bookmarkStart w:id="223" w:name="_Toc15944"/>
      <w:bookmarkStart w:id="224" w:name="_Toc13416"/>
      <w:bookmarkStart w:id="225" w:name="_Toc9365"/>
      <w:bookmarkStart w:id="226" w:name="_Toc27931"/>
      <w:bookmarkStart w:id="227" w:name="_Toc11717"/>
      <w:bookmarkStart w:id="228" w:name="_Toc19471"/>
      <w:bookmarkStart w:id="229" w:name="_Toc2889"/>
      <w:r>
        <w:rPr>
          <w:rFonts w:hint="default" w:ascii="Times New Roman" w:hAnsi="Times New Roman" w:eastAsia="方正楷体_GBK" w:cs="Times New Roman"/>
          <w:color w:val="auto"/>
          <w:sz w:val="32"/>
          <w:szCs w:val="32"/>
          <w:highlight w:val="none"/>
          <w:u w:val="none" w:color="auto"/>
          <w:lang w:val="en-US" w:eastAsia="zh-CN"/>
        </w:rPr>
        <w:t>第四节 打造西部陆海新通道国际交往中心</w:t>
      </w:r>
      <w:bookmarkEnd w:id="219"/>
      <w:bookmarkEnd w:id="220"/>
      <w:bookmarkEnd w:id="221"/>
      <w:bookmarkEnd w:id="222"/>
      <w:bookmarkEnd w:id="223"/>
      <w:bookmarkEnd w:id="224"/>
      <w:bookmarkEnd w:id="225"/>
      <w:bookmarkEnd w:id="226"/>
      <w:bookmarkEnd w:id="227"/>
      <w:bookmarkEnd w:id="228"/>
      <w:bookmarkEnd w:id="229"/>
    </w:p>
    <w:p w14:paraId="0E3834B4">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黑体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聚焦国际专业展会互访交流合作，积极参与重庆新加坡双城双周等重大活动。推动通道沿线国家总领事馆、国际组织落户渝中。提升教育、医疗、文旅等多方面国际化水平，办好国际学校，引入重庆莱佛士医院诊疗中心，优化涉外医疗服务定点医院服务能力，打造一批陆海新通道精品旅游线路。</w:t>
      </w:r>
    </w:p>
    <w:p w14:paraId="532C04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30" w:name="_Toc31794"/>
      <w:bookmarkStart w:id="231" w:name="_Toc11076"/>
      <w:bookmarkStart w:id="232" w:name="_Toc5096"/>
      <w:bookmarkStart w:id="233" w:name="_Toc28214"/>
      <w:bookmarkStart w:id="234" w:name="_Toc18111"/>
      <w:bookmarkStart w:id="235" w:name="_Toc23625"/>
      <w:bookmarkStart w:id="236" w:name="_Toc26494"/>
      <w:bookmarkStart w:id="237" w:name="_Toc20986"/>
      <w:bookmarkStart w:id="238" w:name="_Toc26498"/>
      <w:bookmarkStart w:id="239" w:name="_Toc32442"/>
      <w:bookmarkStart w:id="240" w:name="_Toc26958"/>
      <w:bookmarkStart w:id="241" w:name="_Toc29162"/>
      <w:r>
        <w:rPr>
          <w:rFonts w:hint="default" w:ascii="Times New Roman" w:hAnsi="Times New Roman" w:eastAsia="方正黑体_GBK" w:cs="Times New Roman"/>
          <w:color w:val="auto"/>
          <w:sz w:val="32"/>
          <w:szCs w:val="32"/>
          <w:highlight w:val="none"/>
          <w:u w:val="none" w:color="auto"/>
          <w:lang w:val="en-US" w:eastAsia="zh-CN"/>
        </w:rPr>
        <w:t>第六章 高标准建设长江经济带重要节点城市</w:t>
      </w:r>
      <w:bookmarkEnd w:id="230"/>
      <w:bookmarkEnd w:id="231"/>
      <w:bookmarkEnd w:id="232"/>
      <w:bookmarkEnd w:id="233"/>
      <w:bookmarkEnd w:id="234"/>
      <w:bookmarkEnd w:id="235"/>
      <w:bookmarkEnd w:id="236"/>
      <w:bookmarkEnd w:id="237"/>
      <w:bookmarkEnd w:id="238"/>
      <w:bookmarkEnd w:id="239"/>
      <w:bookmarkEnd w:id="240"/>
      <w:bookmarkEnd w:id="241"/>
    </w:p>
    <w:bookmarkEnd w:id="94"/>
    <w:p w14:paraId="076164B0">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jc w:val="left"/>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强化与长江中下游地区资金、技术、产业合作，积极承接关键产业协同转移。探索建立跨区域总部资源共享平台，推动产业链上下游企业协同布局，大力发展供应链管理、跨境经贸等功能板块。聚焦航运服务功能升级，吸引国际航运咨询、船舶代理、货运保险等企业总部集聚，搭建智慧航运服务平台，深化长江上游航运中心建设。基本建成国家级绿色金融改革创新试验区核心区。探索搭建区域性碳汇交易服务平台，开发岸线修复碳汇、楼宇节能碳汇、船舶节能碳汇等特色产品，推动生态价值向经济价值转化。融入全市构建长江上游文化旅游带，开展特色空间的保护、利用和传承。</w:t>
      </w:r>
    </w:p>
    <w:p w14:paraId="7CD904FC">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1"/>
        <w:jc w:val="center"/>
        <w:textAlignment w:val="auto"/>
        <w:outlineLvl w:val="9"/>
        <w:rPr>
          <w:rFonts w:hint="default" w:ascii="Times New Roman" w:hAnsi="Times New Roman" w:eastAsia="方正黑体_GBK" w:cs="Times New Roman"/>
          <w:color w:val="auto"/>
          <w:kern w:val="44"/>
          <w:sz w:val="32"/>
          <w:szCs w:val="32"/>
          <w:highlight w:val="none"/>
          <w:u w:val="none" w:color="auto"/>
        </w:rPr>
      </w:pPr>
      <w:bookmarkStart w:id="242" w:name="_Toc19837"/>
      <w:bookmarkStart w:id="243" w:name="_Toc4876"/>
      <w:bookmarkStart w:id="244" w:name="_Toc18799"/>
      <w:bookmarkStart w:id="245" w:name="_Toc23451"/>
      <w:bookmarkStart w:id="246" w:name="_Toc6206"/>
    </w:p>
    <w:p w14:paraId="1D92C46C">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jc w:val="center"/>
        <w:textAlignment w:val="auto"/>
        <w:outlineLvl w:val="0"/>
        <w:rPr>
          <w:rFonts w:hint="default" w:ascii="Times New Roman" w:hAnsi="Times New Roman" w:eastAsia="方正黑体_GBK" w:cs="Times New Roman"/>
          <w:color w:val="auto"/>
          <w:kern w:val="44"/>
          <w:sz w:val="32"/>
          <w:szCs w:val="32"/>
          <w:highlight w:val="none"/>
          <w:u w:val="none" w:color="auto"/>
        </w:rPr>
      </w:pPr>
      <w:bookmarkStart w:id="247" w:name="_Toc9386"/>
      <w:bookmarkStart w:id="248" w:name="_Toc752"/>
      <w:bookmarkStart w:id="249" w:name="_Toc17080"/>
      <w:bookmarkStart w:id="250" w:name="_Toc8410"/>
      <w:bookmarkStart w:id="251" w:name="_Toc13514"/>
      <w:bookmarkStart w:id="252" w:name="_Toc5479"/>
      <w:bookmarkStart w:id="253" w:name="_Toc12362"/>
      <w:r>
        <w:rPr>
          <w:rFonts w:hint="default" w:ascii="Times New Roman" w:hAnsi="Times New Roman" w:eastAsia="方正黑体_GBK" w:cs="Times New Roman"/>
          <w:color w:val="auto"/>
          <w:kern w:val="44"/>
          <w:sz w:val="32"/>
          <w:szCs w:val="32"/>
          <w:highlight w:val="none"/>
          <w:u w:val="none" w:color="auto"/>
        </w:rPr>
        <w:t>第三篇 巩固现代服务业龙头地位</w:t>
      </w:r>
      <w:r>
        <w:rPr>
          <w:rFonts w:hint="default" w:ascii="Times New Roman" w:hAnsi="Times New Roman" w:eastAsia="方正黑体_GBK" w:cs="Times New Roman"/>
          <w:color w:val="auto"/>
          <w:kern w:val="44"/>
          <w:sz w:val="32"/>
          <w:szCs w:val="32"/>
          <w:highlight w:val="none"/>
          <w:u w:val="none" w:color="auto"/>
          <w:lang w:val="en-US" w:eastAsia="zh-CN"/>
        </w:rPr>
        <w:t xml:space="preserve"> </w:t>
      </w:r>
      <w:r>
        <w:rPr>
          <w:rFonts w:hint="default" w:ascii="Times New Roman" w:hAnsi="Times New Roman" w:eastAsia="方正黑体_GBK" w:cs="Times New Roman"/>
          <w:color w:val="auto"/>
          <w:kern w:val="44"/>
          <w:sz w:val="32"/>
          <w:szCs w:val="32"/>
          <w:highlight w:val="none"/>
          <w:u w:val="none" w:color="auto"/>
        </w:rPr>
        <w:t>迭代升级更具竞争力的</w:t>
      </w:r>
      <w:r>
        <w:rPr>
          <w:rFonts w:hint="eastAsia" w:ascii="Times New Roman" w:hAnsi="Times New Roman" w:eastAsia="方正仿宋_GBK" w:cs="方正仿宋_GBK"/>
          <w:color w:val="auto"/>
          <w:kern w:val="44"/>
          <w:sz w:val="32"/>
          <w:szCs w:val="32"/>
          <w:highlight w:val="none"/>
          <w:u w:val="none" w:color="auto"/>
          <w:lang w:eastAsia="zh-CN"/>
        </w:rPr>
        <w:t>“</w:t>
      </w:r>
      <w:r>
        <w:rPr>
          <w:rFonts w:hint="default" w:ascii="Times New Roman" w:hAnsi="Times New Roman" w:eastAsia="方正黑体_GBK" w:cs="Times New Roman"/>
          <w:color w:val="auto"/>
          <w:kern w:val="44"/>
          <w:sz w:val="32"/>
          <w:szCs w:val="32"/>
          <w:highlight w:val="none"/>
          <w:u w:val="none" w:color="auto"/>
        </w:rPr>
        <w:t>4311</w:t>
      </w:r>
      <w:r>
        <w:rPr>
          <w:rFonts w:hint="eastAsia" w:ascii="Times New Roman" w:hAnsi="Times New Roman" w:eastAsia="方正仿宋_GBK" w:cs="方正仿宋_GBK"/>
          <w:color w:val="auto"/>
          <w:kern w:val="44"/>
          <w:sz w:val="32"/>
          <w:szCs w:val="32"/>
          <w:highlight w:val="none"/>
          <w:u w:val="none" w:color="auto"/>
          <w:lang w:eastAsia="zh-CN"/>
        </w:rPr>
        <w:t>”</w:t>
      </w:r>
      <w:r>
        <w:rPr>
          <w:rFonts w:hint="default" w:ascii="Times New Roman" w:hAnsi="Times New Roman" w:eastAsia="方正黑体_GBK" w:cs="Times New Roman"/>
          <w:color w:val="auto"/>
          <w:kern w:val="44"/>
          <w:sz w:val="32"/>
          <w:szCs w:val="32"/>
          <w:highlight w:val="none"/>
          <w:u w:val="none" w:color="auto"/>
        </w:rPr>
        <w:t>现代化产业体系</w:t>
      </w:r>
      <w:bookmarkEnd w:id="242"/>
      <w:bookmarkEnd w:id="243"/>
      <w:bookmarkEnd w:id="244"/>
      <w:bookmarkEnd w:id="245"/>
      <w:bookmarkEnd w:id="246"/>
      <w:bookmarkEnd w:id="247"/>
      <w:bookmarkEnd w:id="248"/>
      <w:bookmarkEnd w:id="249"/>
      <w:bookmarkEnd w:id="250"/>
      <w:bookmarkEnd w:id="251"/>
      <w:bookmarkEnd w:id="252"/>
      <w:bookmarkEnd w:id="253"/>
    </w:p>
    <w:p w14:paraId="3EC9BB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22"/>
          <w:highlight w:val="none"/>
          <w:u w:val="none" w:color="auto"/>
          <w:lang w:val="en-US" w:eastAsia="zh-CN"/>
          <w14:ligatures w14:val="standardContextual"/>
        </w:rPr>
      </w:pPr>
    </w:p>
    <w:p w14:paraId="7A19B4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黑体_GBK" w:cs="Times New Roman"/>
          <w:color w:val="auto"/>
          <w:sz w:val="32"/>
          <w:szCs w:val="32"/>
          <w:highlight w:val="none"/>
          <w:u w:val="none" w:color="auto"/>
        </w:rPr>
      </w:pPr>
      <w:r>
        <w:rPr>
          <w:rFonts w:hint="default" w:ascii="Times New Roman" w:hAnsi="Times New Roman" w:eastAsia="方正仿宋_GBK" w:cs="Times New Roman"/>
          <w:color w:val="auto"/>
          <w:sz w:val="32"/>
          <w:szCs w:val="22"/>
          <w:highlight w:val="none"/>
          <w:u w:val="none" w:color="auto"/>
          <w:lang w:val="en-US" w:eastAsia="zh-CN"/>
          <w14:ligatures w14:val="standardContextual"/>
        </w:rPr>
        <w:t>突出智能化、绿色化、融合化方向，</w:t>
      </w:r>
      <w:r>
        <w:rPr>
          <w:rFonts w:hint="default" w:ascii="Times New Roman" w:hAnsi="Times New Roman" w:eastAsia="方正仿宋_GBK" w:cs="Times New Roman"/>
          <w:color w:val="auto"/>
          <w:sz w:val="32"/>
          <w:szCs w:val="22"/>
          <w:highlight w:val="none"/>
          <w:u w:val="none" w:color="auto"/>
          <w14:ligatures w14:val="standardContextual"/>
        </w:rPr>
        <w:t>迭代升级</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4311</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现代化产业体系，</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实施服务业扩能提质行动，</w:t>
      </w:r>
      <w:r>
        <w:rPr>
          <w:rFonts w:hint="default" w:ascii="Times New Roman" w:hAnsi="Times New Roman" w:eastAsia="方正仿宋_GBK" w:cs="Times New Roman"/>
          <w:color w:val="auto"/>
          <w:sz w:val="32"/>
          <w:szCs w:val="22"/>
          <w:highlight w:val="none"/>
          <w:u w:val="none" w:color="auto"/>
          <w14:ligatures w14:val="standardContextual"/>
        </w:rPr>
        <w:t>巩固现代服务业引领优势，</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提高现代服务业与全市先进制造业、现代农业融合发展水平</w:t>
      </w:r>
      <w:r>
        <w:rPr>
          <w:rFonts w:hint="default" w:ascii="Times New Roman" w:hAnsi="Times New Roman" w:eastAsia="方正仿宋_GBK" w:cs="Times New Roman"/>
          <w:color w:val="auto"/>
          <w:sz w:val="32"/>
          <w:szCs w:val="22"/>
          <w:highlight w:val="none"/>
          <w:u w:val="none" w:color="auto"/>
          <w14:ligatures w14:val="standardContextual"/>
        </w:rPr>
        <w:t>，</w:t>
      </w:r>
      <w:bookmarkStart w:id="254" w:name="_Toc24369"/>
      <w:r>
        <w:rPr>
          <w:rFonts w:hint="default" w:ascii="Times New Roman" w:hAnsi="Times New Roman" w:eastAsia="方正仿宋_GBK" w:cs="Times New Roman"/>
          <w:b w:val="0"/>
          <w:bCs w:val="0"/>
          <w:color w:val="auto"/>
          <w:spacing w:val="0"/>
          <w:sz w:val="32"/>
          <w:szCs w:val="32"/>
          <w:highlight w:val="none"/>
          <w:u w:val="none" w:color="auto"/>
          <w:lang w:val="en-US" w:eastAsia="zh-CN"/>
        </w:rPr>
        <w:t>当好现代服务业发展</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龙头</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rPr>
        <w:t>。</w:t>
      </w:r>
    </w:p>
    <w:p w14:paraId="396B9DA7">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textAlignment w:val="auto"/>
        <w:outlineLvl w:val="1"/>
        <w:rPr>
          <w:rFonts w:hint="default" w:ascii="Times New Roman" w:hAnsi="Times New Roman" w:eastAsia="方正黑体_GBK" w:cs="Times New Roman"/>
          <w:color w:val="auto"/>
          <w:sz w:val="32"/>
          <w:szCs w:val="32"/>
          <w:highlight w:val="none"/>
          <w:u w:val="none" w:color="auto"/>
        </w:rPr>
      </w:pPr>
      <w:bookmarkStart w:id="255" w:name="_Toc29615"/>
      <w:bookmarkStart w:id="256" w:name="_Toc15452"/>
      <w:bookmarkStart w:id="257" w:name="_Toc4470"/>
      <w:bookmarkStart w:id="258" w:name="_Toc25021"/>
      <w:bookmarkStart w:id="259" w:name="_Toc20073"/>
      <w:bookmarkStart w:id="260" w:name="_Toc31660"/>
      <w:bookmarkStart w:id="261" w:name="_Toc4273"/>
      <w:bookmarkStart w:id="262" w:name="_Toc26988"/>
      <w:bookmarkStart w:id="263" w:name="_Toc21444"/>
      <w:bookmarkStart w:id="264" w:name="_Toc31226"/>
      <w:bookmarkStart w:id="265" w:name="_Toc14617"/>
      <w:bookmarkStart w:id="266" w:name="_Toc186"/>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七</w:t>
      </w:r>
      <w:r>
        <w:rPr>
          <w:rFonts w:hint="default" w:ascii="Times New Roman" w:hAnsi="Times New Roman" w:eastAsia="方正黑体_GBK" w:cs="Times New Roman"/>
          <w:color w:val="auto"/>
          <w:sz w:val="32"/>
          <w:szCs w:val="32"/>
          <w:highlight w:val="none"/>
          <w:u w:val="none" w:color="auto"/>
        </w:rPr>
        <w:t>章 推动生产性服务业向专业化和价值链高端延伸</w:t>
      </w:r>
      <w:bookmarkEnd w:id="254"/>
      <w:bookmarkEnd w:id="255"/>
      <w:bookmarkEnd w:id="256"/>
      <w:bookmarkEnd w:id="257"/>
      <w:bookmarkEnd w:id="258"/>
      <w:bookmarkEnd w:id="259"/>
      <w:bookmarkEnd w:id="260"/>
      <w:bookmarkEnd w:id="261"/>
      <w:bookmarkEnd w:id="262"/>
      <w:bookmarkEnd w:id="263"/>
      <w:bookmarkEnd w:id="264"/>
      <w:bookmarkEnd w:id="265"/>
      <w:bookmarkEnd w:id="266"/>
    </w:p>
    <w:p w14:paraId="55401A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6"/>
          <w:sz w:val="32"/>
          <w:szCs w:val="22"/>
          <w:highlight w:val="none"/>
          <w:u w:val="none" w:color="auto"/>
          <w14:ligatures w14:val="standardContextual"/>
        </w:rPr>
      </w:pPr>
      <w:r>
        <w:rPr>
          <w:rFonts w:hint="default" w:ascii="Times New Roman" w:hAnsi="Times New Roman" w:eastAsia="方正仿宋_GBK" w:cs="Times New Roman"/>
          <w:color w:val="auto"/>
          <w:sz w:val="32"/>
          <w:szCs w:val="22"/>
          <w:highlight w:val="none"/>
          <w:u w:val="none" w:color="auto"/>
          <w14:ligatures w14:val="standardContextual"/>
        </w:rPr>
        <w:t>全面赋能和融入全市</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33618</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现代制造业</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集群体系，壮大现代金融</w:t>
      </w:r>
      <w:r>
        <w:rPr>
          <w:rFonts w:hint="default" w:ascii="Times New Roman" w:hAnsi="Times New Roman" w:eastAsia="方正仿宋_GBK" w:cs="Times New Roman"/>
          <w:color w:val="auto"/>
          <w:sz w:val="32"/>
          <w:szCs w:val="22"/>
          <w:highlight w:val="none"/>
          <w:u w:val="none" w:color="auto"/>
          <w14:ligatures w14:val="standardContextual"/>
        </w:rPr>
        <w:t>、专业服务、科创服务</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现代物流4</w:t>
      </w:r>
      <w:r>
        <w:rPr>
          <w:rFonts w:hint="default" w:ascii="Times New Roman" w:hAnsi="Times New Roman" w:eastAsia="方正仿宋_GBK" w:cs="Times New Roman"/>
          <w:color w:val="auto"/>
          <w:sz w:val="32"/>
          <w:szCs w:val="22"/>
          <w:highlight w:val="none"/>
          <w:u w:val="none" w:color="auto"/>
          <w14:ligatures w14:val="standardContextual"/>
        </w:rPr>
        <w:t>大</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生产性服务业规模，</w:t>
      </w:r>
      <w:r>
        <w:rPr>
          <w:rFonts w:hint="default" w:ascii="Times New Roman" w:hAnsi="Times New Roman" w:eastAsia="方正仿宋_GBK" w:cs="Times New Roman"/>
          <w:color w:val="auto"/>
          <w:spacing w:val="0"/>
          <w:sz w:val="32"/>
          <w:szCs w:val="32"/>
          <w:highlight w:val="none"/>
          <w:u w:val="none" w:color="auto"/>
          <w:lang w:val="en-US" w:eastAsia="zh-CN"/>
        </w:rPr>
        <w:t>推动生产性服务业</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上楼入链</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，打造优势突出、特色鲜明</w:t>
      </w:r>
      <w:r>
        <w:rPr>
          <w:rFonts w:hint="default" w:ascii="Times New Roman" w:hAnsi="Times New Roman" w:eastAsia="方正仿宋_GBK" w:cs="Times New Roman"/>
          <w:color w:val="auto"/>
          <w:spacing w:val="-6"/>
          <w:sz w:val="32"/>
          <w:szCs w:val="22"/>
          <w:highlight w:val="none"/>
          <w:u w:val="none" w:color="auto"/>
          <w:lang w:val="en-US" w:eastAsia="zh-CN"/>
          <w14:ligatures w14:val="standardContextual"/>
        </w:rPr>
        <w:t>的</w:t>
      </w:r>
      <w:r>
        <w:rPr>
          <w:rFonts w:hint="eastAsia" w:ascii="Times New Roman" w:hAnsi="Times New Roman" w:eastAsia="方正仿宋_GBK" w:cs="方正仿宋_GBK"/>
          <w:color w:val="auto"/>
          <w:spacing w:val="-6"/>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pacing w:val="-6"/>
          <w:sz w:val="32"/>
          <w:szCs w:val="22"/>
          <w:highlight w:val="none"/>
          <w:u w:val="none" w:color="auto"/>
          <w:lang w:val="en-US" w:eastAsia="zh-CN"/>
          <w14:ligatures w14:val="standardContextual"/>
        </w:rPr>
        <w:t>星级</w:t>
      </w:r>
      <w:r>
        <w:rPr>
          <w:rFonts w:hint="eastAsia" w:ascii="Times New Roman" w:hAnsi="Times New Roman" w:eastAsia="方正仿宋_GBK" w:cs="方正仿宋_GBK"/>
          <w:color w:val="auto"/>
          <w:spacing w:val="-6"/>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pacing w:val="-6"/>
          <w:sz w:val="32"/>
          <w:szCs w:val="22"/>
          <w:highlight w:val="none"/>
          <w:u w:val="none" w:color="auto"/>
          <w:lang w:val="en-US" w:eastAsia="zh-CN"/>
          <w14:ligatures w14:val="standardContextual"/>
        </w:rPr>
        <w:t>楼宇，提升生产性服务业集聚区发展能级和辐射带动力</w:t>
      </w:r>
      <w:r>
        <w:rPr>
          <w:rFonts w:hint="default" w:ascii="Times New Roman" w:hAnsi="Times New Roman" w:eastAsia="方正仿宋_GBK" w:cs="Times New Roman"/>
          <w:color w:val="auto"/>
          <w:spacing w:val="-6"/>
          <w:sz w:val="32"/>
          <w:szCs w:val="22"/>
          <w:highlight w:val="none"/>
          <w:u w:val="none" w:color="auto"/>
          <w14:ligatures w14:val="standardContextual"/>
        </w:rPr>
        <w:t>。</w:t>
      </w:r>
    </w:p>
    <w:p w14:paraId="1B21743C">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267" w:name="_Toc5879"/>
      <w:bookmarkStart w:id="268" w:name="_Toc24318"/>
      <w:bookmarkStart w:id="269" w:name="_Toc23967"/>
      <w:bookmarkStart w:id="270" w:name="_Toc11578"/>
      <w:bookmarkStart w:id="271" w:name="_Toc22019"/>
      <w:bookmarkStart w:id="272" w:name="_Toc1264"/>
      <w:bookmarkStart w:id="273" w:name="_Toc12615"/>
      <w:bookmarkStart w:id="274" w:name="_Toc21902"/>
      <w:bookmarkStart w:id="275" w:name="_Toc32473"/>
      <w:bookmarkStart w:id="276" w:name="_Toc22547"/>
      <w:bookmarkStart w:id="277" w:name="_Toc16420"/>
      <w:bookmarkStart w:id="278" w:name="_Toc25020"/>
      <w:bookmarkStart w:id="279" w:name="OLE_LINK3"/>
      <w:bookmarkStart w:id="280" w:name="_Toc11040"/>
      <w:r>
        <w:rPr>
          <w:rFonts w:hint="default" w:ascii="Times New Roman" w:hAnsi="Times New Roman" w:eastAsia="方正楷体_GBK" w:cs="Times New Roman"/>
          <w:color w:val="auto"/>
          <w:sz w:val="32"/>
          <w:szCs w:val="32"/>
          <w:highlight w:val="none"/>
          <w:u w:val="none" w:color="auto"/>
        </w:rPr>
        <w:t xml:space="preserve">第一节 </w:t>
      </w:r>
      <w:r>
        <w:rPr>
          <w:rFonts w:hint="default" w:ascii="Times New Roman" w:hAnsi="Times New Roman" w:eastAsia="方正楷体_GBK" w:cs="Times New Roman"/>
          <w:color w:val="auto"/>
          <w:sz w:val="32"/>
          <w:szCs w:val="32"/>
          <w:highlight w:val="none"/>
          <w:u w:val="none" w:color="auto"/>
          <w:lang w:val="en-US" w:eastAsia="zh-CN"/>
        </w:rPr>
        <w:t>基本建成</w:t>
      </w:r>
      <w:r>
        <w:rPr>
          <w:rFonts w:hint="default" w:ascii="Times New Roman" w:hAnsi="Times New Roman" w:eastAsia="方正楷体_GBK" w:cs="Times New Roman"/>
          <w:color w:val="auto"/>
          <w:sz w:val="32"/>
          <w:szCs w:val="32"/>
          <w:highlight w:val="none"/>
          <w:u w:val="none" w:color="auto"/>
        </w:rPr>
        <w:t>西部金融中心主承载区</w:t>
      </w:r>
      <w:bookmarkEnd w:id="267"/>
      <w:bookmarkEnd w:id="268"/>
      <w:bookmarkEnd w:id="269"/>
      <w:bookmarkEnd w:id="270"/>
      <w:bookmarkEnd w:id="271"/>
      <w:bookmarkEnd w:id="272"/>
      <w:bookmarkEnd w:id="273"/>
      <w:bookmarkEnd w:id="274"/>
      <w:bookmarkEnd w:id="275"/>
      <w:bookmarkEnd w:id="276"/>
      <w:bookmarkEnd w:id="277"/>
    </w:p>
    <w:p w14:paraId="7AAD10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22"/>
          <w:highlight w:val="none"/>
          <w:u w:val="none" w:color="auto"/>
          <w14:ligatures w14:val="standardContextual"/>
        </w:rPr>
      </w:pP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坚持金融首位，迭代实施</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智融慧畅</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工程，扎实推进金融</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五篇大文章</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，以建设解放碑金融极核为引领，构建两路口—化龙桥金融联动带，大力发展国际金融、绿色金融、科技金融等特色业态，打造来福士国际金融集聚区、解放碑金融总部集聚区，构建</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股贷债保担租</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联动的全方位综合金融服务体系，全面增强金融服务实体经济能力。大力支持发展金融科技，深化知识产权质押融资、供应链金融等产品应用，力争引进全国头部金融科技企业1</w:t>
      </w:r>
      <w:r>
        <w:rPr>
          <w:rFonts w:hint="eastAsia"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2家。持续丰富金融业态，加速集聚总部型、功能性、国际化金融机构及高端要素资源，巩固提升保险、金融租赁、期货等机构集聚优势，加快建设西部保险高地和财富管理高地。深入推进企业上市</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千里马</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行动，动态优化拟上市企业后备资源库，充分发挥区域性股权市场优势和渝中区产业投资基金杠杆效应，强化</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以投代引</w:t>
      </w:r>
      <w:r>
        <w:rPr>
          <w:rFonts w:hint="eastAsia" w:ascii="Times New Roman" w:hAnsi="Times New Roman" w:eastAsia="方正仿宋_GBK" w:cs="方正仿宋_GBK"/>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，打造重庆私募股权投资集聚区。</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完善金融后市场服务体系建设，持续优化金融生态环境。西部金融中心主承载区基本建成，金融集聚辐射、服务实体、数智创新、开放引领、风险防控能力西部领先，</w:t>
      </w:r>
      <w:r>
        <w:rPr>
          <w:rFonts w:hint="default" w:ascii="Times New Roman" w:hAnsi="Times New Roman" w:eastAsia="方正仿宋_GBK" w:cs="Times New Roman"/>
          <w:color w:val="auto"/>
          <w:sz w:val="32"/>
          <w:szCs w:val="32"/>
          <w:highlight w:val="none"/>
          <w:u w:val="none" w:color="auto"/>
          <w14:ligatures w14:val="standardContextual"/>
        </w:rPr>
        <w:t>本外币存贷款余额</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达到</w:t>
      </w:r>
      <w:r>
        <w:rPr>
          <w:rFonts w:hint="default" w:ascii="Times New Roman" w:hAnsi="Times New Roman" w:eastAsia="方正仿宋_GBK" w:cs="Times New Roman"/>
          <w:color w:val="auto"/>
          <w:sz w:val="32"/>
          <w:szCs w:val="32"/>
          <w:highlight w:val="none"/>
          <w:u w:val="none" w:color="auto"/>
          <w14:ligatures w14:val="standardContextual"/>
        </w:rPr>
        <w:t>1.7万亿元，保费收入规模提升至450亿元，现代金融增加值占GDP比重23%</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以上</w:t>
      </w:r>
      <w:r>
        <w:rPr>
          <w:rFonts w:hint="default" w:ascii="Times New Roman" w:hAnsi="Times New Roman" w:eastAsia="方正仿宋_GBK" w:cs="Times New Roman"/>
          <w:color w:val="auto"/>
          <w:sz w:val="32"/>
          <w:szCs w:val="32"/>
          <w:highlight w:val="none"/>
          <w:u w:val="none" w:color="auto"/>
          <w14:ligatures w14:val="standardContextual"/>
        </w:rPr>
        <w:t>，占全市金融业增加值比重14%</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以上</w:t>
      </w:r>
      <w:r>
        <w:rPr>
          <w:rFonts w:hint="default" w:ascii="Times New Roman" w:hAnsi="Times New Roman" w:eastAsia="方正仿宋_GBK" w:cs="Times New Roman"/>
          <w:color w:val="auto"/>
          <w:sz w:val="32"/>
          <w:szCs w:val="32"/>
          <w:highlight w:val="none"/>
          <w:u w:val="none" w:color="auto"/>
          <w14:ligatures w14:val="standardContextual"/>
        </w:rPr>
        <w:t>。</w:t>
      </w:r>
    </w:p>
    <w:p w14:paraId="6C2A7426">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专栏1  金融</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lang w:val="en-US" w:eastAsia="zh-CN"/>
        </w:rPr>
        <w:t>五篇大文章</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lang w:val="en-US" w:eastAsia="zh-CN"/>
        </w:rPr>
        <w:t>发展方向</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F60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794CE8E8">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1.科技金融。</w:t>
            </w:r>
            <w:r>
              <w:rPr>
                <w:rFonts w:hint="default" w:ascii="Times New Roman" w:hAnsi="Times New Roman" w:eastAsia="方正仿宋_GBK" w:cs="Times New Roman"/>
                <w:color w:val="auto"/>
                <w:spacing w:val="0"/>
                <w:kern w:val="2"/>
                <w:sz w:val="24"/>
                <w:szCs w:val="24"/>
                <w:highlight w:val="none"/>
                <w:u w:val="none" w:color="auto"/>
                <w:lang w:val="en-US" w:eastAsia="zh-CN" w:bidi="ar-SA"/>
              </w:rPr>
              <w:t>完善多层次科技金融服务体系，创新科技金融产品和服务模式，</w:t>
            </w:r>
            <w:r>
              <w:rPr>
                <w:rFonts w:hint="default" w:ascii="Times New Roman" w:hAnsi="Times New Roman" w:eastAsia="方正仿宋_GBK" w:cs="Times New Roman"/>
                <w:color w:val="auto"/>
                <w:kern w:val="2"/>
                <w:sz w:val="24"/>
                <w:szCs w:val="24"/>
                <w:highlight w:val="none"/>
                <w:u w:val="none" w:color="auto"/>
                <w:lang w:val="en-US" w:eastAsia="zh-CN" w:bidi="ar-SA"/>
              </w:rPr>
              <w:t>鼓励银行业金融机构设立科技支行、科技保险机构、科创金融事业部3—5个，</w:t>
            </w:r>
            <w:r>
              <w:rPr>
                <w:rFonts w:hint="default" w:ascii="Times New Roman" w:hAnsi="Times New Roman" w:eastAsia="方正仿宋_GBK" w:cs="Times New Roman"/>
                <w:color w:val="auto"/>
                <w:sz w:val="24"/>
                <w:szCs w:val="24"/>
                <w:highlight w:val="none"/>
                <w:u w:val="none" w:color="auto"/>
              </w:rPr>
              <w:t>科技型企业贷款余额突破</w:t>
            </w:r>
            <w:r>
              <w:rPr>
                <w:rFonts w:hint="default" w:ascii="Times New Roman" w:hAnsi="Times New Roman" w:eastAsia="方正仿宋_GBK" w:cs="Times New Roman"/>
                <w:color w:val="auto"/>
                <w:sz w:val="24"/>
                <w:szCs w:val="24"/>
                <w:highlight w:val="none"/>
                <w:u w:val="none" w:color="auto"/>
                <w:lang w:val="en-US" w:eastAsia="zh-CN"/>
              </w:rPr>
              <w:t>550</w:t>
            </w:r>
            <w:r>
              <w:rPr>
                <w:rFonts w:hint="default" w:ascii="Times New Roman" w:hAnsi="Times New Roman" w:eastAsia="方正仿宋_GBK" w:cs="Times New Roman"/>
                <w:color w:val="auto"/>
                <w:sz w:val="24"/>
                <w:szCs w:val="24"/>
                <w:highlight w:val="none"/>
                <w:u w:val="none" w:color="auto"/>
              </w:rPr>
              <w:t>亿元</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74814BF1">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2.绿色金融。</w:t>
            </w:r>
            <w:r>
              <w:rPr>
                <w:rFonts w:hint="default" w:ascii="Times New Roman" w:hAnsi="Times New Roman" w:eastAsia="方正仿宋_GBK" w:cs="Times New Roman"/>
                <w:color w:val="auto"/>
                <w:sz w:val="24"/>
                <w:szCs w:val="24"/>
                <w:highlight w:val="none"/>
                <w:u w:val="none" w:color="auto"/>
                <w:vertAlign w:val="baseline"/>
                <w:lang w:val="en-US" w:eastAsia="zh-CN"/>
              </w:rPr>
              <w:t>深化绿色金融改革创新试验区核心区建设，构建覆盖项目、市场、标准的绿色金融服务体系，绿色贷款余额达2500亿元，占全市绿色贷款比重稳定在17%以上。</w:t>
            </w:r>
          </w:p>
          <w:p w14:paraId="5CEC167B">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3.普惠金融。</w:t>
            </w:r>
            <w:r>
              <w:rPr>
                <w:rFonts w:hint="default" w:ascii="Times New Roman" w:hAnsi="Times New Roman" w:eastAsia="方正仿宋_GBK" w:cs="Times New Roman"/>
                <w:color w:val="auto"/>
                <w:sz w:val="24"/>
                <w:szCs w:val="24"/>
                <w:highlight w:val="none"/>
                <w:u w:val="none" w:color="auto"/>
                <w:vertAlign w:val="baseline"/>
                <w:lang w:val="en-US" w:eastAsia="zh-CN"/>
              </w:rPr>
              <w:t>推动普惠金融提质扩面，完善首贷续贷与金融服务港湾建设，持续推广</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善科贷</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渝链产业贷</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渝个贷</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文旅贷</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等差异化、场景化的特色信贷产品，大力支持中小微企业融资，普惠小微贷款余额突破600亿元。</w:t>
            </w:r>
          </w:p>
          <w:p w14:paraId="455B6809">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4.养老金融。</w:t>
            </w:r>
            <w:r>
              <w:rPr>
                <w:rFonts w:hint="default" w:ascii="Times New Roman" w:hAnsi="Times New Roman" w:eastAsia="方正仿宋_GBK" w:cs="Times New Roman"/>
                <w:color w:val="auto"/>
                <w:sz w:val="24"/>
                <w:highlight w:val="none"/>
                <w:u w:val="none" w:color="auto"/>
              </w:rPr>
              <w:t>构建多层次养老金融体系，围绕老年群体资产保值、康养消费等需求，创新开发专属理财、信贷产品，支持银行业金融机构建立养老金融事业部、特色分（支）行等养老金融专营机构3</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5家，推动金融机构营业网点适老化改造覆盖率达100%。</w:t>
            </w:r>
          </w:p>
          <w:p w14:paraId="442C2573">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5.数字金融。</w:t>
            </w:r>
            <w:r>
              <w:rPr>
                <w:rFonts w:hint="default" w:ascii="Times New Roman" w:hAnsi="Times New Roman" w:eastAsia="方正仿宋_GBK" w:cs="Times New Roman"/>
                <w:color w:val="auto"/>
                <w:sz w:val="24"/>
                <w:highlight w:val="none"/>
                <w:u w:val="none" w:color="auto"/>
              </w:rPr>
              <w:t>推动金融机构数字化转型，推广大数据、区块链、人工智能等技术在客户管理、身份识别、绿色金融风控领域的应用。推动数智金融综合服务提档升级，支持渝中法院市场化金融纠纷一体化调处区高效运行。积极参与数字人民币跨境支付、数字货币桥等试点。</w:t>
            </w:r>
          </w:p>
        </w:tc>
      </w:tr>
      <w:bookmarkEnd w:id="278"/>
      <w:bookmarkEnd w:id="279"/>
      <w:bookmarkEnd w:id="280"/>
    </w:tbl>
    <w:p w14:paraId="58FF12E9">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281" w:name="_Toc24285"/>
      <w:bookmarkStart w:id="282" w:name="_Toc11600"/>
      <w:bookmarkStart w:id="283" w:name="_Toc8265"/>
      <w:bookmarkStart w:id="284" w:name="_Toc27360"/>
      <w:bookmarkStart w:id="285" w:name="_Toc28893"/>
      <w:bookmarkStart w:id="286" w:name="_Toc28599"/>
      <w:bookmarkStart w:id="287" w:name="_Toc24776"/>
      <w:bookmarkStart w:id="288" w:name="_Toc17206"/>
      <w:bookmarkStart w:id="289" w:name="_Toc16620"/>
      <w:bookmarkStart w:id="290" w:name="_Toc8197"/>
      <w:bookmarkStart w:id="291" w:name="_Toc13735"/>
      <w:bookmarkStart w:id="292" w:name="_Toc6556"/>
      <w:bookmarkStart w:id="293" w:name="_Toc29974"/>
      <w:r>
        <w:rPr>
          <w:rFonts w:hint="default" w:ascii="Times New Roman" w:hAnsi="Times New Roman" w:eastAsia="方正楷体_GBK" w:cs="Times New Roman"/>
          <w:color w:val="auto"/>
          <w:sz w:val="32"/>
          <w:szCs w:val="32"/>
          <w:highlight w:val="none"/>
          <w:u w:val="none" w:color="auto"/>
        </w:rPr>
        <w:t xml:space="preserve">第二节 </w:t>
      </w:r>
      <w:bookmarkEnd w:id="281"/>
      <w:r>
        <w:rPr>
          <w:rFonts w:hint="default" w:ascii="Times New Roman" w:hAnsi="Times New Roman" w:eastAsia="方正楷体_GBK" w:cs="Times New Roman"/>
          <w:color w:val="auto"/>
          <w:sz w:val="32"/>
          <w:szCs w:val="32"/>
          <w:highlight w:val="none"/>
          <w:u w:val="none" w:color="auto"/>
          <w:lang w:val="en-US" w:eastAsia="zh-CN"/>
        </w:rPr>
        <w:t>基本建成</w:t>
      </w:r>
      <w:r>
        <w:rPr>
          <w:rFonts w:hint="default" w:ascii="Times New Roman" w:hAnsi="Times New Roman" w:eastAsia="方正楷体_GBK" w:cs="Times New Roman"/>
          <w:color w:val="auto"/>
          <w:sz w:val="32"/>
          <w:szCs w:val="32"/>
          <w:highlight w:val="none"/>
          <w:u w:val="none" w:color="auto"/>
        </w:rPr>
        <w:t>西部高端专业服务中心</w:t>
      </w:r>
      <w:bookmarkEnd w:id="282"/>
      <w:bookmarkEnd w:id="283"/>
      <w:bookmarkEnd w:id="284"/>
      <w:bookmarkEnd w:id="285"/>
      <w:bookmarkEnd w:id="286"/>
      <w:bookmarkEnd w:id="287"/>
      <w:bookmarkEnd w:id="288"/>
      <w:bookmarkEnd w:id="289"/>
      <w:bookmarkEnd w:id="290"/>
      <w:bookmarkEnd w:id="291"/>
      <w:bookmarkEnd w:id="292"/>
      <w:bookmarkEnd w:id="293"/>
    </w:p>
    <w:p w14:paraId="1C2B9188">
      <w:pPr>
        <w:keepNext w:val="0"/>
        <w:keepLines w:val="0"/>
        <w:pageBreakBefore w:val="0"/>
        <w:tabs>
          <w:tab w:val="right" w:leader="dot" w:pos="8844"/>
        </w:tabs>
        <w:kinsoku/>
        <w:wordWrap/>
        <w:topLinePunct w:val="0"/>
        <w:autoSpaceDE/>
        <w:autoSpaceDN/>
        <w:bidi w:val="0"/>
        <w:spacing w:line="600" w:lineRule="exact"/>
        <w:ind w:firstLine="640" w:firstLineChars="200"/>
        <w:jc w:val="both"/>
        <w:outlineLvl w:val="9"/>
        <w:rPr>
          <w:rFonts w:hint="default" w:ascii="Times New Roman" w:hAnsi="Times New Roman" w:eastAsia="方正仿宋_GBK" w:cs="Times New Roman"/>
          <w:bCs/>
          <w:color w:val="auto"/>
          <w:spacing w:val="-6"/>
          <w:sz w:val="32"/>
          <w:szCs w:val="32"/>
          <w:highlight w:val="none"/>
          <w:u w:val="none" w:color="auto"/>
          <w:lang w:eastAsia="zh-CN"/>
        </w:rPr>
      </w:pPr>
      <w:bookmarkStart w:id="294" w:name="_Toc14838"/>
      <w:r>
        <w:rPr>
          <w:rFonts w:hint="default" w:ascii="Times New Roman" w:hAnsi="Times New Roman" w:eastAsia="方正仿宋_GBK" w:cs="Times New Roman"/>
          <w:color w:val="auto"/>
          <w:sz w:val="32"/>
          <w:szCs w:val="32"/>
          <w:highlight w:val="none"/>
          <w:u w:val="none" w:color="auto"/>
        </w:rPr>
        <w:t>聚焦</w:t>
      </w:r>
      <w:r>
        <w:rPr>
          <w:rFonts w:hint="default" w:ascii="Times New Roman" w:hAnsi="Times New Roman" w:eastAsia="方正仿宋_GBK" w:cs="Times New Roman"/>
          <w:bCs/>
          <w:color w:val="auto"/>
          <w:sz w:val="32"/>
          <w:szCs w:val="32"/>
          <w:highlight w:val="none"/>
          <w:u w:val="none" w:color="auto"/>
        </w:rPr>
        <w:t>工程技术与设计服务</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人力资源服务、法律</w:t>
      </w:r>
      <w:r>
        <w:rPr>
          <w:rFonts w:hint="default" w:ascii="Times New Roman" w:hAnsi="Times New Roman" w:eastAsia="方正仿宋_GBK" w:cs="Times New Roman"/>
          <w:color w:val="auto"/>
          <w:sz w:val="32"/>
          <w:szCs w:val="32"/>
          <w:highlight w:val="none"/>
          <w:u w:val="none" w:color="auto"/>
          <w:lang w:val="en-US" w:eastAsia="zh-CN"/>
        </w:rPr>
        <w:t>服务</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会计</w:t>
      </w:r>
      <w:r>
        <w:rPr>
          <w:rFonts w:hint="default" w:ascii="Times New Roman" w:hAnsi="Times New Roman" w:eastAsia="方正仿宋_GBK" w:cs="Times New Roman"/>
          <w:color w:val="auto"/>
          <w:sz w:val="32"/>
          <w:szCs w:val="32"/>
          <w:highlight w:val="none"/>
          <w:u w:val="none" w:color="auto"/>
          <w:lang w:val="en-US" w:eastAsia="zh-CN"/>
        </w:rPr>
        <w:t>审计</w:t>
      </w:r>
      <w:r>
        <w:rPr>
          <w:rFonts w:hint="default" w:ascii="Times New Roman" w:hAnsi="Times New Roman" w:eastAsia="方正仿宋_GBK" w:cs="Times New Roman"/>
          <w:color w:val="auto"/>
          <w:sz w:val="32"/>
          <w:szCs w:val="32"/>
          <w:highlight w:val="none"/>
          <w:u w:val="none" w:color="auto"/>
        </w:rPr>
        <w:t>服务</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检验检测服务、知识产权服务等优势赛道、潜力赛道</w:t>
      </w:r>
      <w:r>
        <w:rPr>
          <w:rFonts w:hint="default" w:ascii="Times New Roman" w:hAnsi="Times New Roman" w:eastAsia="方正仿宋_GBK" w:cs="Times New Roman"/>
          <w:color w:val="auto"/>
          <w:sz w:val="32"/>
          <w:szCs w:val="32"/>
          <w:highlight w:val="none"/>
          <w:u w:val="none" w:color="auto"/>
          <w:lang w:val="en-US" w:eastAsia="zh-CN"/>
        </w:rPr>
        <w:t>一体发力</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培育引进猎头公司、资本市场审计企业、高品质律所等行业尖端主体，建成</w:t>
      </w:r>
      <w:r>
        <w:rPr>
          <w:rFonts w:hint="default" w:ascii="Times New Roman" w:hAnsi="Times New Roman" w:eastAsia="方正仿宋_GBK" w:cs="Times New Roman"/>
          <w:color w:val="auto"/>
          <w:kern w:val="2"/>
          <w:sz w:val="32"/>
          <w:szCs w:val="24"/>
          <w:highlight w:val="none"/>
          <w:u w:val="none" w:color="auto"/>
          <w:lang w:val="en-US" w:eastAsia="zh-CN" w:bidi="ar-SA"/>
        </w:rPr>
        <w:t>解放碑中央商务区综合服务集聚区、</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化龙桥专业服务集聚示范区、重庆市高端会计服务示范中心等重大平台，</w:t>
      </w:r>
      <w:r>
        <w:rPr>
          <w:rFonts w:hint="default" w:ascii="Times New Roman" w:hAnsi="Times New Roman" w:eastAsia="方正仿宋_GBK" w:cs="Times New Roman"/>
          <w:bCs/>
          <w:color w:val="auto"/>
          <w:sz w:val="32"/>
          <w:szCs w:val="32"/>
          <w:highlight w:val="none"/>
          <w:u w:val="none" w:color="auto"/>
        </w:rPr>
        <w:t>推动专业服务机构能级更强、服务品质更优、开放水平更高。</w:t>
      </w:r>
      <w:r>
        <w:rPr>
          <w:rFonts w:hint="eastAsia" w:ascii="Times New Roman" w:hAnsi="Times New Roman" w:eastAsia="方正仿宋_GBK" w:cs="Times New Roman"/>
          <w:bCs/>
          <w:color w:val="auto"/>
          <w:sz w:val="32"/>
          <w:szCs w:val="32"/>
          <w:highlight w:val="none"/>
          <w:u w:val="none" w:color="auto"/>
          <w:lang w:val="en-US" w:eastAsia="zh-CN"/>
        </w:rPr>
        <w:t>加快质量强区、标准强区、品牌强区建设，</w:t>
      </w:r>
      <w:r>
        <w:rPr>
          <w:rFonts w:hint="default" w:ascii="Times New Roman" w:hAnsi="Times New Roman" w:eastAsia="方正仿宋_GBK" w:cs="Times New Roman"/>
          <w:bCs/>
          <w:color w:val="auto"/>
          <w:sz w:val="32"/>
          <w:szCs w:val="32"/>
          <w:highlight w:val="none"/>
          <w:u w:val="none" w:color="auto"/>
        </w:rPr>
        <w:t>支持辖区专业服务机构参与国内外权威行业榜单评选，鼓励高能级机构</w:t>
      </w:r>
      <w:r>
        <w:rPr>
          <w:rFonts w:hint="default" w:ascii="Times New Roman" w:hAnsi="Times New Roman" w:eastAsia="方正仿宋_GBK" w:cs="Times New Roman"/>
          <w:bCs/>
          <w:color w:val="auto"/>
          <w:sz w:val="32"/>
          <w:szCs w:val="32"/>
          <w:highlight w:val="none"/>
          <w:u w:val="none" w:color="auto"/>
          <w:lang w:val="en-US" w:eastAsia="zh-CN"/>
        </w:rPr>
        <w:t>和</w:t>
      </w:r>
      <w:r>
        <w:rPr>
          <w:rFonts w:hint="default" w:ascii="Times New Roman" w:hAnsi="Times New Roman" w:eastAsia="方正仿宋_GBK" w:cs="Times New Roman"/>
          <w:bCs/>
          <w:color w:val="auto"/>
          <w:sz w:val="32"/>
          <w:szCs w:val="32"/>
          <w:highlight w:val="none"/>
          <w:u w:val="none" w:color="auto"/>
        </w:rPr>
        <w:t>行业组织牵头或参与国际</w:t>
      </w:r>
      <w:r>
        <w:rPr>
          <w:rFonts w:hint="default" w:ascii="Times New Roman" w:hAnsi="Times New Roman" w:eastAsia="方正仿宋_GBK" w:cs="Times New Roman"/>
          <w:bCs/>
          <w:color w:val="auto"/>
          <w:sz w:val="32"/>
          <w:szCs w:val="32"/>
          <w:highlight w:val="none"/>
          <w:u w:val="none" w:color="auto"/>
          <w:lang w:val="en-US" w:eastAsia="zh-CN"/>
        </w:rPr>
        <w:t>国内高端专业服务</w:t>
      </w:r>
      <w:r>
        <w:rPr>
          <w:rFonts w:hint="default" w:ascii="Times New Roman" w:hAnsi="Times New Roman" w:eastAsia="方正仿宋_GBK" w:cs="Times New Roman"/>
          <w:bCs/>
          <w:color w:val="auto"/>
          <w:sz w:val="32"/>
          <w:szCs w:val="32"/>
          <w:highlight w:val="none"/>
          <w:u w:val="none" w:color="auto"/>
        </w:rPr>
        <w:t>标准</w:t>
      </w:r>
      <w:r>
        <w:rPr>
          <w:rFonts w:hint="default" w:ascii="Times New Roman" w:hAnsi="Times New Roman" w:eastAsia="方正仿宋_GBK" w:cs="Times New Roman"/>
          <w:bCs/>
          <w:color w:val="auto"/>
          <w:sz w:val="32"/>
          <w:szCs w:val="32"/>
          <w:highlight w:val="none"/>
          <w:u w:val="none" w:color="auto"/>
          <w:lang w:val="en-US" w:eastAsia="zh-CN"/>
        </w:rPr>
        <w:t>制定</w:t>
      </w:r>
      <w:r>
        <w:rPr>
          <w:rFonts w:hint="default" w:ascii="Times New Roman" w:hAnsi="Times New Roman" w:eastAsia="方正仿宋_GBK" w:cs="Times New Roman"/>
          <w:bCs/>
          <w:color w:val="auto"/>
          <w:sz w:val="32"/>
          <w:szCs w:val="32"/>
          <w:highlight w:val="none"/>
          <w:u w:val="none" w:color="auto"/>
        </w:rPr>
        <w:t>修订</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支持优势品牌企业开展国际质量认证、国际商标注册，培育服务业标准化示范项目与试点示范单位。常态化开展产业信息、重点活动宣发，支持专业服务机构拓展国际</w:t>
      </w:r>
      <w:r>
        <w:rPr>
          <w:rFonts w:hint="default" w:ascii="Times New Roman" w:hAnsi="Times New Roman" w:eastAsia="方正仿宋_GBK" w:cs="Times New Roman"/>
          <w:bCs/>
          <w:color w:val="auto"/>
          <w:sz w:val="32"/>
          <w:szCs w:val="32"/>
          <w:highlight w:val="none"/>
          <w:u w:val="none" w:color="auto"/>
          <w:lang w:val="en-US" w:eastAsia="zh-CN"/>
        </w:rPr>
        <w:t>国内</w:t>
      </w:r>
      <w:r>
        <w:rPr>
          <w:rFonts w:hint="default" w:ascii="Times New Roman" w:hAnsi="Times New Roman" w:eastAsia="方正仿宋_GBK" w:cs="Times New Roman"/>
          <w:bCs/>
          <w:color w:val="auto"/>
          <w:sz w:val="32"/>
          <w:szCs w:val="32"/>
          <w:highlight w:val="none"/>
          <w:u w:val="none" w:color="auto"/>
        </w:rPr>
        <w:t>宣传阵地与展示平台，全方位提升</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渝中专业服务</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lang w:val="en-US" w:eastAsia="zh-CN"/>
        </w:rPr>
        <w:t>品牌</w:t>
      </w:r>
      <w:r>
        <w:rPr>
          <w:rFonts w:hint="default" w:ascii="Times New Roman" w:hAnsi="Times New Roman" w:eastAsia="方正仿宋_GBK" w:cs="Times New Roman"/>
          <w:bCs/>
          <w:color w:val="auto"/>
          <w:sz w:val="32"/>
          <w:szCs w:val="32"/>
          <w:highlight w:val="none"/>
          <w:u w:val="none" w:color="auto"/>
        </w:rPr>
        <w:t>形象。</w:t>
      </w:r>
      <w:r>
        <w:rPr>
          <w:rFonts w:hint="default" w:ascii="Times New Roman" w:hAnsi="Times New Roman" w:eastAsia="方正仿宋_GBK" w:cs="Times New Roman"/>
          <w:bCs/>
          <w:color w:val="auto"/>
          <w:sz w:val="32"/>
          <w:szCs w:val="32"/>
          <w:highlight w:val="none"/>
          <w:u w:val="none" w:color="auto"/>
          <w:lang w:val="en-US" w:eastAsia="zh-CN"/>
        </w:rPr>
        <w:t>大力</w:t>
      </w:r>
      <w:r>
        <w:rPr>
          <w:rFonts w:hint="default" w:ascii="Times New Roman" w:hAnsi="Times New Roman" w:eastAsia="方正仿宋_GBK" w:cs="Times New Roman"/>
          <w:bCs/>
          <w:color w:val="auto"/>
          <w:sz w:val="32"/>
          <w:szCs w:val="32"/>
          <w:highlight w:val="none"/>
          <w:u w:val="none" w:color="auto"/>
        </w:rPr>
        <w:t>支持专业服务机构</w:t>
      </w:r>
      <w:r>
        <w:rPr>
          <w:rFonts w:hint="default" w:ascii="Times New Roman" w:hAnsi="Times New Roman" w:eastAsia="方正仿宋_GBK" w:cs="Times New Roman"/>
          <w:bCs/>
          <w:color w:val="auto"/>
          <w:sz w:val="32"/>
          <w:szCs w:val="32"/>
          <w:highlight w:val="none"/>
          <w:u w:val="none" w:color="auto"/>
          <w:lang w:val="en-US" w:eastAsia="zh-CN"/>
        </w:rPr>
        <w:t>运用</w:t>
      </w:r>
      <w:r>
        <w:rPr>
          <w:rFonts w:hint="default" w:ascii="Times New Roman" w:hAnsi="Times New Roman" w:eastAsia="方正仿宋_GBK" w:cs="Times New Roman"/>
          <w:bCs/>
          <w:color w:val="auto"/>
          <w:sz w:val="32"/>
          <w:szCs w:val="32"/>
          <w:highlight w:val="none"/>
          <w:u w:val="none" w:color="auto"/>
        </w:rPr>
        <w:t>数智技术</w:t>
      </w:r>
      <w:r>
        <w:rPr>
          <w:rFonts w:hint="default" w:ascii="Times New Roman" w:hAnsi="Times New Roman" w:eastAsia="方正仿宋_GBK" w:cs="Times New Roman"/>
          <w:bCs/>
          <w:color w:val="auto"/>
          <w:sz w:val="32"/>
          <w:szCs w:val="32"/>
          <w:highlight w:val="none"/>
          <w:u w:val="none" w:color="auto"/>
          <w:lang w:val="en-US" w:eastAsia="zh-CN"/>
        </w:rPr>
        <w:t>探索服</w:t>
      </w:r>
      <w:r>
        <w:rPr>
          <w:rFonts w:hint="default" w:ascii="Times New Roman" w:hAnsi="Times New Roman" w:eastAsia="方正仿宋_GBK" w:cs="Times New Roman"/>
          <w:bCs/>
          <w:color w:val="auto"/>
          <w:spacing w:val="-6"/>
          <w:sz w:val="32"/>
          <w:szCs w:val="32"/>
          <w:highlight w:val="none"/>
          <w:u w:val="none" w:color="auto"/>
          <w:lang w:val="en-US" w:eastAsia="zh-CN"/>
        </w:rPr>
        <w:t>务新模式，</w:t>
      </w:r>
      <w:r>
        <w:rPr>
          <w:rFonts w:hint="default" w:ascii="Times New Roman" w:hAnsi="Times New Roman" w:eastAsia="方正仿宋_GBK" w:cs="Times New Roman"/>
          <w:bCs/>
          <w:color w:val="auto"/>
          <w:spacing w:val="-6"/>
          <w:sz w:val="32"/>
          <w:szCs w:val="32"/>
          <w:highlight w:val="none"/>
          <w:u w:val="none" w:color="auto"/>
        </w:rPr>
        <w:t>提升服务能力与效率</w:t>
      </w:r>
      <w:r>
        <w:rPr>
          <w:rFonts w:hint="default" w:ascii="Times New Roman" w:hAnsi="Times New Roman" w:eastAsia="方正仿宋_GBK" w:cs="Times New Roman"/>
          <w:bCs/>
          <w:color w:val="auto"/>
          <w:spacing w:val="-6"/>
          <w:sz w:val="32"/>
          <w:szCs w:val="32"/>
          <w:highlight w:val="none"/>
          <w:u w:val="none" w:color="auto"/>
          <w:lang w:eastAsia="zh-CN"/>
        </w:rPr>
        <w:t>，</w:t>
      </w:r>
      <w:r>
        <w:rPr>
          <w:rFonts w:hint="default" w:ascii="Times New Roman" w:hAnsi="Times New Roman" w:eastAsia="方正仿宋_GBK" w:cs="Times New Roman"/>
          <w:color w:val="auto"/>
          <w:spacing w:val="-6"/>
          <w:sz w:val="32"/>
          <w:szCs w:val="32"/>
          <w:highlight w:val="none"/>
          <w:u w:val="none" w:color="auto"/>
        </w:rPr>
        <w:t>专业服务</w:t>
      </w:r>
      <w:r>
        <w:rPr>
          <w:rFonts w:hint="default" w:ascii="Times New Roman" w:hAnsi="Times New Roman" w:eastAsia="方正仿宋_GBK" w:cs="Times New Roman"/>
          <w:color w:val="auto"/>
          <w:spacing w:val="-6"/>
          <w:sz w:val="32"/>
          <w:szCs w:val="32"/>
          <w:highlight w:val="none"/>
          <w:u w:val="none" w:color="auto"/>
          <w:lang w:val="en-US" w:eastAsia="zh-CN"/>
        </w:rPr>
        <w:t>业</w:t>
      </w:r>
      <w:r>
        <w:rPr>
          <w:rFonts w:hint="default" w:ascii="Times New Roman" w:hAnsi="Times New Roman" w:eastAsia="方正仿宋_GBK" w:cs="Times New Roman"/>
          <w:color w:val="auto"/>
          <w:spacing w:val="-6"/>
          <w:sz w:val="32"/>
          <w:szCs w:val="32"/>
          <w:highlight w:val="none"/>
          <w:u w:val="none" w:color="auto"/>
        </w:rPr>
        <w:t>增加值突破2</w:t>
      </w:r>
      <w:r>
        <w:rPr>
          <w:rFonts w:hint="default" w:ascii="Times New Roman" w:hAnsi="Times New Roman" w:eastAsia="方正仿宋_GBK" w:cs="Times New Roman"/>
          <w:color w:val="auto"/>
          <w:spacing w:val="-6"/>
          <w:sz w:val="32"/>
          <w:szCs w:val="32"/>
          <w:highlight w:val="none"/>
          <w:u w:val="none" w:color="auto"/>
          <w:lang w:val="en-US" w:eastAsia="zh-CN"/>
        </w:rPr>
        <w:t>00</w:t>
      </w:r>
      <w:r>
        <w:rPr>
          <w:rFonts w:hint="default" w:ascii="Times New Roman" w:hAnsi="Times New Roman" w:eastAsia="方正仿宋_GBK" w:cs="Times New Roman"/>
          <w:color w:val="auto"/>
          <w:spacing w:val="-6"/>
          <w:sz w:val="32"/>
          <w:szCs w:val="32"/>
          <w:highlight w:val="none"/>
          <w:u w:val="none" w:color="auto"/>
        </w:rPr>
        <w:t>亿元。</w:t>
      </w:r>
    </w:p>
    <w:p w14:paraId="42A9668E">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专栏2  专业服务重点发展方向</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982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9478691">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w:t>
            </w:r>
            <w:r>
              <w:rPr>
                <w:rFonts w:hint="default" w:ascii="Times New Roman" w:hAnsi="Times New Roman" w:eastAsia="方正黑体_GBK" w:cs="Times New Roman"/>
                <w:color w:val="auto"/>
                <w:sz w:val="24"/>
                <w:highlight w:val="none"/>
                <w:u w:val="none" w:color="auto"/>
              </w:rPr>
              <w:t>工程技术与设计服务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大力实施总集成总承包服务能力提升行动，支持大型工程技术与设计服务业企业综合化发展，推广BIM技术运用，培育发展勘察设计、咨询监理等服务业态</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46704A5A">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w:t>
            </w:r>
            <w:r>
              <w:rPr>
                <w:rFonts w:hint="default" w:ascii="Times New Roman" w:hAnsi="Times New Roman" w:eastAsia="方正黑体_GBK" w:cs="Times New Roman"/>
                <w:color w:val="auto"/>
                <w:sz w:val="24"/>
                <w:highlight w:val="none"/>
                <w:u w:val="none" w:color="auto"/>
              </w:rPr>
              <w:t>人力资源服务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以创新为突破口推动人力资源服务业转型升级，推动技术创新、产品创新、业态创新、模式创新，做大行业规模</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6294AEA6">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w:t>
            </w:r>
            <w:r>
              <w:rPr>
                <w:rFonts w:hint="default" w:ascii="Times New Roman" w:hAnsi="Times New Roman" w:eastAsia="方正黑体_GBK" w:cs="Times New Roman"/>
                <w:color w:val="auto"/>
                <w:sz w:val="24"/>
                <w:highlight w:val="none"/>
                <w:u w:val="none" w:color="auto"/>
              </w:rPr>
              <w:t>法律服务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支持律师事务所规模化、</w:t>
            </w:r>
            <w:r>
              <w:rPr>
                <w:rFonts w:hint="default" w:ascii="Times New Roman" w:hAnsi="Times New Roman" w:eastAsia="方正仿宋_GBK" w:cs="Times New Roman"/>
                <w:color w:val="auto"/>
                <w:sz w:val="24"/>
                <w:highlight w:val="none"/>
                <w:u w:val="none" w:color="auto"/>
                <w:lang w:val="en-US" w:eastAsia="zh-CN"/>
              </w:rPr>
              <w:t>数字化、</w:t>
            </w:r>
            <w:r>
              <w:rPr>
                <w:rFonts w:hint="default" w:ascii="Times New Roman" w:hAnsi="Times New Roman" w:eastAsia="方正仿宋_GBK" w:cs="Times New Roman"/>
                <w:color w:val="auto"/>
                <w:sz w:val="24"/>
                <w:highlight w:val="none"/>
                <w:u w:val="none" w:color="auto"/>
              </w:rPr>
              <w:t>专业化、品牌化、国际化、规范化发展，全面拓展</w:t>
            </w:r>
            <w:r>
              <w:rPr>
                <w:rFonts w:hint="default" w:ascii="Times New Roman" w:hAnsi="Times New Roman" w:eastAsia="方正仿宋_GBK" w:cs="Times New Roman"/>
                <w:bCs w:val="0"/>
                <w:color w:val="auto"/>
                <w:sz w:val="24"/>
                <w:szCs w:val="24"/>
                <w:highlight w:val="none"/>
                <w:u w:val="none" w:color="auto"/>
              </w:rPr>
              <w:t>跨境投融资并购、跨境知识产权、数据合规</w:t>
            </w:r>
            <w:r>
              <w:rPr>
                <w:rFonts w:hint="default" w:ascii="Times New Roman" w:hAnsi="Times New Roman" w:eastAsia="方正仿宋_GBK" w:cs="Times New Roman"/>
                <w:color w:val="auto"/>
                <w:sz w:val="24"/>
                <w:highlight w:val="none"/>
                <w:u w:val="none" w:color="auto"/>
              </w:rPr>
              <w:t>等高端业务，大力提升涉外法律服务能力和水平</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11900F0A">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w:t>
            </w:r>
            <w:r>
              <w:rPr>
                <w:rFonts w:hint="default" w:ascii="Times New Roman" w:hAnsi="Times New Roman" w:eastAsia="方正黑体_GBK" w:cs="Times New Roman"/>
                <w:color w:val="auto"/>
                <w:sz w:val="24"/>
                <w:highlight w:val="none"/>
                <w:u w:val="none" w:color="auto"/>
              </w:rPr>
              <w:t>会计审计服务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推动会计师事务所高端化、差异化发展，做优传统审计业务，做专IPO审计、融资发债、并购重组、破产管理、公募REITs发行等高附加值业务，以化龙桥优质载体、龙头机构为依托，积极打造重庆市高端会计服务示范中心</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21237398">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w:t>
            </w:r>
            <w:r>
              <w:rPr>
                <w:rFonts w:hint="default" w:ascii="Times New Roman" w:hAnsi="Times New Roman" w:eastAsia="方正黑体_GBK" w:cs="Times New Roman"/>
                <w:color w:val="auto"/>
                <w:sz w:val="24"/>
                <w:highlight w:val="none"/>
                <w:u w:val="none" w:color="auto"/>
              </w:rPr>
              <w:t>检验检测服务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聚焦医疗卫生医药器械、建筑工程、</w:t>
            </w:r>
            <w:r>
              <w:rPr>
                <w:rFonts w:hint="default" w:ascii="Times New Roman" w:hAnsi="Times New Roman" w:eastAsia="方正仿宋_GBK" w:cs="Times New Roman"/>
                <w:color w:val="auto"/>
                <w:sz w:val="24"/>
                <w:highlight w:val="none"/>
                <w:u w:val="none" w:color="auto"/>
                <w:lang w:val="en-US" w:eastAsia="zh-CN"/>
              </w:rPr>
              <w:t>生态环境、</w:t>
            </w:r>
            <w:r>
              <w:rPr>
                <w:rFonts w:hint="default" w:ascii="Times New Roman" w:hAnsi="Times New Roman" w:eastAsia="方正仿宋_GBK" w:cs="Times New Roman"/>
                <w:color w:val="auto"/>
                <w:sz w:val="24"/>
                <w:highlight w:val="none"/>
                <w:u w:val="none" w:color="auto"/>
              </w:rPr>
              <w:t>食品安全检测等方向，打造专业检验检测服务集群。</w:t>
            </w:r>
          </w:p>
          <w:p w14:paraId="576F9F20">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6.</w:t>
            </w:r>
            <w:r>
              <w:rPr>
                <w:rFonts w:hint="default" w:ascii="Times New Roman" w:hAnsi="Times New Roman" w:eastAsia="方正黑体_GBK" w:cs="Times New Roman"/>
                <w:color w:val="auto"/>
                <w:sz w:val="24"/>
                <w:highlight w:val="none"/>
                <w:u w:val="none" w:color="auto"/>
              </w:rPr>
              <w:t>知识产权服务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eastAsia" w:ascii="Times New Roman" w:hAnsi="Times New Roman" w:eastAsia="方正仿宋_GBK" w:cs="Times New Roman"/>
                <w:color w:val="auto"/>
                <w:sz w:val="24"/>
                <w:highlight w:val="none"/>
                <w:u w:val="none" w:color="auto"/>
                <w:lang w:val="en-US" w:eastAsia="zh-CN"/>
              </w:rPr>
              <w:t>建设知识产权强区，</w:t>
            </w:r>
            <w:r>
              <w:rPr>
                <w:rFonts w:hint="default" w:ascii="Times New Roman" w:hAnsi="Times New Roman" w:eastAsia="方正仿宋_GBK" w:cs="Times New Roman"/>
                <w:color w:val="auto"/>
                <w:sz w:val="24"/>
                <w:highlight w:val="none"/>
                <w:u w:val="none" w:color="auto"/>
              </w:rPr>
              <w:t>聚焦专利、商标、著作权服务等赛道，延伸代理、维权、运营转化全链条，提升知识产权服务能级</w:t>
            </w:r>
            <w:r>
              <w:rPr>
                <w:rFonts w:hint="default" w:ascii="Times New Roman" w:hAnsi="Times New Roman" w:eastAsia="方正仿宋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推动知识产权服务机构在渝中区开展定向服务</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lang w:val="en-US" w:eastAsia="zh-CN"/>
              </w:rPr>
              <w:t>支持</w:t>
            </w:r>
            <w:r>
              <w:rPr>
                <w:rFonts w:hint="default" w:ascii="Times New Roman" w:hAnsi="Times New Roman" w:eastAsia="方正仿宋_GBK" w:cs="Times New Roman"/>
                <w:color w:val="auto"/>
                <w:sz w:val="24"/>
                <w:highlight w:val="none"/>
                <w:u w:val="none" w:color="auto"/>
              </w:rPr>
              <w:t>发展专利、商标、著作权、集成电路布图设计等代理服务</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6E7E481A">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7.</w:t>
            </w:r>
            <w:r>
              <w:rPr>
                <w:rFonts w:hint="default" w:ascii="Times New Roman" w:hAnsi="Times New Roman" w:eastAsia="方正黑体_GBK" w:cs="Times New Roman"/>
                <w:color w:val="auto"/>
                <w:sz w:val="24"/>
                <w:highlight w:val="none"/>
                <w:u w:val="none" w:color="auto"/>
                <w:lang w:val="en-US" w:eastAsia="zh-CN"/>
              </w:rPr>
              <w:t>信用</w:t>
            </w:r>
            <w:r>
              <w:rPr>
                <w:rFonts w:hint="default" w:ascii="Times New Roman" w:hAnsi="Times New Roman" w:eastAsia="方正黑体_GBK" w:cs="Times New Roman"/>
                <w:color w:val="auto"/>
                <w:sz w:val="24"/>
                <w:highlight w:val="none"/>
                <w:u w:val="none" w:color="auto"/>
              </w:rPr>
              <w:t>服务</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加快信用服务全产业链布局，推动信用科技、信用评级、信用修复、信用保险、信用担保、信用融资、信用管理咨询及培训等相关业态服务机构规模化发展。鼓励发展信用咨询事务所，引导信用服务机构树立品牌意识，走品牌化发展道路。</w:t>
            </w:r>
          </w:p>
          <w:p w14:paraId="500D1760">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highlight w:val="none"/>
                <w:u w:val="none" w:color="auto"/>
                <w:lang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8.</w:t>
            </w:r>
            <w:r>
              <w:rPr>
                <w:rFonts w:hint="default" w:ascii="Times New Roman" w:hAnsi="Times New Roman" w:eastAsia="方正黑体_GBK" w:cs="Times New Roman"/>
                <w:color w:val="auto"/>
                <w:sz w:val="24"/>
                <w:highlight w:val="none"/>
                <w:u w:val="none" w:color="auto"/>
              </w:rPr>
              <w:t>咨询服务</w:t>
            </w:r>
            <w:r>
              <w:rPr>
                <w:rFonts w:hint="default" w:ascii="Times New Roman" w:hAnsi="Times New Roman" w:eastAsia="方正黑体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推动</w:t>
            </w:r>
            <w:r>
              <w:rPr>
                <w:rFonts w:hint="default" w:ascii="Times New Roman" w:hAnsi="Times New Roman" w:eastAsia="方正仿宋_GBK" w:cs="Times New Roman"/>
                <w:color w:val="auto"/>
                <w:sz w:val="24"/>
                <w:highlight w:val="none"/>
                <w:u w:val="none" w:color="auto"/>
                <w:lang w:val="en-US" w:eastAsia="zh-CN"/>
              </w:rPr>
              <w:t>项目</w:t>
            </w:r>
            <w:r>
              <w:rPr>
                <w:rFonts w:hint="default" w:ascii="Times New Roman" w:hAnsi="Times New Roman" w:eastAsia="方正仿宋_GBK" w:cs="Times New Roman"/>
                <w:color w:val="auto"/>
                <w:sz w:val="24"/>
                <w:highlight w:val="none"/>
                <w:u w:val="none" w:color="auto"/>
              </w:rPr>
              <w:t>咨询机构提供综合性、跨阶段、一体化全过程咨询服务。积极发展品牌策划、</w:t>
            </w:r>
            <w:r>
              <w:rPr>
                <w:rFonts w:hint="default" w:ascii="Times New Roman" w:hAnsi="Times New Roman" w:eastAsia="方正仿宋_GBK" w:cs="Times New Roman"/>
                <w:color w:val="auto"/>
                <w:sz w:val="24"/>
                <w:highlight w:val="none"/>
                <w:u w:val="none" w:color="auto"/>
                <w:lang w:val="en-US" w:eastAsia="zh-CN"/>
              </w:rPr>
              <w:t>市场营销、</w:t>
            </w:r>
            <w:r>
              <w:rPr>
                <w:rFonts w:hint="default" w:ascii="Times New Roman" w:hAnsi="Times New Roman" w:eastAsia="方正仿宋_GBK" w:cs="Times New Roman"/>
                <w:color w:val="auto"/>
                <w:sz w:val="24"/>
                <w:highlight w:val="none"/>
                <w:u w:val="none" w:color="auto"/>
              </w:rPr>
              <w:t>咨询评估等商务服务，做强会展</w:t>
            </w:r>
            <w:r>
              <w:rPr>
                <w:rFonts w:hint="default" w:ascii="Times New Roman" w:hAnsi="Times New Roman" w:eastAsia="方正仿宋_GBK" w:cs="Times New Roman"/>
                <w:color w:val="auto"/>
                <w:sz w:val="24"/>
                <w:highlight w:val="none"/>
                <w:u w:val="none" w:color="auto"/>
                <w:lang w:val="en-US" w:eastAsia="zh-CN"/>
              </w:rPr>
              <w:t>服务</w:t>
            </w:r>
            <w:r>
              <w:rPr>
                <w:rFonts w:hint="default" w:ascii="Times New Roman" w:hAnsi="Times New Roman" w:eastAsia="方正仿宋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重点引进管理咨询、技术咨询、信息咨询等各类咨询机构</w:t>
            </w:r>
            <w:r>
              <w:rPr>
                <w:rFonts w:hint="default" w:ascii="Times New Roman" w:hAnsi="Times New Roman" w:eastAsia="方正仿宋_GBK" w:cs="Times New Roman"/>
                <w:color w:val="auto"/>
                <w:sz w:val="24"/>
                <w:highlight w:val="none"/>
                <w:u w:val="none" w:color="auto"/>
                <w:lang w:eastAsia="zh-CN"/>
              </w:rPr>
              <w:t>。</w:t>
            </w:r>
          </w:p>
          <w:p w14:paraId="75198030">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highlight w:val="none"/>
                <w:u w:val="none" w:color="auto"/>
                <w:lang w:val="en-US" w:eastAsia="zh-CN"/>
              </w:rPr>
              <w:t>9.新兴赛道</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highlight w:val="none"/>
                <w:u w:val="none" w:color="auto"/>
              </w:rPr>
              <w:t>发展壮大数据确权、评估、交易、合规等环节的新兴专业服务主体。</w:t>
            </w:r>
          </w:p>
        </w:tc>
      </w:tr>
      <w:bookmarkEnd w:id="294"/>
    </w:tbl>
    <w:p w14:paraId="05A4A993">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仿宋_GBK" w:cs="Times New Roman"/>
          <w:color w:val="auto"/>
          <w:sz w:val="32"/>
          <w:szCs w:val="22"/>
          <w:highlight w:val="none"/>
          <w:u w:val="none" w:color="auto"/>
          <w:lang w:val="en-US" w:eastAsia="zh-CN"/>
          <w14:ligatures w14:val="standardContextual"/>
        </w:rPr>
      </w:pPr>
      <w:bookmarkStart w:id="295" w:name="_Toc29572"/>
      <w:bookmarkStart w:id="296" w:name="_Toc31369"/>
      <w:bookmarkStart w:id="297" w:name="_Toc23776"/>
      <w:bookmarkStart w:id="298" w:name="_Toc6900"/>
      <w:bookmarkStart w:id="299" w:name="_Toc429"/>
      <w:bookmarkStart w:id="300" w:name="_Toc30575"/>
      <w:bookmarkStart w:id="301" w:name="_Toc2546"/>
      <w:bookmarkStart w:id="302" w:name="_Toc12392"/>
      <w:bookmarkStart w:id="303" w:name="_Toc32325"/>
      <w:bookmarkStart w:id="304" w:name="_Toc17602"/>
      <w:bookmarkStart w:id="305" w:name="_Toc27061"/>
      <w:bookmarkStart w:id="306" w:name="_Toc19579"/>
      <w:bookmarkStart w:id="307" w:name="_Toc20203"/>
      <w:r>
        <w:rPr>
          <w:rFonts w:hint="default" w:ascii="Times New Roman" w:hAnsi="Times New Roman" w:eastAsia="方正楷体_GBK" w:cs="Times New Roman"/>
          <w:color w:val="auto"/>
          <w:sz w:val="32"/>
          <w:szCs w:val="32"/>
          <w:highlight w:val="none"/>
          <w:u w:val="none" w:color="auto"/>
        </w:rPr>
        <w:t>第三节 聚力建设科创中心特色功能区</w:t>
      </w:r>
      <w:bookmarkEnd w:id="295"/>
      <w:bookmarkEnd w:id="296"/>
      <w:bookmarkEnd w:id="297"/>
      <w:bookmarkEnd w:id="298"/>
      <w:bookmarkEnd w:id="299"/>
      <w:bookmarkEnd w:id="300"/>
      <w:bookmarkEnd w:id="301"/>
      <w:bookmarkEnd w:id="302"/>
      <w:bookmarkEnd w:id="303"/>
      <w:bookmarkEnd w:id="304"/>
      <w:bookmarkEnd w:id="305"/>
      <w:bookmarkEnd w:id="306"/>
    </w:p>
    <w:p w14:paraId="6B3F69E8">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lang w:val="en-US" w:eastAsia="zh-CN"/>
          <w14:ligatures w14:val="standardContextual"/>
        </w:rPr>
      </w:pP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围绕数字内容、专业软件、工业设计、AI智能体等重点方向，迭代升级</w:t>
      </w:r>
      <w:r>
        <w:rPr>
          <w:rFonts w:hint="eastAsia" w:ascii="Times New Roman" w:hAnsi="Times New Roman" w:eastAsia="方正仿宋_GBK" w:cs="方正仿宋_GBK"/>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满天星</w:t>
      </w:r>
      <w:r>
        <w:rPr>
          <w:rFonts w:hint="eastAsia" w:ascii="Times New Roman" w:hAnsi="Times New Roman" w:eastAsia="方正仿宋_GBK" w:cs="方正仿宋_GBK"/>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行动计划，提升</w:t>
      </w:r>
      <w:r>
        <w:rPr>
          <w:rFonts w:hint="eastAsia" w:ascii="Times New Roman" w:hAnsi="Times New Roman" w:eastAsia="方正仿宋_GBK" w:cs="方正仿宋_GBK"/>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来数加工</w:t>
      </w:r>
      <w:r>
        <w:rPr>
          <w:rFonts w:hint="eastAsia" w:ascii="Times New Roman" w:hAnsi="Times New Roman" w:eastAsia="方正仿宋_GBK" w:cs="方正仿宋_GBK"/>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规模能级，全面提高规模化、专业化、市场化科创服务业创新能力和产业竞争力，</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集聚软信企业超7000家，</w:t>
      </w:r>
      <w:r>
        <w:rPr>
          <w:rFonts w:hint="default" w:ascii="Times New Roman" w:hAnsi="Times New Roman" w:eastAsia="方正仿宋_GBK" w:cs="Times New Roman"/>
          <w:color w:val="auto"/>
          <w:sz w:val="32"/>
          <w:szCs w:val="22"/>
          <w:highlight w:val="none"/>
          <w:u w:val="none" w:color="auto"/>
          <w14:ligatures w14:val="standardContextual"/>
        </w:rPr>
        <w:t>软信产业增加值占GDP比重达到6%</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sz w:val="32"/>
          <w:szCs w:val="22"/>
          <w:highlight w:val="none"/>
          <w:u w:val="none" w:color="auto"/>
          <w14:ligatures w14:val="standardContextual"/>
        </w:rPr>
        <w:t>支持企业应用生成式人工智能（AIGC）、动态环境建模、实时三维计算机图形等新兴技术开展数字内容创作生产</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大力发展动漫游戏、直播、短视频等业态。加快打造重庆市软件产业园（综合型），构</w:t>
      </w:r>
      <w:r>
        <w:rPr>
          <w:rFonts w:hint="default" w:ascii="Times New Roman" w:hAnsi="Times New Roman" w:eastAsia="方正仿宋_GBK" w:cs="Times New Roman"/>
          <w:color w:val="auto"/>
          <w:sz w:val="32"/>
          <w:szCs w:val="32"/>
          <w:highlight w:val="none"/>
          <w:u w:val="none" w:color="auto"/>
          <w:lang w:val="en-US" w:eastAsia="zh-CN"/>
        </w:rPr>
        <w:t>建以研发设计类、经营管理类工业软件为主，生产控制类工业软件为辅的</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两主一辅</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工业软件产品矩阵；</w:t>
      </w:r>
      <w:r>
        <w:rPr>
          <w:rFonts w:hint="default" w:ascii="Times New Roman" w:hAnsi="Times New Roman" w:eastAsia="方正仿宋_GBK" w:cs="Times New Roman"/>
          <w:color w:val="auto"/>
          <w:kern w:val="2"/>
          <w:sz w:val="32"/>
          <w:szCs w:val="32"/>
          <w:highlight w:val="none"/>
          <w:u w:val="none" w:color="auto"/>
          <w:lang w:val="en-US" w:eastAsia="zh-CN" w:bidi="ar"/>
        </w:rPr>
        <w:t>重点发展智能座舱、智能辅助驾驶和车载操作系统、应用软件等汽车软件，支持软信企业与整车企业协同联动，打造智能网联新能源汽车软件生态。</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全力推进</w:t>
      </w:r>
      <w:r>
        <w:rPr>
          <w:rFonts w:hint="default" w:ascii="Times New Roman" w:hAnsi="Times New Roman" w:eastAsia="方正仿宋_GBK" w:cs="Times New Roman"/>
          <w:color w:val="auto"/>
          <w:spacing w:val="0"/>
          <w:sz w:val="32"/>
          <w:szCs w:val="32"/>
          <w:highlight w:val="none"/>
          <w:u w:val="none" w:color="auto"/>
          <w:lang w:val="en-US" w:eastAsia="zh-CN"/>
        </w:rPr>
        <w:t>重庆工业设计总部基地建设</w:t>
      </w:r>
      <w:r>
        <w:rPr>
          <w:rFonts w:hint="default" w:ascii="Times New Roman" w:hAnsi="Times New Roman" w:eastAsia="方正仿宋_GBK" w:cs="Times New Roman"/>
          <w:color w:val="auto"/>
          <w:spacing w:val="0"/>
          <w:sz w:val="32"/>
          <w:szCs w:val="32"/>
          <w:highlight w:val="none"/>
          <w:u w:val="none" w:color="auto"/>
          <w:lang w:eastAsia="zh-CN"/>
        </w:rPr>
        <w:t>，</w:t>
      </w:r>
      <w:r>
        <w:rPr>
          <w:rFonts w:hint="eastAsia" w:ascii="Times New Roman" w:hAnsi="Times New Roman" w:eastAsia="方正仿宋_GBK" w:cs="Times New Roman"/>
          <w:sz w:val="32"/>
          <w:szCs w:val="32"/>
          <w:highlight w:val="none"/>
          <w:lang w:val="en-US" w:eastAsia="zh-CN"/>
        </w:rPr>
        <w:t>提速建设黄花园现代服务业产业园，</w:t>
      </w:r>
      <w:r>
        <w:rPr>
          <w:rFonts w:hint="default" w:ascii="Times New Roman" w:hAnsi="Times New Roman" w:eastAsia="方正仿宋_GBK" w:cs="Times New Roman"/>
          <w:color w:val="auto"/>
          <w:sz w:val="32"/>
          <w:szCs w:val="22"/>
          <w:highlight w:val="none"/>
          <w:lang w:eastAsia="zh-CN"/>
          <w14:ligatures w14:val="standardContextual"/>
        </w:rPr>
        <w:t>围绕汽车、建筑业、新一代信息产业的核心技术装备等领域，积极引育专业设计研究机构，</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赋能重庆建设全球设计之都。</w:t>
      </w:r>
      <w:r>
        <w:rPr>
          <w:rFonts w:hint="default" w:ascii="Times New Roman" w:hAnsi="Times New Roman" w:eastAsia="方正仿宋_GBK" w:cs="Times New Roman"/>
          <w:color w:val="auto"/>
          <w:sz w:val="32"/>
          <w:szCs w:val="32"/>
          <w:highlight w:val="none"/>
          <w:u w:val="none" w:color="auto"/>
          <w:lang w:val="en-US" w:eastAsia="zh-CN"/>
        </w:rPr>
        <w:t>支持软信企业加快智能体开发与应用，推进人工智能赋能赋智赋值。</w:t>
      </w:r>
      <w:r>
        <w:rPr>
          <w:rFonts w:hint="default" w:ascii="Times New Roman" w:hAnsi="Times New Roman" w:eastAsia="方正仿宋_GBK" w:cs="Times New Roman"/>
          <w:color w:val="auto"/>
          <w:spacing w:val="0"/>
          <w:kern w:val="0"/>
          <w:sz w:val="32"/>
          <w:szCs w:val="32"/>
          <w:highlight w:val="none"/>
          <w:u w:val="none" w:color="auto"/>
          <w:shd w:val="clear" w:color="auto" w:fill="FFFFFF"/>
          <w:lang w:val="en-US" w:eastAsia="zh-CN"/>
        </w:rPr>
        <w:t>加快构建研究开发、技术服务、技术转移转化、企业孵化等科技研发全周期全链条服务体系，</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紧盯信息技术、工业技术、工程技术等重点技术服务领域，促进研发企业向平台化运作、专业化分工、规模化集群转型升级，科技研发服务增加值占GDP比重达到5%。</w:t>
      </w:r>
      <w:r>
        <w:rPr>
          <w:rFonts w:hint="default" w:ascii="Times New Roman" w:hAnsi="Times New Roman" w:eastAsia="方正仿宋_GBK" w:cs="Times New Roman"/>
          <w:color w:val="auto"/>
          <w:sz w:val="32"/>
          <w:szCs w:val="32"/>
          <w:highlight w:val="none"/>
          <w:u w:val="none" w:color="auto"/>
          <w:lang w:val="en-US" w:eastAsia="zh-CN"/>
        </w:rPr>
        <w:t>完善</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揭榜挂帅</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科研攻关机制，高效链接技术需求与创新资源，构建需求导向的协同创新体系。</w:t>
      </w:r>
    </w:p>
    <w:bookmarkEnd w:id="307"/>
    <w:p w14:paraId="3DDF6135">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bookmarkStart w:id="308" w:name="_Toc7824"/>
      <w:bookmarkStart w:id="309" w:name="_Toc16832"/>
      <w:bookmarkStart w:id="310" w:name="OLE_LINK20"/>
      <w:r>
        <w:rPr>
          <w:rFonts w:hint="default" w:ascii="Times New Roman" w:hAnsi="Times New Roman" w:eastAsia="方正黑体_GBK" w:cs="Times New Roman"/>
          <w:color w:val="auto"/>
          <w:sz w:val="28"/>
          <w:szCs w:val="28"/>
          <w:highlight w:val="none"/>
          <w:u w:val="none" w:color="auto"/>
          <w:lang w:val="en-US" w:eastAsia="zh-CN"/>
        </w:rPr>
        <w:t xml:space="preserve">专栏3  </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rPr>
        <w:t>揭榜挂帅</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lang w:val="en-US" w:eastAsia="zh-CN"/>
        </w:rPr>
        <w:t>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D81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DB26F3E">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1.中小企业数字化转型服务平台。</w:t>
            </w:r>
            <w:r>
              <w:rPr>
                <w:rFonts w:hint="default" w:ascii="Times New Roman" w:hAnsi="Times New Roman" w:eastAsia="方正仿宋_GBK" w:cs="Times New Roman"/>
                <w:color w:val="auto"/>
                <w:sz w:val="24"/>
                <w:szCs w:val="24"/>
                <w:highlight w:val="none"/>
                <w:u w:val="none" w:color="auto"/>
                <w:vertAlign w:val="baseline"/>
                <w:lang w:val="en-US" w:eastAsia="zh-CN"/>
              </w:rPr>
              <w:t>围绕中小企业生产运营全流程痛点，提供轻量化、低成本且适配柔性生产的数字化服务，覆盖制造执行、智能排产、质量管控与物流协同的MES/MOM产品体系，实现企业运营的系统性优化与自主决策。</w:t>
            </w:r>
          </w:p>
          <w:p w14:paraId="520E15FA">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2.高端摩托车创新设计全链路综合平台。</w:t>
            </w:r>
            <w:r>
              <w:rPr>
                <w:rFonts w:hint="default" w:ascii="Times New Roman" w:hAnsi="Times New Roman" w:eastAsia="方正仿宋_GBK" w:cs="Times New Roman"/>
                <w:color w:val="auto"/>
                <w:sz w:val="24"/>
                <w:szCs w:val="24"/>
                <w:highlight w:val="none"/>
                <w:u w:val="none" w:color="auto"/>
                <w:vertAlign w:val="baseline"/>
                <w:lang w:val="en-US" w:eastAsia="zh-CN"/>
              </w:rPr>
              <w:t>打造重庆高端摩托车创新设计中心，引入高端摩托车设计开发上下游关联业态，重点建设</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数字化创新设计中心+数字化营销中心+产品质量管理试验、检测认证平台</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，构建</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市场洞察—创意发展—方案深化—测试认证—量产导入—品牌营销</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全链条智能设计开发体系，建成国家级工业设计中心。</w:t>
            </w:r>
          </w:p>
          <w:p w14:paraId="43807A33">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3.实数融合多智能体协同开发平台。</w:t>
            </w:r>
            <w:r>
              <w:rPr>
                <w:rFonts w:hint="default" w:ascii="Times New Roman" w:hAnsi="Times New Roman" w:eastAsia="方正仿宋_GBK" w:cs="Times New Roman"/>
                <w:color w:val="auto"/>
                <w:sz w:val="24"/>
                <w:szCs w:val="24"/>
                <w:highlight w:val="none"/>
                <w:u w:val="none" w:color="auto"/>
                <w:vertAlign w:val="baseline"/>
                <w:lang w:val="en-US" w:eastAsia="zh-CN"/>
              </w:rPr>
              <w:t>锚定实数融合创新与产业级多智能体规模化应用，面向商贸流通、供应链管理、大宗交易、先进制造等核心领域产业级场景痛点，研发高安全、高兼容、高扩展性的自主可控AI操作系统，实现产业数据安全可信流通与智能资源最优配置，适配多主体场景下的高效协作需求。</w:t>
            </w:r>
          </w:p>
          <w:p w14:paraId="4655DD93">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4.新兴业态生成审核式智能体开发。</w:t>
            </w:r>
            <w:r>
              <w:rPr>
                <w:rFonts w:hint="default" w:ascii="Times New Roman" w:hAnsi="Times New Roman" w:eastAsia="方正仿宋_GBK" w:cs="Times New Roman"/>
                <w:color w:val="auto"/>
                <w:sz w:val="24"/>
                <w:szCs w:val="24"/>
                <w:highlight w:val="none"/>
                <w:u w:val="none" w:color="auto"/>
                <w:vertAlign w:val="baseline"/>
                <w:lang w:val="en-US" w:eastAsia="zh-CN"/>
              </w:rPr>
              <w:t>聚焦游戏、影视动漫、直播等新兴业态，开发多模态生成审核式智能体，覆盖多维度审核场景，支持自定义规则配置，精准识别文本、图像、视频等违规信息，破解行业内容审核效率低、标准不统一、违规风险高的痛点。</w:t>
            </w:r>
          </w:p>
          <w:p w14:paraId="4536EB4E">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5.基于北斗三短报文与星网低轨卫星互联网的双模芯片。</w:t>
            </w:r>
            <w:r>
              <w:rPr>
                <w:rFonts w:hint="default" w:ascii="Times New Roman" w:hAnsi="Times New Roman" w:eastAsia="方正仿宋_GBK" w:cs="Times New Roman"/>
                <w:color w:val="auto"/>
                <w:sz w:val="24"/>
                <w:szCs w:val="24"/>
                <w:highlight w:val="none"/>
                <w:u w:val="none" w:color="auto"/>
                <w:vertAlign w:val="baseline"/>
                <w:lang w:val="en-US" w:eastAsia="zh-CN"/>
              </w:rPr>
              <w:t>突破传统单一通信模式局限，破解多模融合、低功耗设计等关键技术瓶颈，构建具有自主知识产权的卫星通信核心硬件体系，助力全市打造卫星互联网产业创新高地。</w:t>
            </w:r>
          </w:p>
          <w:p w14:paraId="5C933FFE">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6.大健康可信数据空间。</w:t>
            </w:r>
            <w:r>
              <w:rPr>
                <w:rFonts w:hint="default" w:ascii="Times New Roman" w:hAnsi="Times New Roman" w:eastAsia="方正仿宋_GBK" w:cs="Times New Roman"/>
                <w:color w:val="auto"/>
                <w:sz w:val="24"/>
                <w:szCs w:val="24"/>
                <w:highlight w:val="none"/>
                <w:u w:val="none" w:color="auto"/>
                <w:vertAlign w:val="baseline"/>
                <w:lang w:val="en-US" w:eastAsia="zh-CN"/>
              </w:rPr>
              <w:t>依托渝中区区块链产业先发优势，实现数据</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采集—储存—传输—使用</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全生命周期安全管理，聚焦建设肿瘤行业可信数据空间，构建肿瘤数据安全与价值释放体系，打造辐射西部的肿瘤数据产业集群与</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重庆品牌</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11F8F8A6">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highlight w:val="none"/>
                <w:u w:val="none" w:color="auto"/>
              </w:rPr>
            </w:pPr>
            <w:r>
              <w:rPr>
                <w:rFonts w:hint="default" w:ascii="Times New Roman" w:hAnsi="Times New Roman" w:eastAsia="方正黑体_GBK" w:cs="Times New Roman"/>
                <w:color w:val="auto"/>
                <w:sz w:val="24"/>
                <w:highlight w:val="none"/>
                <w:u w:val="none" w:color="auto"/>
                <w:lang w:eastAsia="zh-CN"/>
              </w:rPr>
              <w:t>7</w:t>
            </w:r>
            <w:r>
              <w:rPr>
                <w:rFonts w:hint="default" w:ascii="Times New Roman" w:hAnsi="Times New Roman" w:eastAsia="方正黑体_GBK" w:cs="Times New Roman"/>
                <w:color w:val="auto"/>
                <w:sz w:val="24"/>
                <w:highlight w:val="none"/>
                <w:u w:val="none" w:color="auto"/>
              </w:rPr>
              <w:t>.人工智能（机器人）创新实践基地项目。</w:t>
            </w:r>
            <w:r>
              <w:rPr>
                <w:rFonts w:hint="default" w:ascii="Times New Roman" w:hAnsi="Times New Roman" w:eastAsia="方正仿宋_GBK" w:cs="Times New Roman"/>
                <w:color w:val="auto"/>
                <w:sz w:val="24"/>
                <w:highlight w:val="none"/>
                <w:u w:val="none" w:color="auto"/>
              </w:rPr>
              <w:t>以</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场景赋能、教赛融合、生态联动</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为核心，打造机器人多元展示、互动体验、教育培训、专业竞赛四大功能区，通过场景化布局、体系化教学、常态化赛事，构建</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科技普及—人才培育—产业联动</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完整生态，打造兼具教育价值与产业赋能的人工智能创新实践标杆。</w:t>
            </w:r>
          </w:p>
          <w:p w14:paraId="0B6CAC1A">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highlight w:val="none"/>
                <w:u w:val="none" w:color="auto"/>
              </w:rPr>
            </w:pPr>
            <w:r>
              <w:rPr>
                <w:rFonts w:hint="default" w:ascii="Times New Roman" w:hAnsi="Times New Roman" w:eastAsia="方正黑体_GBK" w:cs="Times New Roman"/>
                <w:color w:val="auto"/>
                <w:sz w:val="24"/>
                <w:highlight w:val="none"/>
                <w:u w:val="none" w:color="auto"/>
              </w:rPr>
              <w:t>8.超大城市中心城区现代化治理智能体项目。</w:t>
            </w:r>
            <w:r>
              <w:rPr>
                <w:rFonts w:hint="default" w:ascii="Times New Roman" w:hAnsi="Times New Roman" w:eastAsia="方正仿宋_GBK" w:cs="Times New Roman"/>
                <w:color w:val="auto"/>
                <w:sz w:val="24"/>
                <w:highlight w:val="none"/>
                <w:u w:val="none" w:color="auto"/>
              </w:rPr>
              <w:t>突出AI赋能、实战导向，搭建全域感知网络、云边端协同算力池，建设渝中城市治理数智基座。聚焦文旅融合、安全协同、夜间经济等核心场景打造智能体，实现治理模式从</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被动应对</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到</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主动预判</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升级，打造可复制的</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渝中样板</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，为全市超大城市治理提供标杆经验。</w:t>
            </w:r>
          </w:p>
          <w:p w14:paraId="2AFBE958">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highlight w:val="none"/>
                <w:u w:val="none" w:color="auto"/>
              </w:rPr>
            </w:pPr>
            <w:r>
              <w:rPr>
                <w:rFonts w:hint="default" w:ascii="Times New Roman" w:hAnsi="Times New Roman" w:eastAsia="方正黑体_GBK" w:cs="Times New Roman"/>
                <w:color w:val="auto"/>
                <w:sz w:val="24"/>
                <w:highlight w:val="none"/>
                <w:u w:val="none" w:color="auto"/>
              </w:rPr>
              <w:t>9.智能网联汽车软件创新中心项目。</w:t>
            </w:r>
            <w:r>
              <w:rPr>
                <w:rFonts w:hint="default" w:ascii="Times New Roman" w:hAnsi="Times New Roman" w:eastAsia="方正仿宋_GBK" w:cs="Times New Roman"/>
                <w:color w:val="auto"/>
                <w:sz w:val="24"/>
                <w:highlight w:val="none"/>
                <w:u w:val="none" w:color="auto"/>
              </w:rPr>
              <w:t>聚焦智能座舱、智能辅助驾驶、汽车应用软件三大核心领域，联动全市车企及零部件企业，搭建产学研协同创新、场景化测试验证、产业综合配套服务三大核心平台，构建</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软件研发+场景验证+产业赋能</w:t>
            </w:r>
            <w:r>
              <w:rPr>
                <w:rFonts w:hint="eastAsia" w:ascii="Times New Roman" w:hAnsi="Times New Roman" w:eastAsia="方正仿宋_GBK" w:cs="方正仿宋_GBK"/>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的全链条生态闭环，打造中心城区智能网联汽车软件创新示范标杆。</w:t>
            </w:r>
          </w:p>
          <w:p w14:paraId="32A3D23C">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highlight w:val="none"/>
                <w:u w:val="none" w:color="auto"/>
              </w:rPr>
              <w:t>10.开源生态合作项目。</w:t>
            </w:r>
            <w:r>
              <w:rPr>
                <w:rFonts w:hint="eastAsia" w:ascii="Times New Roman" w:hAnsi="Times New Roman" w:eastAsia="方正仿宋_GBK" w:cs="Times New Roman"/>
                <w:color w:val="auto"/>
                <w:sz w:val="24"/>
                <w:highlight w:val="none"/>
                <w:u w:val="none" w:color="auto"/>
                <w:lang w:eastAsia="zh-CN"/>
              </w:rPr>
              <w:t>加快</w:t>
            </w:r>
            <w:r>
              <w:rPr>
                <w:rFonts w:hint="default" w:ascii="Times New Roman" w:hAnsi="Times New Roman" w:eastAsia="方正仿宋_GBK" w:cs="Times New Roman"/>
                <w:color w:val="auto"/>
                <w:sz w:val="24"/>
                <w:highlight w:val="none"/>
                <w:u w:val="none" w:color="auto"/>
              </w:rPr>
              <w:t>建设开源适配中心、认证中心、开发者社区等相关基础设施，通过知识云、人才云、研发云等高品质公共服务，为软件开发者、研发团队及科技企业提供知识学习、人才招聘、研发效能与协同管理等综合服务。</w:t>
            </w:r>
          </w:p>
        </w:tc>
      </w:tr>
    </w:tbl>
    <w:p w14:paraId="19DA4780">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311" w:name="_Toc4758"/>
      <w:bookmarkStart w:id="312" w:name="_Toc1992"/>
      <w:bookmarkStart w:id="313" w:name="_Toc4867"/>
      <w:bookmarkStart w:id="314" w:name="_Toc486"/>
      <w:bookmarkStart w:id="315" w:name="_Toc23263"/>
      <w:bookmarkStart w:id="316" w:name="_Toc12531"/>
      <w:bookmarkStart w:id="317" w:name="_Toc15224"/>
      <w:bookmarkStart w:id="318" w:name="_Toc18366"/>
      <w:bookmarkStart w:id="319" w:name="_Toc30875"/>
      <w:bookmarkStart w:id="320" w:name="_Toc16891"/>
      <w:bookmarkStart w:id="321" w:name="_Toc19063"/>
      <w:r>
        <w:rPr>
          <w:rFonts w:hint="default" w:ascii="Times New Roman" w:hAnsi="Times New Roman" w:eastAsia="方正楷体_GBK" w:cs="Times New Roman"/>
          <w:color w:val="auto"/>
          <w:sz w:val="32"/>
          <w:szCs w:val="32"/>
          <w:highlight w:val="none"/>
          <w:u w:val="none" w:color="auto"/>
        </w:rPr>
        <w:t>第四节 加快建设现代物流总部企业集聚区</w:t>
      </w:r>
      <w:bookmarkEnd w:id="308"/>
      <w:bookmarkEnd w:id="311"/>
      <w:bookmarkEnd w:id="312"/>
      <w:bookmarkEnd w:id="313"/>
      <w:bookmarkEnd w:id="314"/>
      <w:bookmarkEnd w:id="315"/>
      <w:bookmarkEnd w:id="316"/>
      <w:bookmarkEnd w:id="317"/>
      <w:bookmarkEnd w:id="318"/>
      <w:bookmarkEnd w:id="319"/>
      <w:bookmarkEnd w:id="320"/>
      <w:bookmarkEnd w:id="321"/>
    </w:p>
    <w:p w14:paraId="6A9176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22"/>
          <w:highlight w:val="none"/>
          <w:lang w:val="en-US" w:eastAsia="zh-CN"/>
          <w14:ligatures w14:val="standardContextual"/>
        </w:rPr>
      </w:pPr>
      <w:r>
        <w:rPr>
          <w:rFonts w:hint="default" w:ascii="Times New Roman" w:hAnsi="Times New Roman" w:eastAsia="方正仿宋_GBK" w:cs="Times New Roman"/>
          <w:color w:val="auto"/>
          <w:sz w:val="32"/>
          <w:szCs w:val="22"/>
          <w:highlight w:val="none"/>
          <w:lang w:val="en-US" w:eastAsia="zh-CN"/>
          <w14:ligatures w14:val="standardContextual"/>
        </w:rPr>
        <w:t>深度融入全市现代化集疏运与综合服务体系建设，构建</w:t>
      </w:r>
      <w:r>
        <w:rPr>
          <w:rFonts w:hint="eastAsia" w:ascii="Times New Roman" w:hAnsi="Times New Roman" w:eastAsia="方正仿宋_GBK" w:cs="方正仿宋_GBK"/>
          <w:color w:val="auto"/>
          <w:sz w:val="32"/>
          <w:szCs w:val="22"/>
          <w:highlight w:val="none"/>
          <w:lang w:val="en-US" w:eastAsia="zh-CN"/>
          <w14:ligatures w14:val="standardContextual"/>
        </w:rPr>
        <w:t>“</w:t>
      </w:r>
      <w:r>
        <w:rPr>
          <w:rFonts w:hint="default" w:ascii="Times New Roman" w:hAnsi="Times New Roman" w:eastAsia="方正仿宋_GBK" w:cs="Times New Roman"/>
          <w:color w:val="auto"/>
          <w:sz w:val="32"/>
          <w:szCs w:val="22"/>
          <w:highlight w:val="none"/>
          <w:lang w:val="en-US" w:eastAsia="zh-CN"/>
          <w14:ligatures w14:val="standardContextual"/>
        </w:rPr>
        <w:t>通道+枢纽+网络+要素</w:t>
      </w:r>
      <w:r>
        <w:rPr>
          <w:rFonts w:hint="eastAsia" w:ascii="Times New Roman" w:hAnsi="Times New Roman" w:eastAsia="方正仿宋_GBK" w:cs="方正仿宋_GBK"/>
          <w:color w:val="auto"/>
          <w:sz w:val="32"/>
          <w:szCs w:val="22"/>
          <w:highlight w:val="none"/>
          <w:lang w:val="en-US" w:eastAsia="zh-CN"/>
          <w14:ligatures w14:val="standardContextual"/>
        </w:rPr>
        <w:t>”</w:t>
      </w:r>
      <w:r>
        <w:rPr>
          <w:rFonts w:hint="default" w:ascii="Times New Roman" w:hAnsi="Times New Roman" w:eastAsia="方正仿宋_GBK" w:cs="Times New Roman"/>
          <w:color w:val="auto"/>
          <w:sz w:val="32"/>
          <w:szCs w:val="22"/>
          <w:highlight w:val="none"/>
          <w:lang w:val="en-US" w:eastAsia="zh-CN"/>
          <w14:ligatures w14:val="standardContextual"/>
        </w:rPr>
        <w:t>现代物流运行体系，大力发展总部物流、通道物流、融合物流，持续推进</w:t>
      </w:r>
      <w:r>
        <w:rPr>
          <w:rFonts w:hint="eastAsia" w:ascii="Times New Roman" w:hAnsi="Times New Roman" w:eastAsia="方正仿宋_GBK" w:cs="方正仿宋_GBK"/>
          <w:color w:val="auto"/>
          <w:sz w:val="32"/>
          <w:szCs w:val="22"/>
          <w:highlight w:val="none"/>
          <w:lang w:val="en-US" w:eastAsia="zh-CN"/>
          <w14:ligatures w14:val="standardContextual"/>
        </w:rPr>
        <w:t>“</w:t>
      </w:r>
      <w:r>
        <w:rPr>
          <w:rFonts w:hint="default" w:ascii="Times New Roman" w:hAnsi="Times New Roman" w:eastAsia="方正仿宋_GBK" w:cs="Times New Roman"/>
          <w:color w:val="auto"/>
          <w:sz w:val="32"/>
          <w:szCs w:val="22"/>
          <w:highlight w:val="none"/>
          <w:lang w:val="en-US" w:eastAsia="zh-CN"/>
          <w14:ligatures w14:val="standardContextual"/>
        </w:rPr>
        <w:t>总部+基地</w:t>
      </w:r>
      <w:r>
        <w:rPr>
          <w:rFonts w:hint="eastAsia" w:ascii="Times New Roman" w:hAnsi="Times New Roman" w:eastAsia="方正仿宋_GBK" w:cs="方正仿宋_GBK"/>
          <w:color w:val="auto"/>
          <w:sz w:val="32"/>
          <w:szCs w:val="22"/>
          <w:highlight w:val="none"/>
          <w:lang w:val="en-US" w:eastAsia="zh-CN"/>
          <w14:ligatures w14:val="standardContextual"/>
        </w:rPr>
        <w:t>”</w:t>
      </w:r>
      <w:r>
        <w:rPr>
          <w:rFonts w:hint="default" w:ascii="Times New Roman" w:hAnsi="Times New Roman" w:eastAsia="方正仿宋_GBK" w:cs="Times New Roman"/>
          <w:color w:val="auto"/>
          <w:sz w:val="32"/>
          <w:szCs w:val="22"/>
          <w:highlight w:val="none"/>
          <w:lang w:val="en-US" w:eastAsia="zh-CN"/>
          <w14:ligatures w14:val="standardContextual"/>
        </w:rPr>
        <w:t>发展模式，着力打造</w:t>
      </w:r>
      <w:r>
        <w:rPr>
          <w:rFonts w:hint="eastAsia" w:ascii="Times New Roman" w:hAnsi="Times New Roman" w:eastAsia="方正仿宋_GBK" w:cs="Times New Roman"/>
          <w:color w:val="auto"/>
          <w:sz w:val="32"/>
          <w:szCs w:val="22"/>
          <w:highlight w:val="none"/>
          <w:lang w:val="en-US" w:eastAsia="zh-CN"/>
          <w14:ligatures w14:val="standardContextual"/>
        </w:rPr>
        <w:t>朝天门</w:t>
      </w:r>
      <w:r>
        <w:rPr>
          <w:rFonts w:hint="default" w:ascii="Times New Roman" w:hAnsi="Times New Roman" w:eastAsia="方正仿宋_GBK" w:cs="Times New Roman"/>
          <w:color w:val="auto"/>
          <w:sz w:val="32"/>
          <w:szCs w:val="22"/>
          <w:highlight w:val="none"/>
          <w:lang w:val="en-US" w:eastAsia="zh-CN"/>
          <w14:ligatures w14:val="standardContextual"/>
        </w:rPr>
        <w:t>航运商旅物流服务集聚区</w:t>
      </w:r>
      <w:r>
        <w:rPr>
          <w:rFonts w:hint="eastAsia" w:ascii="Times New Roman" w:hAnsi="Times New Roman" w:eastAsia="方正仿宋_GBK" w:cs="Times New Roman"/>
          <w:color w:val="auto"/>
          <w:sz w:val="32"/>
          <w:szCs w:val="22"/>
          <w:highlight w:val="none"/>
          <w:lang w:val="en-US" w:eastAsia="zh-CN"/>
          <w14:ligatures w14:val="standardContextual"/>
        </w:rPr>
        <w:t>、建设西部国际邮政快递枢纽节点</w:t>
      </w:r>
      <w:r>
        <w:rPr>
          <w:rFonts w:hint="default" w:ascii="Times New Roman" w:hAnsi="Times New Roman" w:eastAsia="方正仿宋_GBK" w:cs="Times New Roman"/>
          <w:color w:val="auto"/>
          <w:sz w:val="32"/>
          <w:szCs w:val="22"/>
          <w:highlight w:val="none"/>
          <w:lang w:val="en-US" w:eastAsia="zh-CN"/>
          <w14:ligatures w14:val="standardContextual"/>
        </w:rPr>
        <w:t>，吸引国际物流设施和要素资源规模化集聚，推动市场主体由存量向优量转变。支持物流企业利用西部陆海新通道、中欧班列、长江黄金水道等平台拓展多式联运业务，促进物流业数字化、智能化发展，推动运输方式由单一向多跨转变、物流网络由数字条块化向智能协同化转变。完善区内物流配送节点规划布局，构建新质生产力与物流业融合新场景，打造数智赋能、绿色低碳、高效便捷、安全韧性的立体交通城市配送体系。新增5A级物流企业1家，现代物流增加值突破220亿元、占GDP比重达到10%，建成国际物流枢纽城市综合服务示范区。</w:t>
      </w:r>
    </w:p>
    <w:p w14:paraId="0FE5B282">
      <w:pPr>
        <w:tabs>
          <w:tab w:val="right" w:leader="dot" w:pos="8844"/>
        </w:tabs>
        <w:spacing w:line="600" w:lineRule="exact"/>
        <w:jc w:val="center"/>
        <w:outlineLvl w:val="2"/>
        <w:rPr>
          <w:rFonts w:hint="default" w:ascii="Times New Roman" w:hAnsi="Times New Roman" w:eastAsia="方正楷体_GBK" w:cs="Times New Roman"/>
          <w:color w:val="auto"/>
          <w:sz w:val="32"/>
          <w:szCs w:val="32"/>
          <w:highlight w:val="none"/>
          <w:u w:val="none" w:color="auto"/>
          <w:lang w:val="en-US" w:eastAsia="zh-CN"/>
        </w:rPr>
      </w:pPr>
      <w:bookmarkStart w:id="322" w:name="_Toc29154"/>
      <w:bookmarkStart w:id="323" w:name="_Toc4381"/>
      <w:bookmarkStart w:id="324" w:name="_Toc162"/>
      <w:bookmarkStart w:id="325" w:name="_Toc2872"/>
      <w:bookmarkStart w:id="326" w:name="_Toc1638943609"/>
      <w:bookmarkStart w:id="327" w:name="_Toc22835"/>
      <w:bookmarkStart w:id="328" w:name="_Toc31469"/>
      <w:bookmarkStart w:id="329" w:name="_Toc12085"/>
      <w:bookmarkStart w:id="330" w:name="_Toc1423992604"/>
      <w:bookmarkStart w:id="331" w:name="_Toc19724"/>
      <w:bookmarkStart w:id="332" w:name="_Toc18455"/>
      <w:bookmarkStart w:id="333" w:name="_Toc8392"/>
      <w:bookmarkStart w:id="334" w:name="_Toc18382"/>
      <w:bookmarkStart w:id="335" w:name="_Toc14093"/>
      <w:bookmarkStart w:id="336" w:name="_Toc20348"/>
      <w:bookmarkStart w:id="337" w:name="_Toc29368"/>
      <w:bookmarkStart w:id="338" w:name="_Toc10681"/>
      <w:bookmarkStart w:id="339" w:name="_Toc28013"/>
      <w:bookmarkStart w:id="340" w:name="_Toc4740"/>
      <w:r>
        <w:rPr>
          <w:rFonts w:hint="default" w:ascii="Times New Roman" w:hAnsi="Times New Roman" w:eastAsia="方正楷体_GBK" w:cs="Times New Roman"/>
          <w:color w:val="auto"/>
          <w:sz w:val="32"/>
          <w:szCs w:val="32"/>
          <w:highlight w:val="none"/>
          <w:u w:val="none" w:color="auto"/>
        </w:rPr>
        <w:t>第</w:t>
      </w:r>
      <w:r>
        <w:rPr>
          <w:rFonts w:hint="default" w:ascii="Times New Roman" w:hAnsi="Times New Roman" w:eastAsia="方正楷体_GBK" w:cs="Times New Roman"/>
          <w:color w:val="auto"/>
          <w:sz w:val="32"/>
          <w:szCs w:val="32"/>
          <w:highlight w:val="none"/>
          <w:u w:val="none" w:color="auto"/>
          <w:lang w:val="en-US" w:eastAsia="zh-CN"/>
          <w14:ligatures w14:val="none"/>
        </w:rPr>
        <w:t>五</w:t>
      </w:r>
      <w:r>
        <w:rPr>
          <w:rFonts w:hint="default" w:ascii="Times New Roman" w:hAnsi="Times New Roman" w:eastAsia="方正楷体_GBK" w:cs="Times New Roman"/>
          <w:color w:val="auto"/>
          <w:sz w:val="32"/>
          <w:szCs w:val="32"/>
          <w:highlight w:val="none"/>
          <w:u w:val="none" w:color="auto"/>
        </w:rPr>
        <w:t xml:space="preserve">节 </w:t>
      </w:r>
      <w:r>
        <w:rPr>
          <w:rFonts w:hint="default" w:ascii="Times New Roman" w:hAnsi="Times New Roman" w:eastAsia="方正楷体_GBK" w:cs="Times New Roman"/>
          <w:color w:val="auto"/>
          <w:sz w:val="32"/>
          <w:szCs w:val="32"/>
          <w:highlight w:val="none"/>
          <w:u w:val="none" w:color="auto"/>
          <w:lang w:val="en-US" w:eastAsia="zh-CN"/>
        </w:rPr>
        <w:t>全面</w:t>
      </w:r>
      <w:r>
        <w:rPr>
          <w:rFonts w:hint="default" w:ascii="Times New Roman" w:hAnsi="Times New Roman" w:eastAsia="方正楷体_GBK" w:cs="Times New Roman"/>
          <w:color w:val="auto"/>
          <w:sz w:val="32"/>
          <w:szCs w:val="32"/>
          <w:highlight w:val="none"/>
          <w:u w:val="none" w:color="auto"/>
        </w:rPr>
        <w:t>推进</w:t>
      </w:r>
      <w:r>
        <w:rPr>
          <w:rFonts w:hint="default" w:ascii="Times New Roman" w:hAnsi="Times New Roman" w:eastAsia="方正楷体_GBK" w:cs="Times New Roman"/>
          <w:color w:val="auto"/>
          <w:sz w:val="32"/>
          <w:szCs w:val="32"/>
          <w:highlight w:val="none"/>
          <w:u w:val="none" w:color="auto"/>
          <w:lang w:val="en-US" w:eastAsia="zh-CN"/>
        </w:rPr>
        <w:t>现代服务业和先进</w:t>
      </w:r>
      <w:r>
        <w:rPr>
          <w:rStyle w:val="22"/>
          <w:rFonts w:hint="default" w:ascii="Times New Roman" w:hAnsi="Times New Roman" w:eastAsia="方正楷体_GBK" w:cs="Times New Roman"/>
          <w:color w:val="auto"/>
          <w:sz w:val="32"/>
          <w:szCs w:val="32"/>
          <w:highlight w:val="none"/>
          <w:u w:val="none" w:color="auto"/>
          <w:lang w:val="en-US" w:eastAsia="zh-CN"/>
        </w:rPr>
        <w:t>制造业</w:t>
      </w:r>
      <w:r>
        <w:rPr>
          <w:rFonts w:hint="default" w:ascii="Times New Roman" w:hAnsi="Times New Roman" w:eastAsia="方正楷体_GBK" w:cs="Times New Roman"/>
          <w:color w:val="auto"/>
          <w:sz w:val="32"/>
          <w:szCs w:val="32"/>
          <w:highlight w:val="none"/>
          <w:u w:val="none" w:color="auto"/>
          <w:lang w:val="en-US" w:eastAsia="zh-CN"/>
        </w:rPr>
        <w:t>深度融合</w:t>
      </w:r>
      <w:bookmarkEnd w:id="322"/>
      <w:bookmarkEnd w:id="323"/>
      <w:bookmarkEnd w:id="324"/>
      <w:bookmarkEnd w:id="325"/>
      <w:bookmarkEnd w:id="326"/>
      <w:bookmarkEnd w:id="327"/>
      <w:bookmarkEnd w:id="328"/>
      <w:bookmarkEnd w:id="329"/>
      <w:bookmarkEnd w:id="330"/>
      <w:bookmarkEnd w:id="331"/>
      <w:bookmarkEnd w:id="332"/>
    </w:p>
    <w:p w14:paraId="73F24CD5">
      <w:pPr>
        <w:keepNext w:val="0"/>
        <w:keepLines w:val="0"/>
        <w:pageBreakBefore w:val="0"/>
        <w:kinsoku/>
        <w:wordWrap/>
        <w:topLinePunct w:val="0"/>
        <w:autoSpaceDE/>
        <w:autoSpaceDN/>
        <w:bidi w:val="0"/>
        <w:spacing w:line="600" w:lineRule="exact"/>
        <w:ind w:firstLine="640" w:firstLineChars="200"/>
        <w:jc w:val="left"/>
        <w:outlineLvl w:val="9"/>
        <w:rPr>
          <w:rFonts w:hint="default" w:ascii="Times New Roman" w:hAnsi="Times New Roman" w:eastAsia="方正黑体_GBK" w:cs="Times New Roman"/>
          <w:color w:val="auto"/>
          <w:spacing w:val="-6"/>
          <w:sz w:val="32"/>
          <w:szCs w:val="32"/>
          <w:highlight w:val="none"/>
          <w:u w:val="none" w:color="auto"/>
        </w:rPr>
      </w:pPr>
      <w:r>
        <w:rPr>
          <w:rFonts w:hint="default" w:ascii="Times New Roman" w:hAnsi="Times New Roman" w:eastAsia="方正仿宋_GBK" w:cs="Times New Roman"/>
          <w:color w:val="auto"/>
          <w:sz w:val="32"/>
          <w:szCs w:val="32"/>
          <w:lang w:val="en-US" w:eastAsia="zh-CN"/>
        </w:rPr>
        <w:t>充分</w:t>
      </w:r>
      <w:r>
        <w:rPr>
          <w:rFonts w:hint="default" w:ascii="Times New Roman" w:hAnsi="Times New Roman" w:eastAsia="方正仿宋_GBK" w:cs="Times New Roman"/>
          <w:color w:val="auto"/>
          <w:sz w:val="32"/>
          <w:szCs w:val="32"/>
        </w:rPr>
        <w:t>发挥</w:t>
      </w:r>
      <w:r>
        <w:rPr>
          <w:rFonts w:hint="default" w:ascii="Times New Roman" w:hAnsi="Times New Roman" w:eastAsia="方正仿宋_GBK" w:cs="Times New Roman"/>
          <w:color w:val="auto"/>
          <w:sz w:val="32"/>
          <w:szCs w:val="32"/>
          <w:lang w:val="en-US" w:eastAsia="zh-CN"/>
        </w:rPr>
        <w:t>渝中现代服务业引领</w:t>
      </w:r>
      <w:r>
        <w:rPr>
          <w:rFonts w:hint="default" w:ascii="Times New Roman" w:hAnsi="Times New Roman" w:eastAsia="方正仿宋_GBK" w:cs="Times New Roman"/>
          <w:color w:val="auto"/>
          <w:sz w:val="32"/>
          <w:szCs w:val="32"/>
        </w:rPr>
        <w:t>优势，深化业务关联、链条延伸、技术渗透，推动现代服务业和先进制造业双向深度融合、耦合共生</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打造</w:t>
      </w:r>
      <w:r>
        <w:rPr>
          <w:rFonts w:hint="default" w:ascii="Times New Roman" w:hAnsi="Times New Roman" w:eastAsia="方正仿宋_GBK" w:cs="Times New Roman"/>
          <w:color w:val="auto"/>
          <w:sz w:val="32"/>
          <w:szCs w:val="32"/>
          <w:lang w:val="en-US" w:eastAsia="zh-CN"/>
        </w:rPr>
        <w:t>全市</w:t>
      </w:r>
      <w:r>
        <w:rPr>
          <w:rFonts w:hint="default" w:ascii="Times New Roman" w:hAnsi="Times New Roman" w:eastAsia="方正仿宋_GBK" w:cs="Times New Roman"/>
          <w:color w:val="auto"/>
          <w:sz w:val="32"/>
          <w:szCs w:val="32"/>
        </w:rPr>
        <w:t>先进制造业和现代服务业融合</w:t>
      </w:r>
      <w:r>
        <w:rPr>
          <w:rFonts w:hint="default" w:ascii="Times New Roman" w:hAnsi="Times New Roman" w:eastAsia="方正仿宋_GBK" w:cs="Times New Roman"/>
          <w:color w:val="auto"/>
          <w:sz w:val="32"/>
          <w:szCs w:val="32"/>
          <w:lang w:val="en-US" w:eastAsia="zh-CN"/>
        </w:rPr>
        <w:t>示范</w:t>
      </w:r>
      <w:r>
        <w:rPr>
          <w:rFonts w:hint="default" w:ascii="Times New Roman" w:hAnsi="Times New Roman" w:eastAsia="方正仿宋_GBK" w:cs="Times New Roman"/>
          <w:color w:val="auto"/>
          <w:sz w:val="32"/>
          <w:szCs w:val="32"/>
        </w:rPr>
        <w:t>引领区。聚焦全市</w:t>
      </w:r>
      <w:r>
        <w:rPr>
          <w:rFonts w:hint="default" w:ascii="Times New Roman" w:hAnsi="Times New Roman" w:eastAsia="方正仿宋_GBK" w:cs="Times New Roman"/>
          <w:color w:val="auto"/>
          <w:sz w:val="32"/>
          <w:szCs w:val="32"/>
          <w:lang w:val="en-US" w:eastAsia="zh-CN"/>
        </w:rPr>
        <w:t>先进制造业</w:t>
      </w:r>
      <w:r>
        <w:rPr>
          <w:rFonts w:hint="default" w:ascii="Times New Roman" w:hAnsi="Times New Roman" w:eastAsia="方正仿宋_GBK" w:cs="Times New Roman"/>
          <w:color w:val="auto"/>
          <w:sz w:val="32"/>
          <w:szCs w:val="32"/>
        </w:rPr>
        <w:t>重点领域和关键环节，</w:t>
      </w:r>
      <w:r>
        <w:rPr>
          <w:rFonts w:hint="eastAsia" w:ascii="Times New Roman" w:hAnsi="Times New Roman" w:eastAsia="方正仿宋_GBK" w:cs="Times New Roman"/>
          <w:color w:val="auto"/>
          <w:sz w:val="32"/>
          <w:szCs w:val="32"/>
          <w:lang w:val="en-US" w:eastAsia="zh-CN"/>
        </w:rPr>
        <w:t>加快推进“主辅分离”，</w:t>
      </w:r>
      <w:r>
        <w:rPr>
          <w:rFonts w:hint="default" w:ascii="Times New Roman" w:hAnsi="Times New Roman" w:eastAsia="方正仿宋_GBK" w:cs="Times New Roman"/>
          <w:color w:val="auto"/>
          <w:sz w:val="32"/>
          <w:szCs w:val="32"/>
        </w:rPr>
        <w:t>支持区内企业为大型制造业企业提供研发设计、解决方案、维护管理、仓储物流、技术培训、融资租赁等增值服务，推动产业链上下游企业纵向协</w:t>
      </w:r>
      <w:r>
        <w:rPr>
          <w:rFonts w:hint="default" w:ascii="Times New Roman" w:hAnsi="Times New Roman" w:eastAsia="方正仿宋_GBK" w:cs="Times New Roman"/>
          <w:color w:val="auto"/>
          <w:sz w:val="32"/>
          <w:szCs w:val="32"/>
          <w:highlight w:val="none"/>
        </w:rPr>
        <w:t>同。</w:t>
      </w:r>
      <w:r>
        <w:rPr>
          <w:rFonts w:hint="default" w:ascii="Times New Roman" w:hAnsi="Times New Roman" w:eastAsia="方正仿宋_GBK" w:cs="Times New Roman"/>
          <w:color w:val="auto"/>
          <w:sz w:val="32"/>
          <w:szCs w:val="22"/>
          <w:highlight w:val="none"/>
          <w:u w:val="none"/>
          <w:lang w:val="en-US" w:eastAsia="zh-CN"/>
          <w14:ligatures w14:val="standardContextual"/>
        </w:rPr>
        <w:t>开展专业化、一体化、数字化供应链管理服务，建设高效能供应链管理平台。</w:t>
      </w:r>
      <w:r>
        <w:rPr>
          <w:rFonts w:hint="default" w:ascii="Times New Roman" w:hAnsi="Times New Roman" w:eastAsia="方正仿宋_GBK" w:cs="Times New Roman"/>
          <w:i w:val="0"/>
          <w:iCs w:val="0"/>
          <w:color w:val="auto"/>
          <w:sz w:val="32"/>
          <w:szCs w:val="22"/>
          <w:highlight w:val="none"/>
          <w:u w:val="none"/>
          <w:lang w:val="en-US" w:eastAsia="zh-CN"/>
          <w14:ligatures w14:val="standardContextual"/>
        </w:rPr>
        <w:t>持续做强</w:t>
      </w:r>
      <w:r>
        <w:rPr>
          <w:rFonts w:hint="default" w:ascii="Times New Roman" w:hAnsi="Times New Roman" w:eastAsia="方正仿宋_GBK" w:cs="Times New Roman"/>
          <w:b w:val="0"/>
          <w:snapToGrid/>
          <w:color w:val="auto"/>
          <w:spacing w:val="0"/>
          <w:kern w:val="2"/>
          <w:sz w:val="32"/>
          <w:szCs w:val="22"/>
          <w:highlight w:val="none"/>
          <w:u w:val="none"/>
          <w:lang w:bidi="ar"/>
          <w14:ligatures w14:val="standardContextual"/>
        </w:rPr>
        <w:t>电子商务</w:t>
      </w:r>
      <w:r>
        <w:rPr>
          <w:rFonts w:hint="default" w:ascii="Times New Roman" w:hAnsi="Times New Roman" w:eastAsia="方正仿宋_GBK" w:cs="Times New Roman"/>
          <w:b w:val="0"/>
          <w:snapToGrid/>
          <w:color w:val="auto"/>
          <w:spacing w:val="0"/>
          <w:kern w:val="2"/>
          <w:sz w:val="32"/>
          <w:szCs w:val="22"/>
          <w:highlight w:val="none"/>
          <w:u w:val="none"/>
          <w:lang w:eastAsia="zh-CN" w:bidi="ar"/>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一体发展</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互联网+农业</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互联网+制造业</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互联网+服务业</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。搭建先进制造业与现代服务业融合创新平台，整合技术、人才、资金等要素资源，鼓励企业开展跨领域协同创新，培育一批</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两业融合</w:t>
      </w:r>
      <w:r>
        <w:rPr>
          <w:rFonts w:hint="eastAsia" w:ascii="Times New Roman" w:hAnsi="Times New Roman" w:eastAsia="方正仿宋_GBK" w:cs="方正仿宋_GBK"/>
          <w:color w:val="auto"/>
          <w:sz w:val="32"/>
          <w:szCs w:val="22"/>
          <w:highlight w:val="none"/>
          <w:u w:val="none"/>
          <w:lang w:val="en-US" w:eastAsia="zh-CN"/>
          <w14:ligatures w14:val="standardContextual"/>
        </w:rPr>
        <w:t>”</w:t>
      </w:r>
      <w:r>
        <w:rPr>
          <w:rFonts w:hint="default" w:ascii="Times New Roman" w:hAnsi="Times New Roman" w:eastAsia="方正仿宋_GBK" w:cs="Times New Roman"/>
          <w:color w:val="auto"/>
          <w:sz w:val="32"/>
          <w:szCs w:val="22"/>
          <w:highlight w:val="none"/>
          <w:u w:val="none"/>
          <w:lang w:val="en-US" w:eastAsia="zh-CN"/>
          <w14:ligatures w14:val="standardContextual"/>
        </w:rPr>
        <w:t>示范项目和领军企业，</w:t>
      </w:r>
      <w:r>
        <w:rPr>
          <w:rFonts w:hint="default" w:ascii="Times New Roman" w:hAnsi="Times New Roman" w:eastAsia="方正仿宋_GBK" w:cs="Times New Roman"/>
          <w:color w:val="auto"/>
          <w:sz w:val="32"/>
          <w:szCs w:val="32"/>
          <w:highlight w:val="none"/>
          <w:lang w:eastAsia="zh-CN"/>
        </w:rPr>
        <w:t>生</w:t>
      </w:r>
      <w:r>
        <w:rPr>
          <w:rFonts w:hint="default" w:ascii="Times New Roman" w:hAnsi="Times New Roman" w:eastAsia="方正仿宋_GBK" w:cs="Times New Roman"/>
          <w:color w:val="auto"/>
          <w:sz w:val="32"/>
          <w:szCs w:val="32"/>
          <w:lang w:eastAsia="zh-CN"/>
        </w:rPr>
        <w:t>产性服务业增加值占服务业增加值比重达到65</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eastAsia="zh-CN"/>
        </w:rPr>
        <w:t>以上。</w:t>
      </w:r>
    </w:p>
    <w:p w14:paraId="3A763BD0">
      <w:pPr>
        <w:keepNext w:val="0"/>
        <w:keepLines w:val="0"/>
        <w:pageBreakBefore w:val="0"/>
        <w:tabs>
          <w:tab w:val="right" w:leader="dot" w:pos="8844"/>
        </w:tabs>
        <w:kinsoku/>
        <w:wordWrap/>
        <w:topLinePunct w:val="0"/>
        <w:autoSpaceDE/>
        <w:autoSpaceDN/>
        <w:bidi w:val="0"/>
        <w:spacing w:line="600" w:lineRule="exact"/>
        <w:ind w:firstLine="640"/>
        <w:jc w:val="center"/>
        <w:outlineLvl w:val="1"/>
        <w:rPr>
          <w:rFonts w:hint="default" w:ascii="Times New Roman" w:hAnsi="Times New Roman" w:eastAsia="方正黑体_GBK" w:cs="Times New Roman"/>
          <w:color w:val="auto"/>
          <w:spacing w:val="-6"/>
          <w:sz w:val="32"/>
          <w:szCs w:val="32"/>
          <w:highlight w:val="none"/>
          <w:u w:val="none" w:color="auto"/>
        </w:rPr>
      </w:pPr>
      <w:bookmarkStart w:id="341" w:name="_Toc306"/>
      <w:bookmarkStart w:id="342" w:name="_Toc14782"/>
      <w:bookmarkStart w:id="343" w:name="_Toc1303"/>
      <w:bookmarkStart w:id="344" w:name="_Toc20097"/>
      <w:r>
        <w:rPr>
          <w:rFonts w:hint="default" w:ascii="Times New Roman" w:hAnsi="Times New Roman" w:eastAsia="方正黑体_GBK" w:cs="Times New Roman"/>
          <w:color w:val="auto"/>
          <w:spacing w:val="-6"/>
          <w:sz w:val="32"/>
          <w:szCs w:val="32"/>
          <w:highlight w:val="none"/>
          <w:u w:val="none" w:color="auto"/>
        </w:rPr>
        <w:t>第</w:t>
      </w:r>
      <w:r>
        <w:rPr>
          <w:rFonts w:hint="default" w:ascii="Times New Roman" w:hAnsi="Times New Roman" w:eastAsia="方正黑体_GBK" w:cs="Times New Roman"/>
          <w:color w:val="auto"/>
          <w:spacing w:val="-6"/>
          <w:sz w:val="32"/>
          <w:szCs w:val="32"/>
          <w:highlight w:val="none"/>
          <w:u w:val="none" w:color="auto"/>
          <w:lang w:val="en-US" w:eastAsia="zh-CN"/>
        </w:rPr>
        <w:t>八</w:t>
      </w:r>
      <w:r>
        <w:rPr>
          <w:rFonts w:hint="default" w:ascii="Times New Roman" w:hAnsi="Times New Roman" w:eastAsia="方正黑体_GBK" w:cs="Times New Roman"/>
          <w:color w:val="auto"/>
          <w:spacing w:val="-6"/>
          <w:sz w:val="32"/>
          <w:szCs w:val="32"/>
          <w:highlight w:val="none"/>
          <w:u w:val="none" w:color="auto"/>
        </w:rPr>
        <w:t xml:space="preserve">章 </w:t>
      </w:r>
      <w:bookmarkEnd w:id="309"/>
      <w:r>
        <w:rPr>
          <w:rFonts w:hint="default" w:ascii="Times New Roman" w:hAnsi="Times New Roman" w:eastAsia="方正黑体_GBK" w:cs="Times New Roman"/>
          <w:color w:val="auto"/>
          <w:spacing w:val="-6"/>
          <w:sz w:val="32"/>
          <w:szCs w:val="32"/>
          <w:highlight w:val="none"/>
          <w:u w:val="none" w:color="auto"/>
        </w:rPr>
        <w:t>促进生活性服务业高品质、多样化、便利化发展</w:t>
      </w:r>
      <w:bookmarkEnd w:id="333"/>
      <w:bookmarkEnd w:id="334"/>
      <w:bookmarkEnd w:id="335"/>
      <w:bookmarkEnd w:id="336"/>
      <w:bookmarkEnd w:id="337"/>
      <w:bookmarkEnd w:id="338"/>
      <w:bookmarkEnd w:id="339"/>
      <w:bookmarkEnd w:id="340"/>
      <w:bookmarkEnd w:id="341"/>
      <w:bookmarkEnd w:id="342"/>
      <w:bookmarkEnd w:id="343"/>
      <w:bookmarkEnd w:id="344"/>
    </w:p>
    <w:p w14:paraId="3F2E921D">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14:ligatures w14:val="standardContextual"/>
        </w:rPr>
      </w:pPr>
      <w:r>
        <w:rPr>
          <w:rFonts w:hint="default" w:ascii="Times New Roman" w:hAnsi="Times New Roman" w:eastAsia="方正仿宋_GBK" w:cs="Times New Roman"/>
          <w:color w:val="auto"/>
          <w:sz w:val="32"/>
          <w:szCs w:val="22"/>
          <w:highlight w:val="none"/>
          <w:u w:val="none" w:color="auto"/>
          <w:lang w:val="en-US" w:eastAsia="zh-CN"/>
          <w14:ligatures w14:val="standardContextual"/>
        </w:rPr>
        <w:t>聚焦现代商贸、文旅文创、健康服务3大生活性服务业细分行业领域，迭代塑造一批具有渝中辨识度、区域辐射力的生活性服务业</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金字招牌</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，推动实现高质量发展与高品质生活融通融合、互促共进。</w:t>
      </w:r>
    </w:p>
    <w:bookmarkEnd w:id="310"/>
    <w:p w14:paraId="3DACA921">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lang w:val="en-US" w:eastAsia="zh-CN"/>
        </w:rPr>
      </w:pPr>
      <w:bookmarkStart w:id="345" w:name="_Toc10560"/>
      <w:bookmarkStart w:id="346" w:name="_Toc28528"/>
      <w:bookmarkStart w:id="347" w:name="_Toc10645"/>
      <w:bookmarkStart w:id="348" w:name="_Toc20226"/>
      <w:bookmarkStart w:id="349" w:name="_Toc10278"/>
      <w:bookmarkStart w:id="350" w:name="_Toc15722"/>
      <w:bookmarkStart w:id="351" w:name="_Toc32096"/>
      <w:bookmarkStart w:id="352" w:name="_Toc325"/>
      <w:bookmarkStart w:id="353" w:name="_Toc3899"/>
      <w:bookmarkStart w:id="354" w:name="_Toc12086"/>
      <w:bookmarkStart w:id="355" w:name="_Toc957"/>
      <w:bookmarkStart w:id="356" w:name="_Toc8507"/>
      <w:bookmarkStart w:id="357" w:name="_Toc6043"/>
      <w:r>
        <w:rPr>
          <w:rFonts w:hint="default" w:ascii="Times New Roman" w:hAnsi="Times New Roman" w:eastAsia="方正楷体_GBK" w:cs="Times New Roman"/>
          <w:color w:val="auto"/>
          <w:sz w:val="32"/>
          <w:szCs w:val="32"/>
          <w:highlight w:val="none"/>
          <w:u w:val="none" w:color="auto"/>
        </w:rPr>
        <w:t xml:space="preserve">第一节 </w:t>
      </w:r>
      <w:bookmarkEnd w:id="345"/>
      <w:bookmarkEnd w:id="346"/>
      <w:bookmarkEnd w:id="347"/>
      <w:bookmarkEnd w:id="348"/>
      <w:bookmarkEnd w:id="349"/>
      <w:bookmarkEnd w:id="350"/>
      <w:r>
        <w:rPr>
          <w:rFonts w:hint="default" w:ascii="Times New Roman" w:hAnsi="Times New Roman" w:eastAsia="方正楷体_GBK" w:cs="Times New Roman"/>
          <w:color w:val="auto"/>
          <w:sz w:val="32"/>
          <w:szCs w:val="32"/>
          <w:highlight w:val="none"/>
          <w:u w:val="none" w:color="auto"/>
          <w:lang w:val="en-US" w:eastAsia="zh-CN"/>
        </w:rPr>
        <w:t>基本建成国际消费中心城市核心区</w:t>
      </w:r>
      <w:bookmarkEnd w:id="351"/>
      <w:bookmarkEnd w:id="352"/>
      <w:bookmarkEnd w:id="353"/>
      <w:bookmarkEnd w:id="354"/>
      <w:bookmarkEnd w:id="355"/>
    </w:p>
    <w:p w14:paraId="749AE971">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left"/>
        <w:outlineLvl w:val="9"/>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pP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围绕总部商贸引领、零售业态创新、品质住宿优化、品牌餐饮集聚，培育一批在全国具有引领性和示范性的品牌企业和</w:t>
      </w:r>
      <w:r>
        <w:rPr>
          <w:rFonts w:hint="eastAsia" w:ascii="Times New Roman" w:hAnsi="Times New Roman" w:eastAsia="方正仿宋_GBK" w:cs="方正仿宋_GBK"/>
          <w:color w:val="auto"/>
          <w:kern w:val="2"/>
          <w:sz w:val="32"/>
          <w:szCs w:val="22"/>
          <w:highlight w:val="none"/>
          <w:u w:val="none" w:color="auto"/>
          <w:lang w:val="en-US" w:eastAsia="zh-CN" w:bidi="ar-SA"/>
          <w14:ligatures w14:val="standardContextual"/>
        </w:rPr>
        <w:t>“</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链主</w:t>
      </w:r>
      <w:r>
        <w:rPr>
          <w:rFonts w:hint="eastAsia" w:ascii="Times New Roman" w:hAnsi="Times New Roman" w:eastAsia="方正仿宋_GBK" w:cs="方正仿宋_GBK"/>
          <w:color w:val="auto"/>
          <w:kern w:val="2"/>
          <w:sz w:val="32"/>
          <w:szCs w:val="22"/>
          <w:highlight w:val="none"/>
          <w:u w:val="none" w:color="auto"/>
          <w:lang w:val="en-US" w:eastAsia="zh-CN" w:bidi="ar-SA"/>
          <w14:ligatures w14:val="standardContextual"/>
        </w:rPr>
        <w:t>”</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企业。</w:t>
      </w:r>
      <w:r>
        <w:rPr>
          <w:rFonts w:hint="default" w:ascii="Times New Roman" w:hAnsi="Times New Roman" w:eastAsia="方正仿宋_GBK" w:cs="Times New Roman"/>
          <w:color w:val="auto"/>
          <w:sz w:val="32"/>
          <w:szCs w:val="32"/>
          <w:highlight w:val="none"/>
          <w:u w:val="none" w:color="auto"/>
        </w:rPr>
        <w:t>壮大总部贸易规模，</w:t>
      </w:r>
      <w:r>
        <w:rPr>
          <w:rFonts w:hint="eastAsia" w:ascii="Times New Roman" w:hAnsi="Times New Roman" w:eastAsia="方正仿宋_GBK" w:cs="Times New Roman"/>
          <w:color w:val="auto"/>
          <w:sz w:val="32"/>
          <w:szCs w:val="32"/>
          <w:highlight w:val="none"/>
          <w:u w:val="none" w:color="auto"/>
          <w:lang w:val="en-US" w:eastAsia="zh-CN"/>
        </w:rPr>
        <w:t>鼓励</w:t>
      </w:r>
      <w:r>
        <w:rPr>
          <w:rFonts w:hint="default" w:ascii="Times New Roman" w:hAnsi="Times New Roman" w:eastAsia="方正仿宋_GBK" w:cs="Times New Roman"/>
          <w:color w:val="auto"/>
          <w:sz w:val="32"/>
          <w:szCs w:val="32"/>
          <w:highlight w:val="none"/>
          <w:u w:val="none" w:color="auto"/>
        </w:rPr>
        <w:t>企业通过连锁经营、供应链优化、平台化整合等方式扩大市场份额，高标准建设大宗商品贸易园区，提升资源配置与贸易集成能力，推动华铝大宗贸易产业园、再生资源贸易园等园区集聚发展</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b w:val="0"/>
          <w:bCs w:val="0"/>
          <w:color w:val="auto"/>
          <w:kern w:val="2"/>
          <w:sz w:val="32"/>
          <w:szCs w:val="22"/>
          <w:highlight w:val="none"/>
          <w:u w:val="none" w:color="auto"/>
          <w:lang w:val="en-US" w:eastAsia="zh-CN" w:bidi="ar-SA"/>
          <w14:ligatures w14:val="standardContextual"/>
        </w:rPr>
        <w:t>促</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进实体零售创新发展，</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支持重百大楼等核心零售实体实施</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数字焕新</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场景重塑</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优化改造，大力集聚国内外知名零售品牌。</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加快培育直播电商、私域电商、即时零售等新业态，培育壮大一批数字商务园区、电商直播孵化基地，限上商贸</w:t>
      </w:r>
      <w:r>
        <w:rPr>
          <w:rFonts w:hint="default" w:ascii="Times New Roman" w:hAnsi="Times New Roman" w:eastAsia="方正仿宋_GBK" w:cs="Times New Roman"/>
          <w:color w:val="auto"/>
          <w:kern w:val="2"/>
          <w:sz w:val="32"/>
          <w:szCs w:val="32"/>
          <w:highlight w:val="none"/>
          <w:u w:val="none" w:color="auto"/>
          <w:lang w:val="en-US" w:eastAsia="zh-CN" w:bidi="ar-SA"/>
        </w:rPr>
        <w:t>网络零售额突破170亿元。</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推动住宿业品质化发展，引导高端酒店开展智能化、绿色化改造，大力发展涉外住宿服务；支持经济型连锁酒店向主题化、精品化转型升级，鼓励符合条件的民宿创建甲级、乙级民宿，引导网约房规范化、标准化发展。推动餐饮</w:t>
      </w:r>
      <w:r>
        <w:rPr>
          <w:rFonts w:hint="eastAsia" w:ascii="Times New Roman" w:hAnsi="Times New Roman" w:eastAsia="方正仿宋_GBK" w:cs="Times New Roman"/>
          <w:color w:val="auto"/>
          <w:kern w:val="2"/>
          <w:sz w:val="32"/>
          <w:szCs w:val="22"/>
          <w:highlight w:val="none"/>
          <w:u w:val="none" w:color="auto"/>
          <w:lang w:val="en-US" w:eastAsia="zh-CN" w:bidi="ar-SA"/>
          <w14:ligatures w14:val="standardContextual"/>
        </w:rPr>
        <w:t>企业</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发展，培育引进本土咖啡茶饮品牌，鼓励精致轻食等新兴品类发展，推动餐饮品牌核心集聚地建设，支持餐饮企业积极开拓海外市场。现代商贸</w:t>
      </w:r>
      <w:r>
        <w:rPr>
          <w:rFonts w:hint="eastAsia" w:ascii="Times New Roman" w:hAnsi="Times New Roman" w:eastAsia="方正仿宋_GBK" w:cs="Times New Roman"/>
          <w:color w:val="auto"/>
          <w:kern w:val="2"/>
          <w:sz w:val="32"/>
          <w:szCs w:val="22"/>
          <w:highlight w:val="none"/>
          <w:u w:val="none" w:color="auto"/>
          <w:lang w:val="en-US" w:eastAsia="zh-CN" w:bidi="ar-SA"/>
          <w14:ligatures w14:val="standardContextual"/>
        </w:rPr>
        <w:t>业</w:t>
      </w:r>
      <w:r>
        <w:rPr>
          <w:rFonts w:hint="default" w:ascii="Times New Roman" w:hAnsi="Times New Roman" w:eastAsia="方正仿宋_GBK" w:cs="Times New Roman"/>
          <w:color w:val="auto"/>
          <w:kern w:val="2"/>
          <w:sz w:val="32"/>
          <w:szCs w:val="22"/>
          <w:highlight w:val="none"/>
          <w:u w:val="none" w:color="auto"/>
          <w:lang w:val="en-US" w:eastAsia="zh-CN" w:bidi="ar-SA"/>
          <w14:ligatures w14:val="standardContextual"/>
        </w:rPr>
        <w:t>增加值占GDP比重达到23%。</w:t>
      </w:r>
    </w:p>
    <w:p w14:paraId="1E165EC1">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358" w:name="_Toc27702"/>
      <w:bookmarkStart w:id="359" w:name="_Toc1102"/>
      <w:bookmarkStart w:id="360" w:name="_Toc13630"/>
      <w:bookmarkStart w:id="361" w:name="_Toc14359"/>
      <w:bookmarkStart w:id="362" w:name="_Toc21552"/>
      <w:bookmarkStart w:id="363" w:name="_Toc1752"/>
      <w:bookmarkStart w:id="364" w:name="_Toc6804"/>
      <w:bookmarkStart w:id="365" w:name="_Toc394"/>
      <w:bookmarkStart w:id="366" w:name="_Toc16063"/>
      <w:bookmarkStart w:id="367" w:name="_Toc5216"/>
      <w:bookmarkStart w:id="368" w:name="_Toc11147"/>
      <w:r>
        <w:rPr>
          <w:rFonts w:hint="default" w:ascii="Times New Roman" w:hAnsi="Times New Roman" w:eastAsia="方正楷体_GBK" w:cs="Times New Roman"/>
          <w:color w:val="auto"/>
          <w:sz w:val="32"/>
          <w:szCs w:val="32"/>
          <w:highlight w:val="none"/>
          <w:u w:val="none" w:color="auto"/>
        </w:rPr>
        <w:t xml:space="preserve">第二节 </w:t>
      </w:r>
      <w:r>
        <w:rPr>
          <w:rFonts w:hint="default" w:ascii="Times New Roman" w:hAnsi="Times New Roman" w:eastAsia="方正楷体_GBK" w:cs="Times New Roman"/>
          <w:color w:val="auto"/>
          <w:sz w:val="32"/>
          <w:szCs w:val="32"/>
          <w:highlight w:val="none"/>
          <w:u w:val="none" w:color="auto"/>
          <w:lang w:val="en-US" w:eastAsia="zh-CN"/>
        </w:rPr>
        <w:t>加快打造文商旅体城科融合发展先行示范区</w:t>
      </w:r>
      <w:bookmarkEnd w:id="358"/>
      <w:bookmarkEnd w:id="359"/>
      <w:bookmarkEnd w:id="360"/>
      <w:bookmarkEnd w:id="361"/>
      <w:bookmarkEnd w:id="362"/>
      <w:bookmarkEnd w:id="363"/>
      <w:bookmarkEnd w:id="364"/>
      <w:bookmarkEnd w:id="365"/>
      <w:bookmarkEnd w:id="366"/>
      <w:bookmarkEnd w:id="367"/>
      <w:bookmarkEnd w:id="368"/>
    </w:p>
    <w:p w14:paraId="5DB8C056">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b w:val="0"/>
          <w:bCs w:val="0"/>
          <w:color w:val="auto"/>
          <w:sz w:val="32"/>
          <w:szCs w:val="40"/>
          <w:highlight w:val="none"/>
          <w:lang w:val="en-US" w:eastAsia="zh-CN"/>
        </w:rPr>
      </w:pPr>
      <w:r>
        <w:rPr>
          <w:rFonts w:hint="default" w:ascii="Times New Roman" w:hAnsi="Times New Roman" w:eastAsia="方正仿宋_GBK" w:cs="Times New Roman"/>
          <w:color w:val="auto"/>
          <w:sz w:val="32"/>
          <w:szCs w:val="22"/>
          <w:highlight w:val="none"/>
          <w:u w:val="none" w:color="auto"/>
          <w:lang w:val="en-US" w:eastAsia="zh-CN"/>
          <w14:ligatures w14:val="standardContextual"/>
        </w:rPr>
        <w:t>立足</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国际范、巴蜀韵、重庆味</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，做优母城记忆游、山水都市游、红色文化游等旅游旗舰产品集群。全面推进</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文旅+百业</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百业+文旅</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融合发展，促进文旅与商贸、科技等行业和健康、教育、体育、科技等领域双向赋能，着力打造康养游、研学游、赛事游等融合项目。</w:t>
      </w:r>
      <w:r>
        <w:rPr>
          <w:rFonts w:hint="default" w:ascii="Times New Roman" w:hAnsi="Times New Roman" w:eastAsia="方正仿宋_GBK" w:cs="Times New Roman"/>
          <w:color w:val="auto"/>
          <w:sz w:val="32"/>
          <w:szCs w:val="32"/>
          <w:highlight w:val="none"/>
          <w:u w:val="none" w:color="auto"/>
          <w:lang w:val="en-US" w:eastAsia="zh-CN"/>
        </w:rPr>
        <w:t>积极发展数字文化、夜间旅游、特色赛事、演艺活动、文创设计等新质业态，</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打造一批科技赋能、故事驱动的沉浸式交互式文旅精品融合项目</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大力发展体育产业和体育消费，聚焦户外运动、智能穿戴设备、数字健身服务等新兴赛道，发展运动康复、技能培训、社群运营等细分领域，深入开展</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跟着赛事去旅行</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体育赛事三进</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活动，全面激发赛事经济活力，积极争创国家促进体育消费和赛事经济试点城市，文化、体育和娱乐业</w:t>
      </w:r>
      <w:r>
        <w:rPr>
          <w:rFonts w:hint="eastAsia" w:ascii="Times New Roman" w:hAnsi="Times New Roman" w:eastAsia="方正仿宋_GBK" w:cs="Times New Roman"/>
          <w:color w:val="auto"/>
          <w:sz w:val="32"/>
          <w:szCs w:val="22"/>
          <w:highlight w:val="none"/>
          <w:u w:val="none" w:color="auto"/>
          <w:lang w:val="en-US" w:eastAsia="zh-CN"/>
          <w14:ligatures w14:val="standardContextual"/>
        </w:rPr>
        <w:t>增加值</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占GDP比重达到3%。</w:t>
      </w:r>
    </w:p>
    <w:p w14:paraId="18C8D565">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369" w:name="_Toc11679"/>
      <w:bookmarkStart w:id="370" w:name="_Toc26458"/>
      <w:bookmarkStart w:id="371" w:name="_Toc15164"/>
      <w:bookmarkStart w:id="372" w:name="_Toc20799"/>
      <w:bookmarkStart w:id="373" w:name="_Toc24604"/>
      <w:bookmarkStart w:id="374" w:name="_Toc20157"/>
      <w:bookmarkStart w:id="375" w:name="_Toc24327"/>
      <w:bookmarkStart w:id="376" w:name="_Toc18615"/>
      <w:bookmarkStart w:id="377" w:name="_Toc10870"/>
      <w:bookmarkStart w:id="378" w:name="_Toc30658"/>
      <w:bookmarkStart w:id="379" w:name="_Toc26208"/>
      <w:r>
        <w:rPr>
          <w:rFonts w:hint="default" w:ascii="Times New Roman" w:hAnsi="Times New Roman" w:eastAsia="方正楷体_GBK" w:cs="Times New Roman"/>
          <w:color w:val="auto"/>
          <w:sz w:val="32"/>
          <w:szCs w:val="32"/>
          <w:highlight w:val="none"/>
          <w:u w:val="none" w:color="auto"/>
        </w:rPr>
        <w:t xml:space="preserve">第三节 </w:t>
      </w:r>
      <w:bookmarkEnd w:id="356"/>
      <w:r>
        <w:rPr>
          <w:rFonts w:hint="default" w:ascii="Times New Roman" w:hAnsi="Times New Roman" w:eastAsia="方正楷体_GBK" w:cs="Times New Roman"/>
          <w:color w:val="auto"/>
          <w:sz w:val="32"/>
          <w:szCs w:val="32"/>
          <w:highlight w:val="none"/>
          <w:u w:val="none" w:color="auto"/>
          <w:lang w:val="en-US" w:eastAsia="zh-CN"/>
        </w:rPr>
        <w:t>着力建设西部健康服务高地</w:t>
      </w:r>
      <w:bookmarkEnd w:id="357"/>
      <w:bookmarkEnd w:id="369"/>
      <w:bookmarkEnd w:id="370"/>
      <w:bookmarkEnd w:id="371"/>
      <w:bookmarkEnd w:id="372"/>
      <w:bookmarkEnd w:id="373"/>
      <w:bookmarkEnd w:id="374"/>
      <w:bookmarkEnd w:id="375"/>
      <w:bookmarkEnd w:id="376"/>
      <w:bookmarkEnd w:id="377"/>
      <w:bookmarkEnd w:id="378"/>
      <w:bookmarkEnd w:id="379"/>
    </w:p>
    <w:p w14:paraId="416AB83B">
      <w:pPr>
        <w:keepNext w:val="0"/>
        <w:keepLines w:val="0"/>
        <w:pageBreakBefore w:val="0"/>
        <w:tabs>
          <w:tab w:val="right" w:leader="dot" w:pos="8844"/>
        </w:tabs>
        <w:kinsoku/>
        <w:wordWrap/>
        <w:topLinePunct w:val="0"/>
        <w:autoSpaceDE/>
        <w:autoSpaceDN/>
        <w:bidi w:val="0"/>
        <w:spacing w:line="600" w:lineRule="exact"/>
        <w:ind w:firstLine="640" w:firstLineChars="200"/>
        <w:outlineLvl w:val="9"/>
        <w:rPr>
          <w:rFonts w:hint="default" w:ascii="Times New Roman" w:hAnsi="Times New Roman" w:eastAsia="方正仿宋_GBK" w:cs="Times New Roman"/>
          <w:color w:val="auto"/>
          <w:sz w:val="32"/>
          <w:szCs w:val="22"/>
          <w:highlight w:val="none"/>
          <w:u w:val="none" w:color="auto"/>
          <w14:ligatures w14:val="standardContextual"/>
        </w:rPr>
      </w:pPr>
      <w:r>
        <w:rPr>
          <w:rFonts w:hint="default" w:ascii="Times New Roman" w:hAnsi="Times New Roman" w:eastAsia="方正仿宋_GBK" w:cs="Times New Roman"/>
          <w:color w:val="auto"/>
          <w:sz w:val="32"/>
          <w:szCs w:val="22"/>
          <w:highlight w:val="none"/>
          <w:u w:val="none" w:color="auto"/>
          <w14:ligatures w14:val="standardContextual"/>
        </w:rPr>
        <w:t>聚焦健康管理、消费型医疗服务、中医药传承创新、医药流通等</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重点</w:t>
      </w:r>
      <w:r>
        <w:rPr>
          <w:rFonts w:hint="default" w:ascii="Times New Roman" w:hAnsi="Times New Roman" w:eastAsia="方正仿宋_GBK" w:cs="Times New Roman"/>
          <w:color w:val="auto"/>
          <w:sz w:val="32"/>
          <w:szCs w:val="22"/>
          <w:highlight w:val="none"/>
          <w:u w:val="none" w:color="auto"/>
          <w14:ligatures w14:val="standardContextual"/>
        </w:rPr>
        <w:t>发展方向，</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着力构建</w:t>
      </w:r>
      <w:r>
        <w:rPr>
          <w:rFonts w:hint="default" w:ascii="Times New Roman" w:hAnsi="Times New Roman" w:eastAsia="方正仿宋_GBK" w:cs="Times New Roman"/>
          <w:color w:val="auto"/>
          <w:sz w:val="32"/>
          <w:szCs w:val="22"/>
          <w:highlight w:val="none"/>
          <w:u w:val="none" w:color="auto"/>
          <w14:ligatures w14:val="standardContextual"/>
        </w:rPr>
        <w:t>多元化、高品质</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特色健康服务新格局</w:t>
      </w:r>
      <w:r>
        <w:rPr>
          <w:rFonts w:hint="default" w:ascii="Times New Roman" w:hAnsi="Times New Roman" w:eastAsia="方正仿宋_GBK" w:cs="Times New Roman"/>
          <w:color w:val="auto"/>
          <w:sz w:val="32"/>
          <w:szCs w:val="22"/>
          <w:highlight w:val="none"/>
          <w:u w:val="none" w:color="auto"/>
          <w14:ligatures w14:val="standardContextual"/>
        </w:rPr>
        <w:t>。</w:t>
      </w:r>
      <w:bookmarkStart w:id="380" w:name="OLE_LINK2"/>
      <w:r>
        <w:rPr>
          <w:rFonts w:hint="default" w:ascii="Times New Roman" w:hAnsi="Times New Roman" w:eastAsia="方正仿宋_GBK" w:cs="Times New Roman"/>
          <w:color w:val="auto"/>
          <w:sz w:val="32"/>
          <w:szCs w:val="22"/>
          <w:highlight w:val="none"/>
          <w:u w:val="none" w:color="auto"/>
          <w:lang w:val="en-US" w:eastAsia="zh-CN"/>
          <w14:ligatures w14:val="standardContextual"/>
        </w:rPr>
        <w:t>大力发展婴幼儿照护、健康养老、体育健康等全生命周期健康管理服务，</w:t>
      </w:r>
      <w:r>
        <w:rPr>
          <w:rFonts w:hint="default" w:ascii="Times New Roman" w:hAnsi="Times New Roman" w:eastAsia="方正仿宋_GBK" w:cs="Times New Roman"/>
          <w:color w:val="auto"/>
          <w:sz w:val="32"/>
          <w:szCs w:val="22"/>
          <w:highlight w:val="none"/>
          <w:u w:val="none" w:color="auto"/>
          <w14:ligatures w14:val="standardContextual"/>
        </w:rPr>
        <w:t>着力发展医学美容、口腔正畸、心理健康等消费型医疗服务</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加快</w:t>
      </w:r>
      <w:r>
        <w:rPr>
          <w:rFonts w:hint="default" w:ascii="Times New Roman" w:hAnsi="Times New Roman" w:eastAsia="方正仿宋_GBK" w:cs="Times New Roman"/>
          <w:color w:val="auto"/>
          <w:sz w:val="32"/>
          <w:szCs w:val="22"/>
          <w:highlight w:val="none"/>
          <w:u w:val="none" w:color="auto"/>
          <w14:ligatures w14:val="standardContextual"/>
        </w:rPr>
        <w:t>发展中医医疗、制剂转化</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药膳餐饮、养生保健、文化研学等</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中医药+</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新业态</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争创市级生产性服务业集聚区；</w:t>
      </w:r>
      <w:r>
        <w:rPr>
          <w:rFonts w:hint="default" w:ascii="Times New Roman" w:hAnsi="Times New Roman" w:eastAsia="方正仿宋_GBK" w:cs="Times New Roman"/>
          <w:color w:val="auto"/>
          <w:sz w:val="32"/>
          <w:szCs w:val="22"/>
          <w:highlight w:val="none"/>
          <w:u w:val="none" w:color="auto"/>
          <w14:ligatures w14:val="standardContextual"/>
        </w:rPr>
        <w:t>鼓励</w:t>
      </w:r>
      <w:r>
        <w:rPr>
          <w:rFonts w:hint="default" w:ascii="Times New Roman" w:hAnsi="Times New Roman" w:eastAsia="方正仿宋_GBK" w:cs="Times New Roman"/>
          <w:color w:val="auto"/>
          <w:sz w:val="32"/>
          <w:szCs w:val="22"/>
          <w:highlight w:val="none"/>
          <w:u w:val="none" w:color="auto"/>
          <w:lang w:eastAsia="zh-CN"/>
          <w14:ligatures w14:val="standardContextual"/>
        </w:rPr>
        <w:t>医药流通</w:t>
      </w:r>
      <w:r>
        <w:rPr>
          <w:rFonts w:hint="default" w:ascii="Times New Roman" w:hAnsi="Times New Roman" w:eastAsia="方正仿宋_GBK" w:cs="Times New Roman"/>
          <w:color w:val="auto"/>
          <w:sz w:val="32"/>
          <w:szCs w:val="22"/>
          <w:highlight w:val="none"/>
          <w:u w:val="none" w:color="auto"/>
          <w14:ligatures w14:val="standardContextual"/>
        </w:rPr>
        <w:t>龙头企业向新型供应链综合服务商转型</w:t>
      </w:r>
      <w:bookmarkEnd w:id="380"/>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创新发展</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人工智能+医疗</w:t>
      </w:r>
      <w:r>
        <w:rPr>
          <w:rFonts w:hint="eastAsia" w:ascii="Times New Roman" w:hAnsi="Times New Roman" w:eastAsia="方正仿宋_GBK" w:cs="方正仿宋_GBK"/>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sz w:val="32"/>
          <w:szCs w:val="22"/>
          <w:highlight w:val="none"/>
          <w:u w:val="none" w:color="auto"/>
          <w14:ligatures w14:val="standardContextual"/>
        </w:rPr>
        <w:t>打造以数据互联互通、人工智能辅助为核心支撑的智慧医疗体系，建设</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咨询—保健—诊疗—康复—管理—保险</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于一体的综合健康消费服务场景</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卫生和社会</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工作</w:t>
      </w:r>
      <w:r>
        <w:rPr>
          <w:rFonts w:hint="default" w:ascii="Times New Roman" w:hAnsi="Times New Roman" w:eastAsia="方正仿宋_GBK" w:cs="Times New Roman"/>
          <w:color w:val="auto"/>
          <w:sz w:val="32"/>
          <w:szCs w:val="22"/>
          <w:highlight w:val="none"/>
          <w:u w:val="none" w:color="auto"/>
          <w14:ligatures w14:val="standardContextual"/>
        </w:rPr>
        <w:t>服务业增加值</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占GDP比重达到6%</w:t>
      </w:r>
      <w:r>
        <w:rPr>
          <w:rFonts w:hint="default" w:ascii="Times New Roman" w:hAnsi="Times New Roman" w:eastAsia="方正仿宋_GBK" w:cs="Times New Roman"/>
          <w:color w:val="auto"/>
          <w:sz w:val="32"/>
          <w:szCs w:val="22"/>
          <w:highlight w:val="none"/>
          <w:u w:val="none" w:color="auto"/>
          <w14:ligatures w14:val="standardContextual"/>
        </w:rPr>
        <w:t>。</w:t>
      </w:r>
    </w:p>
    <w:p w14:paraId="5C5D3910">
      <w:pPr>
        <w:keepNext w:val="0"/>
        <w:keepLines w:val="0"/>
        <w:pageBreakBefore w:val="0"/>
        <w:tabs>
          <w:tab w:val="right" w:leader="dot" w:pos="8844"/>
        </w:tabs>
        <w:kinsoku/>
        <w:wordWrap/>
        <w:topLinePunct w:val="0"/>
        <w:autoSpaceDE/>
        <w:autoSpaceDN/>
        <w:bidi w:val="0"/>
        <w:spacing w:line="600" w:lineRule="exact"/>
        <w:ind w:firstLine="640"/>
        <w:jc w:val="center"/>
        <w:outlineLvl w:val="1"/>
        <w:rPr>
          <w:rFonts w:hint="default" w:ascii="Times New Roman" w:hAnsi="Times New Roman" w:eastAsia="方正黑体_GBK" w:cs="Times New Roman"/>
          <w:color w:val="auto"/>
          <w:spacing w:val="-6"/>
          <w:sz w:val="32"/>
          <w:szCs w:val="32"/>
          <w:highlight w:val="none"/>
          <w:u w:val="none" w:color="auto"/>
        </w:rPr>
      </w:pPr>
      <w:bookmarkStart w:id="381" w:name="_Toc10686"/>
      <w:bookmarkStart w:id="382" w:name="_Toc2965"/>
      <w:bookmarkStart w:id="383" w:name="_Toc29163"/>
      <w:bookmarkStart w:id="384" w:name="_Toc17798"/>
      <w:bookmarkStart w:id="385" w:name="_Toc10776"/>
      <w:bookmarkStart w:id="386" w:name="_Toc5267"/>
      <w:bookmarkStart w:id="387" w:name="_Toc17073"/>
      <w:bookmarkStart w:id="388" w:name="_Toc19646"/>
      <w:bookmarkStart w:id="389" w:name="_Toc14284"/>
      <w:bookmarkStart w:id="390" w:name="_Toc13569"/>
      <w:bookmarkStart w:id="391" w:name="_Toc7997"/>
      <w:bookmarkStart w:id="392" w:name="_Toc22897"/>
      <w:bookmarkStart w:id="393" w:name="_Toc8608"/>
      <w:r>
        <w:rPr>
          <w:rFonts w:hint="default" w:ascii="Times New Roman" w:hAnsi="Times New Roman" w:eastAsia="方正黑体_GBK" w:cs="Times New Roman"/>
          <w:color w:val="auto"/>
          <w:spacing w:val="-6"/>
          <w:sz w:val="32"/>
          <w:szCs w:val="32"/>
          <w:highlight w:val="none"/>
          <w:u w:val="none" w:color="auto"/>
        </w:rPr>
        <w:t>第</w:t>
      </w:r>
      <w:r>
        <w:rPr>
          <w:rFonts w:hint="default" w:ascii="Times New Roman" w:hAnsi="Times New Roman" w:eastAsia="方正黑体_GBK" w:cs="Times New Roman"/>
          <w:color w:val="auto"/>
          <w:spacing w:val="-6"/>
          <w:sz w:val="32"/>
          <w:szCs w:val="32"/>
          <w:highlight w:val="none"/>
          <w:u w:val="none" w:color="auto"/>
          <w:lang w:val="en-US" w:eastAsia="zh-CN"/>
        </w:rPr>
        <w:t>九</w:t>
      </w:r>
      <w:r>
        <w:rPr>
          <w:rFonts w:hint="default" w:ascii="Times New Roman" w:hAnsi="Times New Roman" w:eastAsia="方正黑体_GBK" w:cs="Times New Roman"/>
          <w:color w:val="auto"/>
          <w:spacing w:val="-6"/>
          <w:sz w:val="32"/>
          <w:szCs w:val="32"/>
          <w:highlight w:val="none"/>
          <w:u w:val="none" w:color="auto"/>
        </w:rPr>
        <w:t xml:space="preserve">章 </w:t>
      </w:r>
      <w:bookmarkStart w:id="394" w:name="OLE_LINK18"/>
      <w:r>
        <w:rPr>
          <w:rFonts w:hint="default" w:ascii="Times New Roman" w:hAnsi="Times New Roman" w:eastAsia="方正黑体_GBK" w:cs="Times New Roman"/>
          <w:color w:val="auto"/>
          <w:spacing w:val="-6"/>
          <w:sz w:val="32"/>
          <w:szCs w:val="32"/>
          <w:highlight w:val="none"/>
          <w:u w:val="none" w:color="auto"/>
        </w:rPr>
        <w:t>推动建筑业向工业化、数字化、绿色化转型升级</w:t>
      </w:r>
      <w:bookmarkEnd w:id="381"/>
      <w:bookmarkEnd w:id="382"/>
      <w:bookmarkEnd w:id="383"/>
      <w:bookmarkEnd w:id="384"/>
      <w:bookmarkEnd w:id="385"/>
      <w:bookmarkEnd w:id="386"/>
      <w:bookmarkEnd w:id="387"/>
      <w:bookmarkEnd w:id="388"/>
      <w:bookmarkEnd w:id="389"/>
      <w:bookmarkEnd w:id="390"/>
      <w:bookmarkEnd w:id="391"/>
      <w:bookmarkEnd w:id="392"/>
      <w:bookmarkEnd w:id="393"/>
    </w:p>
    <w:bookmarkEnd w:id="394"/>
    <w:p w14:paraId="2541DDA2">
      <w:pPr>
        <w:keepNext w:val="0"/>
        <w:keepLines w:val="0"/>
        <w:pageBreakBefore w:val="0"/>
        <w:tabs>
          <w:tab w:val="right" w:leader="dot" w:pos="8844"/>
        </w:tabs>
        <w:kinsoku/>
        <w:wordWrap/>
        <w:topLinePunct w:val="0"/>
        <w:autoSpaceDE/>
        <w:autoSpaceDN/>
        <w:bidi w:val="0"/>
        <w:spacing w:line="600" w:lineRule="exact"/>
        <w:ind w:firstLine="640" w:firstLineChars="200"/>
        <w:outlineLvl w:val="9"/>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bookmarkStart w:id="395" w:name="_Toc31151"/>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发挥建筑业龙头链主企业富集优势，深入实施构配件生产工业化，围绕建筑施工、设计咨询、装配式建筑、智能建造、新型能源等，全力打造西部工程检测产业基地等产业园区。持续完善建筑业科技创新机制，推动建设国家级、市级建筑行业重点实验室及工程技术研究中心，加大科技成果转化力度。加快发展智能建造，</w:t>
      </w:r>
      <w:bookmarkStart w:id="396" w:name="_Toc32248"/>
      <w:r>
        <w:rPr>
          <w:rFonts w:hint="default" w:ascii="Times New Roman" w:hAnsi="Times New Roman" w:eastAsia="方正仿宋_GBK" w:cs="Times New Roman"/>
          <w:color w:val="auto"/>
          <w:sz w:val="32"/>
          <w:szCs w:val="22"/>
          <w:highlight w:val="none"/>
          <w:u w:val="none" w:color="auto"/>
          <w14:ligatures w14:val="standardContextual"/>
        </w:rPr>
        <w:t>依托区内头部勘察设计企业数字化平台资源，整合BIM协同设计、智能施工、管理等模块</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促进</w:t>
      </w:r>
      <w:r>
        <w:rPr>
          <w:rFonts w:hint="default" w:ascii="Times New Roman" w:hAnsi="Times New Roman" w:eastAsia="方正仿宋_GBK" w:cs="Times New Roman"/>
          <w:color w:val="auto"/>
          <w:sz w:val="32"/>
          <w:szCs w:val="22"/>
          <w:highlight w:val="none"/>
          <w:u w:val="none" w:color="auto"/>
          <w14:ligatures w14:val="standardContextual"/>
        </w:rPr>
        <w:t>数据贯通与协同管理，打造覆盖</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设计</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施工</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运维</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等全生命周期的建筑产业互联网平台。</w:t>
      </w:r>
      <w:bookmarkEnd w:id="396"/>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探索建筑领域人工智能大模型应用，驱动工程建设全链条智能化重构。</w:t>
      </w:r>
      <w:r>
        <w:rPr>
          <w:rFonts w:hint="default" w:ascii="Times New Roman" w:hAnsi="Times New Roman" w:eastAsia="方正仿宋_GBK" w:cs="Times New Roman"/>
          <w:color w:val="auto"/>
          <w:sz w:val="32"/>
          <w:szCs w:val="22"/>
          <w:highlight w:val="none"/>
          <w:u w:val="none" w:color="auto"/>
          <w14:ligatures w14:val="standardContextual"/>
        </w:rPr>
        <w:t>推动新建建筑全面达到绿色建筑要求，争创一批公共机构</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医院、校园、商务楼宇等绿色化改造示范项目。大力引进现代建筑总部企业，</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逐步培育一批工程总承包骨干企业和全过程工程咨询领军企业</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支持区内企业广泛参与城市更新、老旧小区改造等</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重点项目</w:t>
      </w:r>
      <w:r>
        <w:rPr>
          <w:rFonts w:hint="default" w:ascii="Times New Roman" w:hAnsi="Times New Roman" w:eastAsia="方正仿宋_GBK" w:cs="Times New Roman"/>
          <w:color w:val="auto"/>
          <w:sz w:val="32"/>
          <w:szCs w:val="22"/>
          <w:highlight w:val="none"/>
          <w:u w:val="none" w:color="auto"/>
          <w14:ligatures w14:val="standardContextual"/>
        </w:rPr>
        <w:t>，鼓励企业突破地域限制</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抱团出海</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，积极在海外市场参与竞争</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。现代建筑</w:t>
      </w:r>
      <w:r>
        <w:rPr>
          <w:rFonts w:hint="default" w:ascii="Times New Roman" w:hAnsi="Times New Roman" w:eastAsia="方正仿宋_GBK" w:cs="Times New Roman"/>
          <w:color w:val="auto"/>
          <w:sz w:val="32"/>
          <w:szCs w:val="22"/>
          <w:highlight w:val="none"/>
          <w:u w:val="none" w:color="auto"/>
          <w14:ligatures w14:val="standardContextual"/>
        </w:rPr>
        <w:t>业增加值</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占GDP比重达到6%以上</w:t>
      </w:r>
      <w:r>
        <w:rPr>
          <w:rFonts w:hint="default" w:ascii="Times New Roman" w:hAnsi="Times New Roman" w:eastAsia="方正仿宋_GBK" w:cs="Times New Roman"/>
          <w:color w:val="auto"/>
          <w:sz w:val="32"/>
          <w:szCs w:val="22"/>
          <w:highlight w:val="none"/>
          <w:u w:val="none" w:color="auto"/>
          <w14:ligatures w14:val="standardContextual"/>
        </w:rPr>
        <w:t>。</w:t>
      </w:r>
    </w:p>
    <w:bookmarkEnd w:id="395"/>
    <w:p w14:paraId="4C0413DF">
      <w:pPr>
        <w:keepNext w:val="0"/>
        <w:keepLines w:val="0"/>
        <w:pageBreakBefore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sz w:val="32"/>
          <w:szCs w:val="32"/>
          <w:highlight w:val="none"/>
          <w:u w:val="none" w:color="auto"/>
        </w:rPr>
      </w:pPr>
      <w:bookmarkStart w:id="397" w:name="_Toc24350"/>
      <w:bookmarkStart w:id="398" w:name="_Toc14810"/>
      <w:bookmarkStart w:id="399" w:name="_Toc26766"/>
      <w:bookmarkStart w:id="400" w:name="_Toc25087"/>
      <w:bookmarkStart w:id="401" w:name="_Toc14055"/>
      <w:bookmarkStart w:id="402" w:name="_Toc8203"/>
      <w:bookmarkStart w:id="403" w:name="_Toc12912"/>
      <w:bookmarkStart w:id="404" w:name="_Toc32082"/>
      <w:bookmarkStart w:id="405" w:name="_Toc15470"/>
      <w:bookmarkStart w:id="406" w:name="_Toc23310"/>
      <w:bookmarkStart w:id="407" w:name="_Toc7167"/>
      <w:bookmarkStart w:id="408" w:name="_Toc27484"/>
      <w:bookmarkStart w:id="409" w:name="_Toc11165"/>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十</w:t>
      </w:r>
      <w:r>
        <w:rPr>
          <w:rFonts w:hint="default" w:ascii="Times New Roman" w:hAnsi="Times New Roman" w:eastAsia="方正黑体_GBK" w:cs="Times New Roman"/>
          <w:color w:val="auto"/>
          <w:sz w:val="32"/>
          <w:szCs w:val="32"/>
          <w:highlight w:val="none"/>
          <w:u w:val="none" w:color="auto"/>
        </w:rPr>
        <w:t>章 培育壮大新兴产业和未来产业</w:t>
      </w:r>
      <w:bookmarkEnd w:id="397"/>
      <w:bookmarkEnd w:id="398"/>
      <w:bookmarkEnd w:id="399"/>
      <w:bookmarkEnd w:id="400"/>
      <w:bookmarkEnd w:id="401"/>
      <w:bookmarkEnd w:id="402"/>
      <w:bookmarkEnd w:id="403"/>
      <w:bookmarkEnd w:id="404"/>
      <w:bookmarkEnd w:id="405"/>
      <w:bookmarkEnd w:id="406"/>
      <w:bookmarkEnd w:id="407"/>
      <w:bookmarkEnd w:id="408"/>
      <w:bookmarkEnd w:id="409"/>
    </w:p>
    <w:p w14:paraId="4ABD9BC3">
      <w:pPr>
        <w:spacing w:line="600" w:lineRule="exact"/>
        <w:ind w:firstLine="640" w:firstLineChars="200"/>
        <w:rPr>
          <w:rFonts w:hint="default" w:ascii="Times New Roman" w:hAnsi="Times New Roman" w:eastAsia="方正仿宋_GBK" w:cs="Times New Roman"/>
          <w:color w:val="auto"/>
          <w:sz w:val="32"/>
          <w:szCs w:val="22"/>
          <w:highlight w:val="none"/>
          <w:u w:val="none" w:color="auto"/>
          <w:lang w:val="en-US" w:eastAsia="zh-CN"/>
          <w14:ligatures w14:val="standardContextual"/>
        </w:rPr>
      </w:pPr>
      <w:bookmarkStart w:id="410" w:name="_Toc444"/>
      <w:bookmarkStart w:id="411" w:name="_Hlk216438895"/>
      <w:r>
        <w:rPr>
          <w:rFonts w:hint="default" w:ascii="Times New Roman" w:hAnsi="Times New Roman" w:eastAsia="方正仿宋_GBK" w:cs="Times New Roman"/>
          <w:b w:val="0"/>
          <w:bCs w:val="0"/>
          <w:color w:val="auto"/>
          <w:spacing w:val="0"/>
          <w:sz w:val="32"/>
          <w:szCs w:val="32"/>
          <w:highlight w:val="none"/>
          <w:u w:val="none" w:color="auto"/>
          <w:lang w:val="en-US" w:eastAsia="zh-CN"/>
        </w:rPr>
        <w:t>巩固拓展数智</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第三空间</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，围绕产业数智化、数智产业化、</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人工智能+</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等关键路径，</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推动新兴产业和未来产业成为新的经济增长点，打造产业接续发展新引擎。</w:t>
      </w:r>
    </w:p>
    <w:p w14:paraId="51EFF20F">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412" w:name="_Toc3290"/>
      <w:bookmarkStart w:id="413" w:name="_Toc26862"/>
      <w:bookmarkStart w:id="414" w:name="_Toc9672"/>
      <w:bookmarkStart w:id="415" w:name="_Toc15613"/>
      <w:bookmarkStart w:id="416" w:name="_Toc17288"/>
      <w:bookmarkStart w:id="417" w:name="_Toc23052"/>
      <w:bookmarkStart w:id="418" w:name="_Toc16329"/>
      <w:bookmarkStart w:id="419" w:name="_Toc7626"/>
      <w:bookmarkStart w:id="420" w:name="_Toc19287"/>
      <w:bookmarkStart w:id="421" w:name="_Toc22859"/>
      <w:bookmarkStart w:id="422" w:name="_Toc3191"/>
      <w:bookmarkStart w:id="423" w:name="_Toc14544"/>
      <w:r>
        <w:rPr>
          <w:rFonts w:hint="default" w:ascii="Times New Roman" w:hAnsi="Times New Roman" w:eastAsia="方正楷体_GBK" w:cs="Times New Roman"/>
          <w:color w:val="auto"/>
          <w:sz w:val="32"/>
          <w:szCs w:val="32"/>
          <w:highlight w:val="none"/>
          <w:u w:val="none" w:color="auto"/>
        </w:rPr>
        <w:t>第一节 发展壮大新兴产业</w:t>
      </w:r>
      <w:bookmarkEnd w:id="410"/>
      <w:bookmarkEnd w:id="412"/>
      <w:bookmarkEnd w:id="413"/>
      <w:bookmarkEnd w:id="414"/>
      <w:bookmarkEnd w:id="415"/>
      <w:bookmarkEnd w:id="416"/>
      <w:bookmarkEnd w:id="417"/>
      <w:bookmarkEnd w:id="418"/>
      <w:bookmarkEnd w:id="419"/>
      <w:bookmarkEnd w:id="420"/>
      <w:bookmarkEnd w:id="421"/>
      <w:bookmarkEnd w:id="422"/>
      <w:bookmarkEnd w:id="423"/>
    </w:p>
    <w:bookmarkEnd w:id="411"/>
    <w:p w14:paraId="632934E4">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14:ligatures w14:val="standardContextual"/>
        </w:rPr>
      </w:pPr>
      <w:bookmarkStart w:id="424" w:name="_Toc31665"/>
      <w:r>
        <w:rPr>
          <w:rFonts w:hint="default" w:ascii="Times New Roman" w:hAnsi="Times New Roman" w:eastAsia="方正仿宋_GBK" w:cs="Times New Roman"/>
          <w:b w:val="0"/>
          <w:bCs w:val="0"/>
          <w:color w:val="auto"/>
          <w:spacing w:val="0"/>
          <w:sz w:val="32"/>
          <w:szCs w:val="32"/>
          <w:highlight w:val="none"/>
          <w:u w:val="none" w:color="auto"/>
          <w:lang w:val="en-US" w:eastAsia="zh-CN"/>
        </w:rPr>
        <w:t>聚焦</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智改数转</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智开算联</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智融全域</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智涌潮生</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等重点内容，推动产业互联网、消费互联网、算力互联网等提质发展，探索智能产品新形态、智能服务新业态。</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全方位推进</w:t>
      </w:r>
      <w:r>
        <w:rPr>
          <w:rFonts w:hint="default" w:ascii="Times New Roman" w:hAnsi="Times New Roman" w:eastAsia="方正仿宋_GBK" w:cs="Times New Roman"/>
          <w:color w:val="auto"/>
          <w:sz w:val="32"/>
          <w:szCs w:val="22"/>
          <w:highlight w:val="none"/>
          <w:u w:val="none" w:color="auto"/>
          <w14:ligatures w14:val="standardContextual"/>
        </w:rPr>
        <w:t>算力、人工智能、生命科学、数据产业、低空经济等产业发展</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壮大</w:t>
      </w:r>
      <w:r>
        <w:rPr>
          <w:rFonts w:hint="default" w:ascii="Times New Roman" w:hAnsi="Times New Roman" w:eastAsia="方正仿宋_GBK" w:cs="Times New Roman"/>
          <w:color w:val="auto"/>
          <w:sz w:val="32"/>
          <w:szCs w:val="22"/>
          <w:highlight w:val="none"/>
          <w:u w:val="none" w:color="auto"/>
          <w14:ligatures w14:val="standardContextual"/>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纵深推进</w:t>
      </w:r>
      <w:r>
        <w:rPr>
          <w:rFonts w:hint="eastAsia" w:ascii="Times New Roman" w:hAnsi="Times New Roman" w:eastAsia="方正仿宋_GBK" w:cs="方正仿宋_GBK"/>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疆算入渝</w:t>
      </w:r>
      <w:r>
        <w:rPr>
          <w:rFonts w:hint="eastAsia" w:ascii="Times New Roman" w:hAnsi="Times New Roman" w:eastAsia="方正仿宋_GBK" w:cs="方正仿宋_GBK"/>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工程，全面发挥西部算电协同创新中心在渝哈算力走廊的重点枢纽作用，立足渝中算力、数据、算法等新质资源集聚及应用场景丰富优势，积极发展算力调度、数据治理、大模型等相关核心产业，以产业政策协同形成产业支撑，高水平建设重庆算力产业园。</w:t>
      </w:r>
      <w:bookmarkStart w:id="425" w:name="OLE_LINK9"/>
      <w:r>
        <w:rPr>
          <w:rFonts w:hint="default" w:ascii="Times New Roman" w:hAnsi="Times New Roman" w:eastAsia="方正仿宋_GBK" w:cs="Times New Roman"/>
          <w:color w:val="auto"/>
          <w:sz w:val="32"/>
          <w:szCs w:val="22"/>
          <w:highlight w:val="none"/>
          <w:u w:val="none" w:color="auto"/>
          <w14:ligatures w14:val="standardContextual"/>
        </w:rPr>
        <w:t>深入实施</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人工智能+</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行动，</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探索打造高能级人工智能创新平台及产业集聚区</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支持企业</w:t>
      </w:r>
      <w:r>
        <w:rPr>
          <w:rFonts w:hint="default" w:ascii="Times New Roman" w:hAnsi="Times New Roman" w:eastAsia="方正仿宋_GBK" w:cs="Times New Roman"/>
          <w:color w:val="auto"/>
          <w:sz w:val="32"/>
          <w:szCs w:val="22"/>
          <w:highlight w:val="none"/>
          <w:u w:val="none" w:color="auto"/>
          <w14:ligatures w14:val="standardContextual"/>
        </w:rPr>
        <w:t>面向智慧政务、</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智慧文旅、</w:t>
      </w:r>
      <w:r>
        <w:rPr>
          <w:rFonts w:hint="default" w:ascii="Times New Roman" w:hAnsi="Times New Roman" w:eastAsia="方正仿宋_GBK" w:cs="Times New Roman"/>
          <w:color w:val="auto"/>
          <w:sz w:val="32"/>
          <w:szCs w:val="22"/>
          <w:highlight w:val="none"/>
          <w:u w:val="none" w:color="auto"/>
          <w14:ligatures w14:val="standardContextual"/>
        </w:rPr>
        <w:t>超大城市现代化治理</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等方向</w:t>
      </w:r>
      <w:r>
        <w:rPr>
          <w:rFonts w:hint="default" w:ascii="Times New Roman" w:hAnsi="Times New Roman" w:eastAsia="方正仿宋_GBK" w:cs="Times New Roman"/>
          <w:color w:val="auto"/>
          <w:sz w:val="32"/>
          <w:szCs w:val="22"/>
          <w:highlight w:val="none"/>
          <w:u w:val="none" w:color="auto"/>
          <w14:ligatures w14:val="standardContextual"/>
        </w:rPr>
        <w:t>攻关并推广</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专用</w:t>
      </w:r>
      <w:r>
        <w:rPr>
          <w:rFonts w:hint="default" w:ascii="Times New Roman" w:hAnsi="Times New Roman" w:eastAsia="方正仿宋_GBK" w:cs="Times New Roman"/>
          <w:color w:val="auto"/>
          <w:sz w:val="32"/>
          <w:szCs w:val="22"/>
          <w:highlight w:val="none"/>
          <w:u w:val="none" w:color="auto"/>
          <w14:ligatures w14:val="standardContextual"/>
        </w:rPr>
        <w:t>智能体</w:t>
      </w:r>
      <w:r>
        <w:rPr>
          <w:rFonts w:hint="default" w:ascii="Times New Roman" w:hAnsi="Times New Roman" w:eastAsia="方正仿宋_GBK" w:cs="Times New Roman"/>
          <w:color w:val="auto"/>
          <w:sz w:val="32"/>
          <w:szCs w:val="22"/>
          <w:highlight w:val="none"/>
          <w:u w:val="none" w:color="auto"/>
          <w:lang w:eastAsia="zh-CN"/>
          <w14:ligatures w14:val="standardContextual"/>
        </w:rPr>
        <w:t>。</w:t>
      </w:r>
      <w:bookmarkEnd w:id="425"/>
      <w:r>
        <w:rPr>
          <w:rFonts w:hint="default" w:ascii="Times New Roman" w:hAnsi="Times New Roman" w:eastAsia="方正仿宋_GBK" w:cs="Times New Roman"/>
          <w:color w:val="auto"/>
          <w:sz w:val="32"/>
          <w:szCs w:val="22"/>
          <w:highlight w:val="none"/>
          <w:u w:val="none" w:color="auto"/>
          <w:lang w:val="en-US" w:eastAsia="zh-CN"/>
          <w14:ligatures w14:val="standardContextual"/>
        </w:rPr>
        <w:t>聚焦</w:t>
      </w:r>
      <w:r>
        <w:rPr>
          <w:rFonts w:hint="default" w:ascii="Times New Roman" w:hAnsi="Times New Roman" w:eastAsia="方正仿宋_GBK" w:cs="Times New Roman"/>
          <w:color w:val="auto"/>
          <w:sz w:val="32"/>
          <w:szCs w:val="22"/>
          <w:highlight w:val="none"/>
          <w:u w:val="none" w:color="auto"/>
          <w14:ligatures w14:val="standardContextual"/>
        </w:rPr>
        <w:t>重大疾病防治和</w:t>
      </w:r>
      <w:r>
        <w:rPr>
          <w:rFonts w:hint="default" w:ascii="Times New Roman" w:hAnsi="Times New Roman" w:eastAsia="方正仿宋_GBK" w:cs="Times New Roman"/>
          <w:color w:val="auto"/>
          <w:sz w:val="32"/>
          <w:szCs w:val="22"/>
          <w:highlight w:val="none"/>
          <w:u w:val="none" w:color="auto"/>
          <w:lang w:eastAsia="zh-CN"/>
          <w14:ligatures w14:val="standardContextual"/>
        </w:rPr>
        <w:t>基因编辑、细胞治疗等前沿</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技术</w:t>
      </w:r>
      <w:r>
        <w:rPr>
          <w:rFonts w:hint="default" w:ascii="Times New Roman" w:hAnsi="Times New Roman" w:eastAsia="方正仿宋_GBK" w:cs="Times New Roman"/>
          <w:color w:val="auto"/>
          <w:sz w:val="32"/>
          <w:szCs w:val="22"/>
          <w:highlight w:val="none"/>
          <w:u w:val="none" w:color="auto"/>
          <w14:ligatures w14:val="standardContextual"/>
        </w:rPr>
        <w:t>方向</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加快</w:t>
      </w:r>
      <w:r>
        <w:rPr>
          <w:rFonts w:hint="default" w:ascii="Times New Roman" w:hAnsi="Times New Roman" w:eastAsia="方正仿宋_GBK" w:cs="Times New Roman"/>
          <w:color w:val="auto"/>
          <w:sz w:val="32"/>
          <w:szCs w:val="22"/>
          <w:highlight w:val="none"/>
          <w:u w:val="none" w:color="auto"/>
          <w:lang w:eastAsia="zh-CN"/>
          <w14:ligatures w14:val="standardContextual"/>
        </w:rPr>
        <w:t>布局生命科学产业。依托低空空域资源优势，探索发展低空旅游、城市物流、应急救援等低空经济新业态</w:t>
      </w:r>
      <w:r>
        <w:rPr>
          <w:rFonts w:hint="eastAsia"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完善低空飞行保障体系，</w:t>
      </w:r>
      <w:r>
        <w:rPr>
          <w:rFonts w:hint="default" w:ascii="Times New Roman" w:hAnsi="Times New Roman" w:eastAsia="方正仿宋_GBK" w:cs="Times New Roman"/>
          <w:color w:val="auto"/>
          <w:sz w:val="32"/>
          <w:szCs w:val="22"/>
          <w:highlight w:val="none"/>
          <w:u w:val="none" w:color="auto"/>
          <w14:ligatures w14:val="standardContextual"/>
        </w:rPr>
        <w:t>实施低空应用场景拓展行动，</w:t>
      </w:r>
      <w:r>
        <w:rPr>
          <w:rFonts w:hint="default" w:ascii="Times New Roman" w:hAnsi="Times New Roman" w:eastAsia="方正仿宋_GBK" w:cs="Times New Roman"/>
          <w:color w:val="auto"/>
          <w:sz w:val="32"/>
          <w:szCs w:val="22"/>
          <w:highlight w:val="none"/>
          <w:u w:val="none" w:color="auto"/>
          <w:lang w:eastAsia="zh-CN"/>
          <w14:ligatures w14:val="standardContextual"/>
        </w:rPr>
        <w:t>培育一批低空经济产业链上下游企业，</w:t>
      </w:r>
      <w:r>
        <w:rPr>
          <w:rFonts w:hint="default" w:ascii="Times New Roman" w:hAnsi="Times New Roman" w:eastAsia="方正仿宋_GBK" w:cs="Times New Roman"/>
          <w:color w:val="auto"/>
          <w:sz w:val="32"/>
          <w:szCs w:val="22"/>
          <w:highlight w:val="none"/>
          <w:u w:val="none" w:color="auto"/>
          <w14:ligatures w14:val="standardContextual"/>
        </w:rPr>
        <w:t>做大做强</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低空</w:t>
      </w:r>
      <w:r>
        <w:rPr>
          <w:rFonts w:hint="default" w:ascii="Times New Roman" w:hAnsi="Times New Roman" w:eastAsia="方正仿宋_GBK" w:cs="Times New Roman"/>
          <w:color w:val="auto"/>
          <w:sz w:val="32"/>
          <w:szCs w:val="22"/>
          <w:highlight w:val="none"/>
          <w:u w:val="none" w:color="auto"/>
          <w14:ligatures w14:val="standardContextual"/>
        </w:rPr>
        <w:t>+</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全产业链</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实施</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数据要素</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行动</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计划</w:t>
      </w:r>
      <w:r>
        <w:rPr>
          <w:rFonts w:hint="default" w:ascii="Times New Roman" w:hAnsi="Times New Roman" w:eastAsia="方正仿宋_GBK" w:cs="Times New Roman"/>
          <w:color w:val="auto"/>
          <w:sz w:val="32"/>
          <w:szCs w:val="22"/>
          <w:highlight w:val="none"/>
          <w:u w:val="none" w:color="auto"/>
          <w14:ligatures w14:val="standardContextual"/>
        </w:rPr>
        <w:t>，打造一批数据赋能标杆场景和解决方案</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加快</w:t>
      </w:r>
      <w:r>
        <w:rPr>
          <w:rFonts w:hint="default" w:ascii="Times New Roman" w:hAnsi="Times New Roman" w:eastAsia="方正仿宋_GBK" w:cs="Times New Roman"/>
          <w:color w:val="auto"/>
          <w:sz w:val="32"/>
          <w:szCs w:val="22"/>
          <w:highlight w:val="none"/>
          <w:u w:val="none" w:color="auto"/>
          <w14:ligatures w14:val="standardContextual"/>
        </w:rPr>
        <w:t>建设西部数据要素产业园。</w:t>
      </w:r>
    </w:p>
    <w:p w14:paraId="071E76A0">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426" w:name="_Toc32204"/>
      <w:bookmarkStart w:id="427" w:name="_Toc9124"/>
      <w:bookmarkStart w:id="428" w:name="_Toc20665"/>
      <w:bookmarkStart w:id="429" w:name="_Toc31633"/>
      <w:bookmarkStart w:id="430" w:name="_Toc29104"/>
      <w:bookmarkStart w:id="431" w:name="_Toc2377"/>
      <w:bookmarkStart w:id="432" w:name="_Toc21034"/>
      <w:bookmarkStart w:id="433" w:name="_Toc5971"/>
      <w:bookmarkStart w:id="434" w:name="_Toc27824"/>
      <w:bookmarkStart w:id="435" w:name="_Toc7471"/>
      <w:bookmarkStart w:id="436" w:name="_Toc23304"/>
      <w:bookmarkStart w:id="437" w:name="_Toc15289"/>
      <w:r>
        <w:rPr>
          <w:rFonts w:hint="default" w:ascii="Times New Roman" w:hAnsi="Times New Roman" w:eastAsia="方正楷体_GBK" w:cs="Times New Roman"/>
          <w:color w:val="auto"/>
          <w:sz w:val="32"/>
          <w:szCs w:val="32"/>
          <w:highlight w:val="none"/>
          <w:u w:val="none" w:color="auto"/>
        </w:rPr>
        <w:t>第二节 前瞻布局</w:t>
      </w:r>
      <w:bookmarkEnd w:id="424"/>
      <w:r>
        <w:rPr>
          <w:rFonts w:hint="default" w:ascii="Times New Roman" w:hAnsi="Times New Roman" w:eastAsia="方正楷体_GBK" w:cs="Times New Roman"/>
          <w:color w:val="auto"/>
          <w:sz w:val="32"/>
          <w:szCs w:val="32"/>
          <w:highlight w:val="none"/>
          <w:u w:val="none" w:color="auto"/>
        </w:rPr>
        <w:t>未来产业</w:t>
      </w:r>
      <w:bookmarkEnd w:id="426"/>
      <w:bookmarkEnd w:id="427"/>
      <w:bookmarkEnd w:id="428"/>
      <w:bookmarkEnd w:id="429"/>
      <w:bookmarkEnd w:id="430"/>
      <w:bookmarkEnd w:id="431"/>
      <w:bookmarkEnd w:id="432"/>
      <w:bookmarkEnd w:id="433"/>
      <w:bookmarkEnd w:id="434"/>
      <w:bookmarkEnd w:id="435"/>
      <w:bookmarkEnd w:id="436"/>
      <w:bookmarkEnd w:id="437"/>
    </w:p>
    <w:p w14:paraId="7A9CBCF7">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14:ligatures w14:val="standardContextual"/>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一体推进创新设施建设、技术研究开发、产品迭代升级、产业生态完善。</w:t>
      </w:r>
      <w:r>
        <w:rPr>
          <w:rFonts w:hint="default" w:ascii="Times New Roman" w:hAnsi="Times New Roman" w:eastAsia="方正仿宋_GBK" w:cs="Times New Roman"/>
          <w:b w:val="0"/>
          <w:bCs w:val="0"/>
          <w:color w:val="auto"/>
          <w:spacing w:val="0"/>
          <w:sz w:val="32"/>
          <w:szCs w:val="32"/>
          <w:highlight w:val="none"/>
          <w:u w:val="none" w:color="auto"/>
          <w:lang w:val="en-US" w:eastAsia="zh-CN"/>
        </w:rPr>
        <w:t>高起点建设覆盖基础研究、技术转化、产业服务全链条的</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生物医药</w:t>
      </w:r>
      <w:r>
        <w:rPr>
          <w:rFonts w:hint="default" w:ascii="Times New Roman" w:hAnsi="Times New Roman" w:eastAsia="方正仿宋_GBK" w:cs="Times New Roman"/>
          <w:b w:val="0"/>
          <w:bCs w:val="0"/>
          <w:color w:val="auto"/>
          <w:spacing w:val="0"/>
          <w:sz w:val="32"/>
          <w:szCs w:val="32"/>
          <w:highlight w:val="none"/>
          <w:u w:val="none" w:color="auto"/>
          <w:lang w:val="en-US" w:eastAsia="zh-CN"/>
        </w:rPr>
        <w:t>高能级平台、技术团队、产业矩阵。</w:t>
      </w:r>
      <w:r>
        <w:rPr>
          <w:rFonts w:hint="default" w:ascii="Times New Roman" w:hAnsi="Times New Roman" w:eastAsia="方正仿宋_GBK" w:cs="Times New Roman"/>
          <w:color w:val="auto"/>
          <w:sz w:val="32"/>
          <w:szCs w:val="22"/>
          <w:highlight w:val="none"/>
          <w:u w:val="none" w:color="auto"/>
          <w14:ligatures w14:val="standardContextual"/>
        </w:rPr>
        <w:t>布局建设未来技术实验室和产业研究院。建立未来产业投入增长机制和风险分担机制，找准生物制造、脑机接口、具身智能、第六代移动通信</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量子技术</w:t>
      </w:r>
      <w:r>
        <w:rPr>
          <w:rFonts w:hint="default" w:ascii="Times New Roman" w:hAnsi="Times New Roman" w:eastAsia="方正仿宋_GBK" w:cs="Times New Roman"/>
          <w:color w:val="auto"/>
          <w:sz w:val="32"/>
          <w:szCs w:val="22"/>
          <w:highlight w:val="none"/>
          <w:u w:val="none" w:color="auto"/>
          <w14:ligatures w14:val="standardContextual"/>
        </w:rPr>
        <w:t>等细分赛道，结合渝中优势前瞻布局、积极培育新的经济增长点。绘制未来产业</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图谱</w:t>
      </w:r>
      <w:r>
        <w:rPr>
          <w:rFonts w:hint="default" w:ascii="Times New Roman" w:hAnsi="Times New Roman" w:eastAsia="方正仿宋_GBK" w:cs="Times New Roman"/>
          <w:color w:val="auto"/>
          <w:sz w:val="32"/>
          <w:szCs w:val="22"/>
          <w:highlight w:val="none"/>
          <w:u w:val="none" w:color="auto"/>
          <w14:ligatures w14:val="standardContextual"/>
        </w:rPr>
        <w:t>，建设具有标识性的未来产业孵化器。</w:t>
      </w:r>
    </w:p>
    <w:p w14:paraId="2CE5CFB4">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14:ligatures w14:val="standardContextual"/>
        </w:rPr>
      </w:pPr>
    </w:p>
    <w:p w14:paraId="7FE1C85F">
      <w:pPr>
        <w:keepNext w:val="0"/>
        <w:keepLines w:val="0"/>
        <w:pageBreakBefore w:val="0"/>
        <w:tabs>
          <w:tab w:val="right" w:leader="dot" w:pos="8844"/>
        </w:tabs>
        <w:kinsoku/>
        <w:wordWrap/>
        <w:topLinePunct w:val="0"/>
        <w:autoSpaceDE/>
        <w:autoSpaceDN/>
        <w:bidi w:val="0"/>
        <w:spacing w:line="600" w:lineRule="exact"/>
        <w:ind w:firstLine="643"/>
        <w:jc w:val="center"/>
        <w:outlineLvl w:val="0"/>
        <w:rPr>
          <w:rFonts w:hint="default" w:ascii="Times New Roman" w:hAnsi="Times New Roman" w:eastAsia="方正黑体_GBK" w:cs="Times New Roman"/>
          <w:b w:val="0"/>
          <w:bCs w:val="0"/>
          <w:color w:val="auto"/>
          <w:kern w:val="44"/>
          <w:sz w:val="32"/>
          <w:szCs w:val="32"/>
          <w:highlight w:val="none"/>
          <w:u w:val="none" w:color="auto"/>
        </w:rPr>
      </w:pPr>
      <w:bookmarkStart w:id="438" w:name="_Toc12420"/>
      <w:bookmarkStart w:id="439" w:name="_Toc7854"/>
      <w:bookmarkStart w:id="440" w:name="_Toc9556"/>
      <w:bookmarkStart w:id="441" w:name="_Toc21159"/>
      <w:bookmarkStart w:id="442" w:name="_Toc27232"/>
      <w:bookmarkStart w:id="443" w:name="_Toc21852"/>
      <w:bookmarkStart w:id="444" w:name="_Toc27877"/>
      <w:bookmarkStart w:id="445" w:name="_Toc15093"/>
      <w:bookmarkStart w:id="446" w:name="_Toc22168"/>
      <w:bookmarkStart w:id="447" w:name="_Toc4514"/>
      <w:bookmarkStart w:id="448" w:name="_Toc26812"/>
      <w:bookmarkStart w:id="449" w:name="_Toc20453"/>
      <w:r>
        <w:rPr>
          <w:rFonts w:hint="default" w:ascii="Times New Roman" w:hAnsi="Times New Roman" w:eastAsia="方正黑体_GBK" w:cs="Times New Roman"/>
          <w:b w:val="0"/>
          <w:bCs w:val="0"/>
          <w:color w:val="auto"/>
          <w:kern w:val="44"/>
          <w:sz w:val="32"/>
          <w:szCs w:val="32"/>
          <w:highlight w:val="none"/>
          <w:u w:val="none" w:color="auto"/>
        </w:rPr>
        <w:t>第</w:t>
      </w:r>
      <w:r>
        <w:rPr>
          <w:rFonts w:hint="default" w:ascii="Times New Roman" w:hAnsi="Times New Roman" w:eastAsia="方正黑体_GBK" w:cs="Times New Roman"/>
          <w:b w:val="0"/>
          <w:bCs w:val="0"/>
          <w:color w:val="auto"/>
          <w:kern w:val="44"/>
          <w:sz w:val="32"/>
          <w:szCs w:val="32"/>
          <w:highlight w:val="none"/>
          <w:u w:val="none" w:color="auto"/>
          <w:lang w:val="en-US" w:eastAsia="zh-CN"/>
        </w:rPr>
        <w:t>四</w:t>
      </w:r>
      <w:r>
        <w:rPr>
          <w:rFonts w:hint="default" w:ascii="Times New Roman" w:hAnsi="Times New Roman" w:eastAsia="方正黑体_GBK" w:cs="Times New Roman"/>
          <w:b w:val="0"/>
          <w:bCs w:val="0"/>
          <w:color w:val="auto"/>
          <w:kern w:val="44"/>
          <w:sz w:val="32"/>
          <w:szCs w:val="32"/>
          <w:highlight w:val="none"/>
          <w:u w:val="none" w:color="auto"/>
        </w:rPr>
        <w:t xml:space="preserve">篇 </w:t>
      </w:r>
      <w:r>
        <w:rPr>
          <w:rFonts w:hint="default" w:ascii="Times New Roman" w:hAnsi="Times New Roman" w:eastAsia="方正黑体_GBK" w:cs="Times New Roman"/>
          <w:b w:val="0"/>
          <w:bCs w:val="0"/>
          <w:color w:val="auto"/>
          <w:kern w:val="44"/>
          <w:sz w:val="32"/>
          <w:szCs w:val="32"/>
          <w:highlight w:val="none"/>
          <w:u w:val="none" w:color="auto"/>
          <w:lang w:val="en-US" w:eastAsia="zh-CN"/>
        </w:rPr>
        <w:t xml:space="preserve">完善科技创新支撑体系 </w:t>
      </w:r>
      <w:r>
        <w:rPr>
          <w:rFonts w:hint="default" w:ascii="Times New Roman" w:hAnsi="Times New Roman" w:eastAsia="方正黑体_GBK" w:cs="Times New Roman"/>
          <w:b w:val="0"/>
          <w:bCs w:val="0"/>
          <w:color w:val="auto"/>
          <w:kern w:val="44"/>
          <w:sz w:val="32"/>
          <w:szCs w:val="32"/>
          <w:highlight w:val="none"/>
          <w:u w:val="none" w:color="auto"/>
        </w:rPr>
        <w:t>因地制宜发展新质生产力</w:t>
      </w:r>
      <w:bookmarkEnd w:id="438"/>
      <w:bookmarkEnd w:id="439"/>
      <w:bookmarkEnd w:id="440"/>
      <w:bookmarkEnd w:id="441"/>
      <w:bookmarkEnd w:id="442"/>
      <w:bookmarkEnd w:id="443"/>
      <w:bookmarkEnd w:id="444"/>
      <w:bookmarkEnd w:id="445"/>
      <w:bookmarkEnd w:id="446"/>
      <w:bookmarkEnd w:id="447"/>
      <w:bookmarkEnd w:id="448"/>
      <w:bookmarkEnd w:id="449"/>
    </w:p>
    <w:p w14:paraId="28C1398E">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22"/>
          <w:highlight w:val="none"/>
          <w:u w:val="none" w:color="auto"/>
          <w:lang w:val="en-US" w:eastAsia="zh-CN"/>
          <w14:ligatures w14:val="standardContextual"/>
        </w:rPr>
      </w:pPr>
    </w:p>
    <w:p w14:paraId="0CEBFFE1">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14:ligatures w14:val="standardContextual"/>
        </w:rPr>
      </w:pPr>
      <w:r>
        <w:rPr>
          <w:rFonts w:hint="default" w:ascii="Times New Roman" w:hAnsi="Times New Roman" w:eastAsia="方正仿宋_GBK" w:cs="Times New Roman"/>
          <w:color w:val="auto"/>
          <w:sz w:val="32"/>
          <w:szCs w:val="32"/>
          <w:highlight w:val="none"/>
          <w:u w:val="none" w:color="auto"/>
          <w:lang w:val="en-US" w:eastAsia="zh-CN"/>
          <w14:ligatures w14:val="standardContextual"/>
        </w:rPr>
        <w:t>坚持把创新作为第一动力全方位植入城市内核，</w:t>
      </w:r>
      <w:r>
        <w:rPr>
          <w:rFonts w:hint="default" w:ascii="Times New Roman" w:hAnsi="Times New Roman" w:eastAsia="方正仿宋_GBK" w:cs="Times New Roman"/>
          <w:color w:val="auto"/>
          <w:sz w:val="32"/>
          <w:szCs w:val="32"/>
          <w:highlight w:val="none"/>
          <w:u w:val="none" w:color="auto"/>
          <w14:ligatures w14:val="standardContextual"/>
        </w:rPr>
        <w:t>积极融入全市</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416</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科技创</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新布局，深入实施科技创新和人才强区战略，增强科技创新策源功能，不断培育新质生产力。</w:t>
      </w:r>
    </w:p>
    <w:p w14:paraId="57E481C9">
      <w:pPr>
        <w:keepNext w:val="0"/>
        <w:keepLines w:val="0"/>
        <w:pageBreakBefore w:val="0"/>
        <w:tabs>
          <w:tab w:val="right" w:leader="dot" w:pos="8844"/>
        </w:tabs>
        <w:kinsoku/>
        <w:wordWrap/>
        <w:topLinePunct w:val="0"/>
        <w:autoSpaceDE/>
        <w:autoSpaceDN/>
        <w:bidi w:val="0"/>
        <w:spacing w:line="600" w:lineRule="exact"/>
        <w:ind w:firstLine="640"/>
        <w:jc w:val="center"/>
        <w:outlineLvl w:val="1"/>
        <w:rPr>
          <w:rFonts w:hint="default" w:ascii="Times New Roman" w:hAnsi="Times New Roman" w:eastAsia="方正黑体_GBK" w:cs="Times New Roman"/>
          <w:color w:val="auto"/>
          <w:sz w:val="32"/>
          <w:szCs w:val="32"/>
          <w:highlight w:val="none"/>
          <w:u w:val="none" w:color="auto"/>
        </w:rPr>
      </w:pPr>
      <w:bookmarkStart w:id="450" w:name="_Toc27331"/>
      <w:bookmarkStart w:id="451" w:name="_Toc4794"/>
      <w:bookmarkStart w:id="452" w:name="_Toc362"/>
      <w:bookmarkStart w:id="453" w:name="_Toc30309"/>
      <w:bookmarkStart w:id="454" w:name="_Toc586"/>
      <w:bookmarkStart w:id="455" w:name="_Toc30159"/>
      <w:bookmarkStart w:id="456" w:name="_Toc9316"/>
      <w:bookmarkStart w:id="457" w:name="_Toc11264"/>
      <w:bookmarkStart w:id="458" w:name="_Toc19865"/>
      <w:bookmarkStart w:id="459" w:name="_Toc22737"/>
      <w:bookmarkStart w:id="460" w:name="_Toc16548"/>
      <w:bookmarkStart w:id="461" w:name="_Toc31348"/>
      <w:r>
        <w:rPr>
          <w:rFonts w:hint="default" w:ascii="Times New Roman" w:hAnsi="Times New Roman" w:eastAsia="方正黑体_GBK" w:cs="Times New Roman"/>
          <w:color w:val="auto"/>
          <w:sz w:val="32"/>
          <w:szCs w:val="32"/>
          <w:highlight w:val="none"/>
          <w:u w:val="none" w:color="auto"/>
        </w:rPr>
        <w:t>第十</w:t>
      </w:r>
      <w:r>
        <w:rPr>
          <w:rFonts w:hint="default" w:ascii="Times New Roman" w:hAnsi="Times New Roman" w:eastAsia="方正黑体_GBK" w:cs="Times New Roman"/>
          <w:color w:val="auto"/>
          <w:sz w:val="32"/>
          <w:szCs w:val="32"/>
          <w:highlight w:val="none"/>
          <w:u w:val="none" w:color="auto"/>
          <w:lang w:val="en-US" w:eastAsia="zh-CN"/>
        </w:rPr>
        <w:t>一</w:t>
      </w:r>
      <w:r>
        <w:rPr>
          <w:rFonts w:hint="default" w:ascii="Times New Roman" w:hAnsi="Times New Roman" w:eastAsia="方正黑体_GBK" w:cs="Times New Roman"/>
          <w:color w:val="auto"/>
          <w:sz w:val="32"/>
          <w:szCs w:val="32"/>
          <w:highlight w:val="none"/>
          <w:u w:val="none" w:color="auto"/>
        </w:rPr>
        <w:t>章 融入</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416</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科技创新布局</w:t>
      </w:r>
      <w:bookmarkEnd w:id="450"/>
      <w:bookmarkEnd w:id="451"/>
      <w:bookmarkEnd w:id="452"/>
      <w:bookmarkEnd w:id="453"/>
      <w:bookmarkEnd w:id="454"/>
      <w:bookmarkEnd w:id="455"/>
      <w:bookmarkEnd w:id="456"/>
      <w:bookmarkEnd w:id="457"/>
      <w:bookmarkEnd w:id="458"/>
      <w:bookmarkEnd w:id="459"/>
      <w:bookmarkEnd w:id="460"/>
      <w:bookmarkEnd w:id="461"/>
    </w:p>
    <w:p w14:paraId="4AB63AB4">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14:ligatures w14:val="standardContextual"/>
        </w:rPr>
      </w:pPr>
      <w:r>
        <w:rPr>
          <w:rFonts w:hint="default" w:ascii="Times New Roman" w:hAnsi="Times New Roman" w:eastAsia="方正仿宋_GBK" w:cs="Times New Roman"/>
          <w:color w:val="auto"/>
          <w:sz w:val="32"/>
          <w:szCs w:val="32"/>
          <w:highlight w:val="none"/>
          <w:u w:val="none" w:color="auto"/>
          <w:lang w:val="en-US" w:eastAsia="zh-CN"/>
          <w14:ligatures w14:val="standardContextual"/>
        </w:rPr>
        <w:t>积极融入全市建设具有全国影响力的科技创新中心、市域科创走廊，</w:t>
      </w:r>
      <w:r>
        <w:rPr>
          <w:rFonts w:hint="default" w:ascii="Times New Roman" w:hAnsi="Times New Roman" w:eastAsia="方正仿宋_GBK" w:cs="Times New Roman"/>
          <w:color w:val="auto"/>
          <w:sz w:val="32"/>
          <w:szCs w:val="32"/>
          <w:highlight w:val="none"/>
          <w:u w:val="none" w:color="auto"/>
          <w14:ligatures w14:val="standardContextual"/>
        </w:rPr>
        <w:t>加快提升创新主体能力</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布局打造高能级科创平台，构建政产学研用高效协同的科技创新</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格局</w:t>
      </w:r>
      <w:r>
        <w:rPr>
          <w:rFonts w:hint="default" w:ascii="Times New Roman" w:hAnsi="Times New Roman" w:eastAsia="方正仿宋_GBK" w:cs="Times New Roman"/>
          <w:color w:val="auto"/>
          <w:sz w:val="32"/>
          <w:szCs w:val="32"/>
          <w:highlight w:val="none"/>
          <w:u w:val="none" w:color="auto"/>
          <w14:ligatures w14:val="standardContextual"/>
        </w:rPr>
        <w:t>。</w:t>
      </w:r>
    </w:p>
    <w:p w14:paraId="031FE6DD">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462" w:name="_Toc4549"/>
      <w:bookmarkStart w:id="463" w:name="_Toc1393"/>
      <w:bookmarkStart w:id="464" w:name="_Toc23082"/>
      <w:bookmarkStart w:id="465" w:name="_Toc30175"/>
      <w:bookmarkStart w:id="466" w:name="_Toc10173"/>
      <w:bookmarkStart w:id="467" w:name="_Toc16111"/>
      <w:bookmarkStart w:id="468" w:name="_Toc24131"/>
      <w:bookmarkStart w:id="469" w:name="_Toc18544"/>
      <w:bookmarkStart w:id="470" w:name="_Toc9983"/>
      <w:bookmarkStart w:id="471" w:name="_Toc16964"/>
      <w:bookmarkStart w:id="472" w:name="_Toc22387"/>
      <w:bookmarkStart w:id="473" w:name="_Toc28068"/>
      <w:r>
        <w:rPr>
          <w:rFonts w:hint="default" w:ascii="Times New Roman" w:hAnsi="Times New Roman" w:eastAsia="方正楷体_GBK" w:cs="Times New Roman"/>
          <w:color w:val="auto"/>
          <w:sz w:val="32"/>
          <w:szCs w:val="32"/>
          <w:highlight w:val="none"/>
          <w:u w:val="none" w:color="auto"/>
        </w:rPr>
        <w:t xml:space="preserve">第一节 </w:t>
      </w:r>
      <w:r>
        <w:rPr>
          <w:rFonts w:hint="default" w:ascii="Times New Roman" w:hAnsi="Times New Roman" w:eastAsia="方正楷体_GBK" w:cs="Times New Roman"/>
          <w:color w:val="auto"/>
          <w:sz w:val="32"/>
          <w:szCs w:val="32"/>
          <w:highlight w:val="none"/>
          <w:u w:val="none" w:color="auto"/>
          <w:lang w:val="en-US" w:eastAsia="zh-CN"/>
        </w:rPr>
        <w:t>提升</w:t>
      </w:r>
      <w:r>
        <w:rPr>
          <w:rFonts w:hint="default" w:ascii="Times New Roman" w:hAnsi="Times New Roman" w:eastAsia="方正楷体_GBK" w:cs="Times New Roman"/>
          <w:color w:val="auto"/>
          <w:sz w:val="32"/>
          <w:szCs w:val="32"/>
          <w:highlight w:val="none"/>
          <w:u w:val="none" w:color="auto"/>
          <w:lang w:val="en-US" w:eastAsia="zh-CN"/>
          <w14:ligatures w14:val="none"/>
        </w:rPr>
        <w:t>企业创新</w:t>
      </w:r>
      <w:r>
        <w:rPr>
          <w:rFonts w:hint="default" w:ascii="Times New Roman" w:hAnsi="Times New Roman" w:eastAsia="方正楷体_GBK" w:cs="Times New Roman"/>
          <w:color w:val="auto"/>
          <w:sz w:val="32"/>
          <w:szCs w:val="32"/>
          <w:highlight w:val="none"/>
          <w:u w:val="none" w:color="auto"/>
        </w:rPr>
        <w:t>能力</w:t>
      </w:r>
      <w:bookmarkEnd w:id="462"/>
      <w:bookmarkEnd w:id="463"/>
      <w:bookmarkEnd w:id="464"/>
      <w:bookmarkEnd w:id="465"/>
      <w:bookmarkEnd w:id="466"/>
      <w:bookmarkEnd w:id="467"/>
      <w:bookmarkEnd w:id="468"/>
      <w:bookmarkEnd w:id="469"/>
      <w:bookmarkEnd w:id="470"/>
      <w:bookmarkEnd w:id="471"/>
      <w:bookmarkEnd w:id="472"/>
      <w:bookmarkEnd w:id="473"/>
    </w:p>
    <w:p w14:paraId="127FBA1A">
      <w:pPr>
        <w:keepNext w:val="0"/>
        <w:keepLines w:val="0"/>
        <w:pageBreakBefore w:val="0"/>
        <w:widowControl/>
        <w:suppressLineNumbers w:val="0"/>
        <w:kinsoku/>
        <w:wordWrap/>
        <w:topLinePunct w:val="0"/>
        <w:autoSpaceDE/>
        <w:autoSpaceDN/>
        <w:bidi w:val="0"/>
        <w:spacing w:line="600" w:lineRule="exact"/>
        <w:ind w:firstLine="640" w:firstLineChars="200"/>
        <w:jc w:val="left"/>
        <w:rPr>
          <w:rFonts w:hint="default" w:ascii="Times New Roman" w:hAnsi="Times New Roman" w:eastAsia="方正仿宋_GBK" w:cs="Times New Roman"/>
          <w:color w:val="auto"/>
          <w:sz w:val="32"/>
          <w:szCs w:val="32"/>
          <w:highlight w:val="none"/>
          <w:u w:val="none" w:color="auto"/>
          <w14:ligatures w14:val="standardContextual"/>
        </w:rPr>
      </w:pPr>
      <w:r>
        <w:rPr>
          <w:rFonts w:hint="default" w:ascii="Times New Roman" w:hAnsi="Times New Roman" w:eastAsia="方正仿宋_GBK" w:cs="Times New Roman"/>
          <w:color w:val="auto"/>
          <w:sz w:val="32"/>
          <w:szCs w:val="32"/>
          <w:highlight w:val="none"/>
          <w:u w:val="none" w:color="auto"/>
          <w:lang w:val="en-US" w:eastAsia="zh-CN"/>
          <w14:ligatures w14:val="standardContextual"/>
        </w:rPr>
        <w:t>完善企业主导创新机制，坚持</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企业</w:t>
      </w:r>
      <w:r>
        <w:rPr>
          <w:rFonts w:hint="default" w:ascii="Times New Roman" w:hAnsi="Times New Roman" w:eastAsia="方正仿宋_GBK" w:cs="Times New Roman"/>
          <w:color w:val="auto"/>
          <w:sz w:val="32"/>
          <w:szCs w:val="32"/>
          <w:highlight w:val="none"/>
          <w:u w:val="none" w:color="auto"/>
          <w:lang w:eastAsia="zh-CN"/>
          <w14:ligatures w14:val="standardContextual"/>
        </w:rPr>
        <w:t>出题、科技答题</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构建</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初创型企业—科技型企业—高新技术企业—科技领军企业</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全周期</w:t>
      </w:r>
      <w:r>
        <w:rPr>
          <w:rFonts w:hint="default" w:ascii="Times New Roman" w:hAnsi="Times New Roman" w:eastAsia="方正仿宋_GBK" w:cs="Times New Roman"/>
          <w:color w:val="auto"/>
          <w:sz w:val="32"/>
          <w:szCs w:val="32"/>
          <w:highlight w:val="none"/>
          <w:u w:val="none" w:color="auto"/>
          <w14:ligatures w14:val="standardContextual"/>
        </w:rPr>
        <w:t>梯次培育</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体系</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实施科技领军企业培育行动，加强科创平台、科技人才、科技金融等支持，</w:t>
      </w:r>
      <w:r>
        <w:rPr>
          <w:rFonts w:hint="default" w:ascii="Times New Roman" w:hAnsi="Times New Roman" w:eastAsia="方正仿宋_GBK" w:cs="Times New Roman"/>
          <w:color w:val="auto"/>
          <w:sz w:val="32"/>
          <w:szCs w:val="32"/>
          <w:highlight w:val="none"/>
          <w:u w:val="none" w:color="auto"/>
          <w14:ligatures w14:val="standardContextual"/>
        </w:rPr>
        <w:t>全社会研发经费投入</w:t>
      </w:r>
      <w:r>
        <w:rPr>
          <w:rFonts w:hint="default" w:ascii="Times New Roman" w:hAnsi="Times New Roman" w:eastAsia="方正仿宋_GBK" w:cs="Times New Roman"/>
          <w:color w:val="auto"/>
          <w:sz w:val="32"/>
          <w:szCs w:val="32"/>
          <w:highlight w:val="none"/>
          <w:u w:val="none" w:color="auto"/>
          <w:lang w:eastAsia="zh-CN"/>
          <w14:ligatures w14:val="standardContextual"/>
        </w:rPr>
        <w:t>3</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3</w:t>
      </w:r>
      <w:r>
        <w:rPr>
          <w:rFonts w:hint="default" w:ascii="Times New Roman" w:hAnsi="Times New Roman" w:eastAsia="方正仿宋_GBK" w:cs="Times New Roman"/>
          <w:color w:val="auto"/>
          <w:sz w:val="32"/>
          <w:szCs w:val="32"/>
          <w:highlight w:val="none"/>
          <w:u w:val="none" w:color="auto"/>
          <w14:ligatures w14:val="standardContextual"/>
        </w:rPr>
        <w:t>亿元</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以上</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接续实施</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双倍增</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行动计划，科技型企业</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高新技术企业</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数量分别达到2000家、300家。实施小微科技企业孵化行动，支持大型企业、科研院所</w:t>
      </w:r>
      <w:r>
        <w:rPr>
          <w:rFonts w:hint="default" w:ascii="Times New Roman" w:hAnsi="Times New Roman" w:eastAsia="方正仿宋_GBK" w:cs="Times New Roman"/>
          <w:color w:val="auto"/>
          <w:sz w:val="32"/>
          <w:szCs w:val="32"/>
          <w:highlight w:val="none"/>
          <w:u w:val="none" w:color="auto"/>
          <w14:ligatures w14:val="standardContextual"/>
        </w:rPr>
        <w:t>开放实验室、测试平台等</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创新</w:t>
      </w:r>
      <w:r>
        <w:rPr>
          <w:rFonts w:hint="default" w:ascii="Times New Roman" w:hAnsi="Times New Roman" w:eastAsia="方正仿宋_GBK" w:cs="Times New Roman"/>
          <w:color w:val="auto"/>
          <w:sz w:val="32"/>
          <w:szCs w:val="32"/>
          <w:highlight w:val="none"/>
          <w:u w:val="none" w:color="auto"/>
          <w14:ligatures w14:val="standardContextual"/>
        </w:rPr>
        <w:t>资源，完善投融资、知识产权等配套服务。</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推动研发金、准备金制度应建尽建，落实企业研发费用加计扣除政策。</w:t>
      </w:r>
      <w:r>
        <w:rPr>
          <w:rFonts w:hint="default" w:ascii="Times New Roman" w:hAnsi="Times New Roman" w:eastAsia="方正仿宋_GBK" w:cs="Times New Roman"/>
          <w:color w:val="auto"/>
          <w:sz w:val="32"/>
          <w:szCs w:val="32"/>
          <w:highlight w:val="none"/>
          <w:u w:val="none" w:color="auto"/>
          <w14:ligatures w14:val="standardContextual"/>
        </w:rPr>
        <w:t>引导企业、高校、科研院所、投资机构等围绕</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生命健康、数智科技</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绿色低碳</w:t>
      </w:r>
      <w:r>
        <w:rPr>
          <w:rFonts w:hint="default" w:ascii="Times New Roman" w:hAnsi="Times New Roman" w:eastAsia="方正仿宋_GBK" w:cs="Times New Roman"/>
          <w:color w:val="auto"/>
          <w:sz w:val="32"/>
          <w:szCs w:val="32"/>
          <w:highlight w:val="none"/>
          <w:u w:val="none" w:color="auto"/>
          <w14:ligatures w14:val="standardContextual"/>
        </w:rPr>
        <w:t>等领域共建</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大企业带小企业、产学研紧密结合的</w:t>
      </w:r>
      <w:r>
        <w:rPr>
          <w:rFonts w:hint="default" w:ascii="Times New Roman" w:hAnsi="Times New Roman" w:eastAsia="方正仿宋_GBK" w:cs="Times New Roman"/>
          <w:color w:val="auto"/>
          <w:sz w:val="32"/>
          <w:szCs w:val="32"/>
          <w:highlight w:val="none"/>
          <w:u w:val="none" w:color="auto"/>
          <w14:ligatures w14:val="standardContextual"/>
        </w:rPr>
        <w:t>专业创新</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联盟</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kern w:val="2"/>
          <w:sz w:val="32"/>
          <w:szCs w:val="32"/>
          <w:highlight w:val="none"/>
          <w:u w:val="none" w:color="auto"/>
          <w:lang w:val="en-US" w:eastAsia="zh-CN" w:bidi="ar"/>
          <w14:ligatures w14:val="standardContextual"/>
        </w:rPr>
        <w:t>实施重大科技项目，突破产业共性技术，</w:t>
      </w:r>
      <w:r>
        <w:rPr>
          <w:rFonts w:hint="default" w:ascii="Times New Roman" w:hAnsi="Times New Roman" w:eastAsia="方正仿宋_GBK" w:cs="Times New Roman"/>
          <w:b w:val="0"/>
          <w:bCs w:val="0"/>
          <w:color w:val="auto"/>
          <w:kern w:val="2"/>
          <w:sz w:val="32"/>
          <w:szCs w:val="32"/>
          <w:highlight w:val="none"/>
          <w:u w:val="none" w:color="auto"/>
          <w:lang w:val="en-US" w:eastAsia="zh-CN" w:bidi="ar"/>
          <w14:ligatures w14:val="standardContextual"/>
        </w:rPr>
        <w:t>推动科技大中小微企业融通创新</w:t>
      </w:r>
      <w:r>
        <w:rPr>
          <w:rFonts w:hint="default" w:ascii="Times New Roman" w:hAnsi="Times New Roman" w:eastAsia="方正仿宋_GBK" w:cs="Times New Roman"/>
          <w:color w:val="auto"/>
          <w:kern w:val="2"/>
          <w:sz w:val="32"/>
          <w:szCs w:val="32"/>
          <w:highlight w:val="none"/>
          <w:u w:val="none" w:color="auto"/>
          <w:lang w:val="en-US" w:eastAsia="zh-CN" w:bidi="ar"/>
          <w14:ligatures w14:val="standardContextual"/>
        </w:rPr>
        <w:t>。</w:t>
      </w:r>
    </w:p>
    <w:p w14:paraId="468B2953">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474" w:name="_Toc4203"/>
      <w:bookmarkStart w:id="475" w:name="_Toc9712"/>
      <w:bookmarkStart w:id="476" w:name="_Toc11110"/>
      <w:bookmarkStart w:id="477" w:name="_Toc10295"/>
      <w:bookmarkStart w:id="478" w:name="_Toc2060"/>
      <w:bookmarkStart w:id="479" w:name="_Toc19833"/>
      <w:bookmarkStart w:id="480" w:name="_Toc22996"/>
      <w:bookmarkStart w:id="481" w:name="_Toc12725"/>
      <w:bookmarkStart w:id="482" w:name="_Toc11144"/>
      <w:bookmarkStart w:id="483" w:name="_Toc15851"/>
      <w:bookmarkStart w:id="484" w:name="_Toc4634"/>
      <w:bookmarkStart w:id="485" w:name="_Toc24314"/>
      <w:r>
        <w:rPr>
          <w:rFonts w:hint="default" w:ascii="Times New Roman" w:hAnsi="Times New Roman" w:eastAsia="方正楷体_GBK" w:cs="Times New Roman"/>
          <w:color w:val="auto"/>
          <w:sz w:val="32"/>
          <w:szCs w:val="32"/>
          <w:highlight w:val="none"/>
          <w:u w:val="none" w:color="auto"/>
        </w:rPr>
        <w:t>第二节 提质建设科技创新平台</w:t>
      </w:r>
      <w:bookmarkEnd w:id="474"/>
      <w:bookmarkEnd w:id="475"/>
      <w:bookmarkEnd w:id="476"/>
      <w:bookmarkEnd w:id="477"/>
      <w:bookmarkEnd w:id="478"/>
      <w:bookmarkEnd w:id="479"/>
      <w:bookmarkEnd w:id="480"/>
      <w:bookmarkEnd w:id="481"/>
      <w:bookmarkEnd w:id="482"/>
      <w:bookmarkEnd w:id="483"/>
      <w:bookmarkEnd w:id="484"/>
      <w:bookmarkEnd w:id="485"/>
    </w:p>
    <w:p w14:paraId="044652F9">
      <w:pPr>
        <w:keepNext w:val="0"/>
        <w:keepLines w:val="0"/>
        <w:pageBreakBefore w:val="0"/>
        <w:widowControl/>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lang w:val="en-US" w:eastAsia="zh-CN"/>
          <w14:ligatures w14:val="standardContextual"/>
        </w:rPr>
      </w:pPr>
      <w:r>
        <w:rPr>
          <w:rFonts w:hint="default" w:ascii="Times New Roman" w:hAnsi="Times New Roman" w:eastAsia="方正仿宋_GBK" w:cs="Times New Roman"/>
          <w:color w:val="auto"/>
          <w:sz w:val="32"/>
          <w:szCs w:val="32"/>
          <w:highlight w:val="none"/>
          <w:u w:val="none" w:color="auto"/>
          <w14:ligatures w14:val="standardContextual"/>
        </w:rPr>
        <w:t>构建</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实验室+技术创新中心+</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新型研发机构</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梯度体系</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优化实验室矩阵布局</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w:t>
      </w:r>
      <w:r>
        <w:rPr>
          <w:rFonts w:hint="default" w:ascii="Times New Roman" w:hAnsi="Times New Roman" w:eastAsia="方正仿宋_GBK" w:cs="Times New Roman"/>
          <w:color w:val="auto"/>
          <w:kern w:val="0"/>
          <w:sz w:val="32"/>
          <w:szCs w:val="32"/>
          <w:highlight w:val="none"/>
          <w:u w:val="none" w:color="auto"/>
          <w:lang w:val="en-US" w:eastAsia="zh-CN" w:bidi="ar"/>
        </w:rPr>
        <w:t>支持超声医学工程国家重点实验室提质升级，重点突破超声精准治疗、智能影像诊断、无创组织消融技术等核心技术。</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提速创建</w:t>
      </w:r>
      <w:r>
        <w:rPr>
          <w:rFonts w:hint="default" w:ascii="Times New Roman" w:hAnsi="Times New Roman" w:eastAsia="方正仿宋_GBK" w:cs="Times New Roman"/>
          <w:color w:val="auto"/>
          <w:sz w:val="32"/>
          <w:szCs w:val="32"/>
          <w:highlight w:val="none"/>
          <w:u w:val="none" w:color="auto"/>
          <w14:ligatures w14:val="standardContextual"/>
        </w:rPr>
        <w:t>半岛实验室</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高标准建设</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重庆</w:t>
      </w:r>
      <w:r>
        <w:rPr>
          <w:rFonts w:hint="default" w:ascii="Times New Roman" w:hAnsi="Times New Roman" w:eastAsia="方正仿宋_GBK" w:cs="Times New Roman"/>
          <w:color w:val="auto"/>
          <w:sz w:val="32"/>
          <w:szCs w:val="32"/>
          <w:highlight w:val="none"/>
          <w:u w:val="none" w:color="auto"/>
          <w14:ligatures w14:val="standardContextual"/>
        </w:rPr>
        <w:t>信息</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与</w:t>
      </w:r>
      <w:r>
        <w:rPr>
          <w:rFonts w:hint="default" w:ascii="Times New Roman" w:hAnsi="Times New Roman" w:eastAsia="方正仿宋_GBK" w:cs="Times New Roman"/>
          <w:color w:val="auto"/>
          <w:sz w:val="32"/>
          <w:szCs w:val="32"/>
          <w:highlight w:val="none"/>
          <w:u w:val="none" w:color="auto"/>
          <w14:ligatures w14:val="standardContextual"/>
        </w:rPr>
        <w:t>智慧</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医学</w:t>
      </w:r>
      <w:r>
        <w:rPr>
          <w:rFonts w:hint="default" w:ascii="Times New Roman" w:hAnsi="Times New Roman" w:eastAsia="方正仿宋_GBK" w:cs="Times New Roman"/>
          <w:color w:val="auto"/>
          <w:sz w:val="32"/>
          <w:szCs w:val="32"/>
          <w:highlight w:val="none"/>
          <w:u w:val="none" w:color="auto"/>
          <w14:ligatures w14:val="standardContextual"/>
        </w:rPr>
        <w:t>研究院</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生命健康前沿技术交叉研究院</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color w:val="auto"/>
          <w:kern w:val="0"/>
          <w:sz w:val="32"/>
          <w:szCs w:val="32"/>
          <w:highlight w:val="none"/>
          <w:u w:val="none" w:color="auto"/>
          <w:lang w:val="en-US" w:eastAsia="zh-CN" w:bidi="ar"/>
        </w:rPr>
        <w:t>加速突破基因测序、分子分型等前沿技术，推动人工智能与多组学数据融合创新，打造全国领先的智慧医学创新高地。</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在智慧城市建设、生态环保和新能源等领域加大研发投入，</w:t>
      </w:r>
      <w:r>
        <w:rPr>
          <w:rFonts w:hint="default" w:ascii="Times New Roman" w:hAnsi="Times New Roman" w:eastAsia="方正仿宋_GBK" w:cs="Times New Roman"/>
          <w:color w:val="auto"/>
          <w:sz w:val="32"/>
          <w:szCs w:val="32"/>
          <w:highlight w:val="none"/>
          <w:u w:val="none" w:color="auto"/>
          <w14:ligatures w14:val="standardContextual"/>
        </w:rPr>
        <w:t>打造科研服务业集聚区。</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提质</w:t>
      </w:r>
      <w:r>
        <w:rPr>
          <w:rFonts w:hint="default" w:ascii="Times New Roman" w:hAnsi="Times New Roman" w:eastAsia="方正仿宋_GBK" w:cs="Times New Roman"/>
          <w:color w:val="auto"/>
          <w:sz w:val="32"/>
          <w:szCs w:val="32"/>
          <w:highlight w:val="none"/>
          <w:u w:val="none" w:color="auto"/>
          <w14:ligatures w14:val="standardContextual"/>
        </w:rPr>
        <w:t>发展</w:t>
      </w:r>
      <w:r>
        <w:rPr>
          <w:rFonts w:hint="default" w:ascii="Times New Roman" w:hAnsi="Times New Roman" w:eastAsia="方正仿宋_GBK" w:cs="Times New Roman"/>
          <w:color w:val="auto"/>
          <w:sz w:val="32"/>
          <w:szCs w:val="32"/>
          <w:highlight w:val="none"/>
          <w:u w:val="none" w:color="auto"/>
          <w:lang w:eastAsia="zh-CN"/>
          <w14:ligatures w14:val="standardContextual"/>
        </w:rPr>
        <w:t>数智科技</w:t>
      </w:r>
      <w:r>
        <w:rPr>
          <w:rFonts w:hint="default" w:ascii="Times New Roman" w:hAnsi="Times New Roman" w:eastAsia="方正仿宋_GBK" w:cs="Times New Roman"/>
          <w:color w:val="auto"/>
          <w:sz w:val="32"/>
          <w:szCs w:val="32"/>
          <w:highlight w:val="none"/>
          <w:u w:val="none" w:color="auto"/>
          <w14:ligatures w14:val="standardContextual"/>
        </w:rPr>
        <w:t>产业园，</w:t>
      </w:r>
      <w:r>
        <w:rPr>
          <w:rFonts w:hint="default" w:ascii="Times New Roman" w:hAnsi="Times New Roman" w:eastAsia="方正仿宋_GBK" w:cs="Times New Roman"/>
          <w:i w:val="0"/>
          <w:iCs w:val="0"/>
          <w:caps w:val="0"/>
          <w:color w:val="auto"/>
          <w:spacing w:val="0"/>
          <w:kern w:val="2"/>
          <w:sz w:val="32"/>
          <w:szCs w:val="32"/>
          <w:highlight w:val="none"/>
          <w:u w:val="none" w:color="auto"/>
          <w:shd w:val="clear" w:color="auto" w:fill="FFFFFF"/>
          <w:lang w:val="en-US" w:eastAsia="zh-CN" w:bidi="ar-SA"/>
        </w:rPr>
        <w:t>抢抓布局内容生成、数据要素、算法创新等行业新赛道，提升</w:t>
      </w:r>
      <w:r>
        <w:rPr>
          <w:rFonts w:hint="eastAsia" w:ascii="Times New Roman" w:hAnsi="Times New Roman" w:eastAsia="方正仿宋_GBK" w:cs="方正仿宋_GBK"/>
          <w:i w:val="0"/>
          <w:iCs w:val="0"/>
          <w:caps w:val="0"/>
          <w:color w:val="auto"/>
          <w:spacing w:val="0"/>
          <w:kern w:val="2"/>
          <w:sz w:val="32"/>
          <w:szCs w:val="32"/>
          <w:highlight w:val="none"/>
          <w:u w:val="none" w:color="auto"/>
          <w:shd w:val="clear" w:color="auto" w:fill="FFFFFF"/>
          <w:lang w:val="en-US" w:eastAsia="zh-CN" w:bidi="ar-SA"/>
        </w:rPr>
        <w:t>“</w:t>
      </w:r>
      <w:r>
        <w:rPr>
          <w:rFonts w:hint="default" w:ascii="Times New Roman" w:hAnsi="Times New Roman" w:eastAsia="方正仿宋_GBK" w:cs="Times New Roman"/>
          <w:i w:val="0"/>
          <w:iCs w:val="0"/>
          <w:caps w:val="0"/>
          <w:color w:val="auto"/>
          <w:spacing w:val="0"/>
          <w:kern w:val="2"/>
          <w:sz w:val="32"/>
          <w:szCs w:val="32"/>
          <w:highlight w:val="none"/>
          <w:u w:val="none" w:color="auto"/>
          <w:shd w:val="clear" w:color="auto" w:fill="FFFFFF"/>
          <w:lang w:val="en-US" w:eastAsia="zh-CN" w:bidi="ar-SA"/>
        </w:rPr>
        <w:t>来数加工</w:t>
      </w:r>
      <w:r>
        <w:rPr>
          <w:rFonts w:hint="eastAsia" w:ascii="Times New Roman" w:hAnsi="Times New Roman" w:eastAsia="方正仿宋_GBK" w:cs="方正仿宋_GBK"/>
          <w:i w:val="0"/>
          <w:iCs w:val="0"/>
          <w:caps w:val="0"/>
          <w:color w:val="auto"/>
          <w:spacing w:val="0"/>
          <w:kern w:val="2"/>
          <w:sz w:val="32"/>
          <w:szCs w:val="32"/>
          <w:highlight w:val="none"/>
          <w:u w:val="none" w:color="auto"/>
          <w:shd w:val="clear" w:color="auto" w:fill="FFFFFF"/>
          <w:lang w:val="en-US" w:eastAsia="zh-CN" w:bidi="ar-SA"/>
        </w:rPr>
        <w:t>”</w:t>
      </w:r>
      <w:r>
        <w:rPr>
          <w:rFonts w:hint="default" w:ascii="Times New Roman" w:hAnsi="Times New Roman" w:eastAsia="方正仿宋_GBK" w:cs="Times New Roman"/>
          <w:i w:val="0"/>
          <w:iCs w:val="0"/>
          <w:caps w:val="0"/>
          <w:color w:val="auto"/>
          <w:spacing w:val="0"/>
          <w:kern w:val="2"/>
          <w:sz w:val="32"/>
          <w:szCs w:val="32"/>
          <w:highlight w:val="none"/>
          <w:u w:val="none" w:color="auto"/>
          <w:shd w:val="clear" w:color="auto" w:fill="FFFFFF"/>
          <w:lang w:val="en-US" w:eastAsia="zh-CN" w:bidi="ar-SA"/>
        </w:rPr>
        <w:t>规模能级。</w:t>
      </w:r>
      <w:r>
        <w:rPr>
          <w:rFonts w:hint="default" w:ascii="Times New Roman" w:hAnsi="Times New Roman" w:eastAsia="方正仿宋_GBK" w:cs="Times New Roman"/>
          <w:color w:val="auto"/>
          <w:sz w:val="32"/>
          <w:szCs w:val="32"/>
          <w:highlight w:val="none"/>
          <w:u w:val="none" w:color="auto"/>
          <w14:ligatures w14:val="standardContextual"/>
        </w:rPr>
        <w:t>探索设立</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高端新型研发机构</w:t>
      </w:r>
      <w:r>
        <w:rPr>
          <w:rFonts w:hint="default" w:ascii="Times New Roman" w:hAnsi="Times New Roman" w:eastAsia="方正仿宋_GBK" w:cs="Times New Roman"/>
          <w:color w:val="auto"/>
          <w:sz w:val="32"/>
          <w:szCs w:val="32"/>
          <w:highlight w:val="none"/>
          <w:u w:val="none" w:color="auto"/>
          <w14:ligatures w14:val="standardContextual"/>
        </w:rPr>
        <w:t>、数字化转型赋能中心及跨行业、跨领域创新合作平台</w:t>
      </w:r>
      <w:r>
        <w:rPr>
          <w:rFonts w:hint="default" w:ascii="Times New Roman" w:hAnsi="Times New Roman" w:eastAsia="方正仿宋_GBK" w:cs="Times New Roman"/>
          <w:color w:val="auto"/>
          <w:sz w:val="32"/>
          <w:szCs w:val="32"/>
          <w:highlight w:val="none"/>
          <w:u w:val="none" w:color="auto"/>
          <w:lang w:eastAsia="zh-CN"/>
          <w14:ligatures w14:val="standardContextual"/>
        </w:rPr>
        <w:t>。</w:t>
      </w:r>
    </w:p>
    <w:p w14:paraId="46759646">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专栏4  科技创新重点方向</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D20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6EBA3B94">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1.优势学科专业研究。</w:t>
            </w:r>
            <w:r>
              <w:rPr>
                <w:rFonts w:hint="default" w:ascii="Times New Roman" w:hAnsi="Times New Roman" w:eastAsia="方正仿宋_GBK" w:cs="Times New Roman"/>
                <w:color w:val="auto"/>
                <w:sz w:val="24"/>
                <w:szCs w:val="24"/>
                <w:highlight w:val="none"/>
                <w:u w:val="none" w:color="auto"/>
                <w:vertAlign w:val="baseline"/>
                <w:lang w:val="en-US" w:eastAsia="zh-CN"/>
              </w:rPr>
              <w:t>重点发展超声医学、儿科学、肿瘤学、精神医学、神经病学、传染病学、临床检验诊断、口腔医学、医学影像等优势学科专业。</w:t>
            </w:r>
          </w:p>
          <w:p w14:paraId="7DC8DA3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仿宋_GBK" w:cs="Times New Roman"/>
                <w:color w:val="auto"/>
                <w:sz w:val="24"/>
                <w:szCs w:val="24"/>
                <w:highlight w:val="none"/>
                <w:u w:val="none" w:color="auto"/>
                <w:vertAlign w:val="baseline"/>
                <w:lang w:val="en-US" w:eastAsia="zh-CN"/>
              </w:rPr>
              <w:t>2.</w:t>
            </w:r>
            <w:r>
              <w:rPr>
                <w:rFonts w:hint="default" w:ascii="Times New Roman" w:hAnsi="Times New Roman" w:eastAsia="方正黑体_GBK" w:cs="Times New Roman"/>
                <w:color w:val="auto"/>
                <w:sz w:val="24"/>
                <w:szCs w:val="24"/>
                <w:highlight w:val="none"/>
                <w:u w:val="none" w:color="auto"/>
                <w:vertAlign w:val="baseline"/>
                <w:lang w:val="en-US" w:eastAsia="zh-CN"/>
              </w:rPr>
              <w:t>精准医疗。</w:t>
            </w:r>
            <w:r>
              <w:rPr>
                <w:rFonts w:hint="default" w:ascii="Times New Roman" w:hAnsi="Times New Roman" w:eastAsia="方正仿宋_GBK" w:cs="Times New Roman"/>
                <w:color w:val="auto"/>
                <w:sz w:val="24"/>
                <w:szCs w:val="24"/>
                <w:highlight w:val="none"/>
                <w:u w:val="none" w:color="auto"/>
                <w:vertAlign w:val="baseline"/>
                <w:lang w:val="en-US" w:eastAsia="zh-CN"/>
              </w:rPr>
              <w:t>重点突破基因测序、分子分型、液体活检、伴随诊断等前沿技术，提升疾病筛查、诊断分型及用药指导的精准度。</w:t>
            </w:r>
          </w:p>
          <w:p w14:paraId="7E9AA9B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3.数智医疗。</w:t>
            </w:r>
            <w:r>
              <w:rPr>
                <w:rFonts w:hint="default" w:ascii="Times New Roman" w:hAnsi="Times New Roman" w:eastAsia="方正仿宋_GBK" w:cs="Times New Roman"/>
                <w:color w:val="auto"/>
                <w:sz w:val="24"/>
                <w:szCs w:val="24"/>
                <w:highlight w:val="none"/>
                <w:u w:val="none" w:color="auto"/>
                <w:vertAlign w:val="baseline"/>
                <w:lang w:val="en-US" w:eastAsia="zh-CN"/>
              </w:rPr>
              <w:t>重点围绕</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医学+人工智能</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交叉领域开展创新实践，布局疾病诊疗、智能辅助诊断及创新药械研发等领域原始创新。</w:t>
            </w:r>
          </w:p>
          <w:p w14:paraId="5AAB3BFC">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4.前沿交叉医学。</w:t>
            </w:r>
            <w:r>
              <w:rPr>
                <w:rFonts w:hint="default" w:ascii="Times New Roman" w:hAnsi="Times New Roman" w:eastAsia="方正仿宋_GBK" w:cs="Times New Roman"/>
                <w:color w:val="auto"/>
                <w:sz w:val="24"/>
                <w:szCs w:val="24"/>
                <w:highlight w:val="none"/>
                <w:u w:val="none" w:color="auto"/>
                <w:vertAlign w:val="baseline"/>
                <w:lang w:val="en-US" w:eastAsia="zh-CN"/>
              </w:rPr>
              <w:t>重点突破医学与人工智能、生物信息的深度融合技术，积极探索医学物理学、新材料科学与临床医学的交叉应用，形成</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基础前沿突破—技术交叉创新—临床成果转化—产业集聚发展</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全链条生态。</w:t>
            </w:r>
          </w:p>
          <w:p w14:paraId="57890F67">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5.医疗器械。</w:t>
            </w:r>
            <w:r>
              <w:rPr>
                <w:rFonts w:hint="default" w:ascii="Times New Roman" w:hAnsi="Times New Roman" w:eastAsia="方正仿宋_GBK" w:cs="Times New Roman"/>
                <w:color w:val="auto"/>
                <w:sz w:val="24"/>
                <w:szCs w:val="24"/>
                <w:highlight w:val="none"/>
                <w:u w:val="none" w:color="auto"/>
                <w:vertAlign w:val="baseline"/>
                <w:lang w:val="en-US" w:eastAsia="zh-CN"/>
              </w:rPr>
              <w:t>重点突破体外诊断、医学影像设备、运动康复医疗器械等细分领域，加速临床需求向产业创新的高效转化。</w:t>
            </w:r>
          </w:p>
          <w:p w14:paraId="7162B6F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6.中医药。</w:t>
            </w:r>
            <w:r>
              <w:rPr>
                <w:rFonts w:hint="default" w:ascii="Times New Roman" w:hAnsi="Times New Roman" w:eastAsia="方正仿宋_GBK" w:cs="Times New Roman"/>
                <w:color w:val="auto"/>
                <w:sz w:val="24"/>
                <w:szCs w:val="24"/>
                <w:highlight w:val="none"/>
                <w:u w:val="none" w:color="auto"/>
                <w:vertAlign w:val="baseline"/>
                <w:lang w:val="en-US" w:eastAsia="zh-CN"/>
              </w:rPr>
              <w:t>重点开展名中医经验方研究、新药研发以及传统炮制技术传承创新，加强科研成果、中药制剂转化。</w:t>
            </w:r>
          </w:p>
          <w:p w14:paraId="126BF9B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7.工业软件。</w:t>
            </w:r>
            <w:r>
              <w:rPr>
                <w:rFonts w:hint="default" w:ascii="Times New Roman" w:hAnsi="Times New Roman" w:eastAsia="方正仿宋_GBK" w:cs="Times New Roman"/>
                <w:color w:val="auto"/>
                <w:sz w:val="24"/>
                <w:szCs w:val="24"/>
                <w:highlight w:val="none"/>
                <w:u w:val="none" w:color="auto"/>
                <w:vertAlign w:val="baseline"/>
                <w:lang w:val="en-US" w:eastAsia="zh-CN"/>
              </w:rPr>
              <w:t>重点布局CAD、CAE、CAT、EDA等研发设计类工业软件，加快补齐制造流程模拟软件等产业链关键节点。</w:t>
            </w:r>
          </w:p>
          <w:p w14:paraId="1517311A">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8.算力算法。</w:t>
            </w:r>
            <w:r>
              <w:rPr>
                <w:rFonts w:hint="default" w:ascii="Times New Roman" w:hAnsi="Times New Roman" w:eastAsia="方正仿宋_GBK" w:cs="Times New Roman"/>
                <w:color w:val="auto"/>
                <w:sz w:val="24"/>
                <w:szCs w:val="24"/>
                <w:highlight w:val="none"/>
                <w:u w:val="none" w:color="auto"/>
                <w:vertAlign w:val="baseline"/>
                <w:lang w:val="en-US" w:eastAsia="zh-CN"/>
              </w:rPr>
              <w:t>重点攻关传输时延优化、国产协议适配等关键技术，搭建异构算力研发平台。</w:t>
            </w:r>
          </w:p>
          <w:p w14:paraId="5DD004DD">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9.人工智能。</w:t>
            </w:r>
            <w:r>
              <w:rPr>
                <w:rFonts w:hint="default" w:ascii="Times New Roman" w:hAnsi="Times New Roman" w:eastAsia="方正仿宋_GBK" w:cs="Times New Roman"/>
                <w:color w:val="auto"/>
                <w:sz w:val="24"/>
                <w:szCs w:val="24"/>
                <w:highlight w:val="none"/>
                <w:u w:val="none" w:color="auto"/>
                <w:vertAlign w:val="baseline"/>
                <w:lang w:val="en-US" w:eastAsia="zh-CN"/>
              </w:rPr>
              <w:t>重点布局研发智能操作系统、智能助手、智能办公、智能娱乐等人工智能原生软件，探索人工智能驱动的新型科研范式。</w:t>
            </w:r>
          </w:p>
          <w:p w14:paraId="2BCB7C60">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10.大数据。</w:t>
            </w:r>
            <w:r>
              <w:rPr>
                <w:rFonts w:hint="default" w:ascii="Times New Roman" w:hAnsi="Times New Roman" w:eastAsia="方正仿宋_GBK" w:cs="Times New Roman"/>
                <w:color w:val="auto"/>
                <w:sz w:val="24"/>
                <w:szCs w:val="24"/>
                <w:highlight w:val="none"/>
                <w:u w:val="none" w:color="auto"/>
                <w:vertAlign w:val="baseline"/>
                <w:lang w:val="en-US" w:eastAsia="zh-CN"/>
              </w:rPr>
              <w:t>重点发展数据采集、清洗、存储、分析、可视化等全流程业务，打造数据科技创新平台，持续开展大数据产业发展试点示范、数据领域关键技术攻关，建设全国重要、中西部领先的跨境数据服务平台。</w:t>
            </w:r>
          </w:p>
          <w:p w14:paraId="5DF08AA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11.区块链。</w:t>
            </w:r>
            <w:r>
              <w:rPr>
                <w:rFonts w:hint="default" w:ascii="Times New Roman" w:hAnsi="Times New Roman" w:eastAsia="方正仿宋_GBK" w:cs="Times New Roman"/>
                <w:color w:val="auto"/>
                <w:sz w:val="24"/>
                <w:szCs w:val="24"/>
                <w:highlight w:val="none"/>
                <w:u w:val="none" w:color="auto"/>
                <w:vertAlign w:val="baseline"/>
                <w:lang w:val="en-US" w:eastAsia="zh-CN"/>
              </w:rPr>
              <w:t>重点突破共识容错、节点动态变更、节点签名、通讯拓扑等区块链核心技术攻关，加快分布式计算与存储、共识机制、智能合约、跨链等关键技术研发。</w:t>
            </w:r>
          </w:p>
          <w:p w14:paraId="6AB17F9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12.智能与绿色建设。</w:t>
            </w:r>
            <w:r>
              <w:rPr>
                <w:rFonts w:hint="default" w:ascii="Times New Roman" w:hAnsi="Times New Roman" w:eastAsia="方正仿宋_GBK" w:cs="Times New Roman"/>
                <w:color w:val="auto"/>
                <w:sz w:val="24"/>
                <w:szCs w:val="24"/>
                <w:highlight w:val="none"/>
                <w:u w:val="none" w:color="auto"/>
                <w:vertAlign w:val="baseline"/>
                <w:lang w:val="en-US" w:eastAsia="zh-CN"/>
              </w:rPr>
              <w:t>重点突破建筑工业化、智能建造与数字化、智能智慧家居、绿色低碳建筑等领域关键核心技术。</w:t>
            </w:r>
          </w:p>
          <w:p w14:paraId="28C0F89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13.生态保护与修复。</w:t>
            </w:r>
            <w:r>
              <w:rPr>
                <w:rFonts w:hint="default" w:ascii="Times New Roman" w:hAnsi="Times New Roman" w:eastAsia="方正仿宋_GBK" w:cs="Times New Roman"/>
                <w:color w:val="auto"/>
                <w:sz w:val="24"/>
                <w:szCs w:val="24"/>
                <w:highlight w:val="none"/>
                <w:u w:val="none" w:color="auto"/>
                <w:vertAlign w:val="baseline"/>
                <w:lang w:val="en-US" w:eastAsia="zh-CN"/>
              </w:rPr>
              <w:t>重点开展先进污染治理技术和装备研发，提升企业环境治理能力。</w:t>
            </w:r>
          </w:p>
        </w:tc>
      </w:tr>
    </w:tbl>
    <w:p w14:paraId="5BA37442">
      <w:pPr>
        <w:keepNext w:val="0"/>
        <w:keepLines w:val="0"/>
        <w:pageBreakBefore w:val="0"/>
        <w:tabs>
          <w:tab w:val="right" w:leader="dot" w:pos="8844"/>
        </w:tabs>
        <w:kinsoku/>
        <w:wordWrap/>
        <w:topLinePunct w:val="0"/>
        <w:autoSpaceDE/>
        <w:autoSpaceDN/>
        <w:bidi w:val="0"/>
        <w:spacing w:line="600" w:lineRule="exact"/>
        <w:ind w:firstLine="640"/>
        <w:jc w:val="center"/>
        <w:outlineLvl w:val="1"/>
        <w:rPr>
          <w:rFonts w:hint="default" w:ascii="Times New Roman" w:hAnsi="Times New Roman" w:eastAsia="方正黑体_GBK" w:cs="Times New Roman"/>
          <w:color w:val="auto"/>
          <w:sz w:val="32"/>
          <w:szCs w:val="32"/>
          <w:highlight w:val="none"/>
          <w:u w:val="none" w:color="auto"/>
        </w:rPr>
      </w:pPr>
      <w:bookmarkStart w:id="486" w:name="_Toc29516"/>
      <w:bookmarkStart w:id="487" w:name="_Toc10511"/>
      <w:bookmarkStart w:id="488" w:name="_Toc23990"/>
      <w:bookmarkStart w:id="489" w:name="_Toc28302"/>
      <w:bookmarkStart w:id="490" w:name="_Toc6071"/>
      <w:bookmarkStart w:id="491" w:name="_Toc14676"/>
      <w:bookmarkStart w:id="492" w:name="_Toc22386"/>
      <w:bookmarkStart w:id="493" w:name="_Toc14098"/>
      <w:bookmarkStart w:id="494" w:name="_Toc18106"/>
      <w:bookmarkStart w:id="495" w:name="_Toc4813"/>
      <w:bookmarkStart w:id="496" w:name="_Toc19822"/>
      <w:bookmarkStart w:id="497" w:name="_Toc20592"/>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十二</w:t>
      </w:r>
      <w:r>
        <w:rPr>
          <w:rFonts w:hint="default" w:ascii="Times New Roman" w:hAnsi="Times New Roman" w:eastAsia="方正黑体_GBK" w:cs="Times New Roman"/>
          <w:color w:val="auto"/>
          <w:sz w:val="32"/>
          <w:szCs w:val="32"/>
          <w:highlight w:val="none"/>
          <w:u w:val="none" w:color="auto"/>
        </w:rPr>
        <w:t>章 推动科技创新和产业创新深度融合</w:t>
      </w:r>
      <w:bookmarkEnd w:id="486"/>
      <w:bookmarkEnd w:id="487"/>
      <w:bookmarkEnd w:id="488"/>
      <w:bookmarkEnd w:id="489"/>
      <w:bookmarkEnd w:id="490"/>
      <w:bookmarkEnd w:id="491"/>
      <w:bookmarkEnd w:id="492"/>
      <w:bookmarkEnd w:id="493"/>
      <w:bookmarkEnd w:id="494"/>
      <w:bookmarkEnd w:id="495"/>
      <w:bookmarkEnd w:id="496"/>
      <w:bookmarkEnd w:id="497"/>
    </w:p>
    <w:p w14:paraId="1EB1466F">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lang w:val="en-US" w:eastAsia="zh-CN"/>
          <w14:ligatures w14:val="standardContextual"/>
        </w:rPr>
      </w:pPr>
      <w:r>
        <w:rPr>
          <w:rFonts w:hint="default" w:ascii="Times New Roman" w:hAnsi="Times New Roman" w:eastAsia="方正仿宋_GBK" w:cs="Times New Roman"/>
          <w:color w:val="auto"/>
          <w:sz w:val="32"/>
          <w:szCs w:val="32"/>
          <w:highlight w:val="none"/>
          <w:u w:val="none" w:color="auto"/>
          <w14:ligatures w14:val="standardContextual"/>
        </w:rPr>
        <w:t>实施</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科技赋能产业创新工程，开展服务创新、商品创新、模式创新、业态创新、技术创新，探索品质化、集群化、规模化发展路径，形成创新要素集聚、服务功能突出的产业生态圈</w:t>
      </w:r>
      <w:r>
        <w:rPr>
          <w:rFonts w:hint="default" w:ascii="Times New Roman" w:hAnsi="Times New Roman" w:eastAsia="方正仿宋_GBK" w:cs="Times New Roman"/>
          <w:color w:val="auto"/>
          <w:sz w:val="32"/>
          <w:szCs w:val="32"/>
          <w:highlight w:val="none"/>
          <w:u w:val="none" w:color="auto"/>
          <w14:ligatures w14:val="standardContextual"/>
        </w:rPr>
        <w:t>。</w:t>
      </w:r>
    </w:p>
    <w:p w14:paraId="3D92E26E">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498" w:name="_Toc20098"/>
      <w:bookmarkStart w:id="499" w:name="_Toc12430"/>
      <w:bookmarkStart w:id="500" w:name="_Toc16005"/>
      <w:bookmarkStart w:id="501" w:name="_Toc28388"/>
      <w:bookmarkStart w:id="502" w:name="_Toc21935"/>
      <w:bookmarkStart w:id="503" w:name="_Toc28150"/>
      <w:bookmarkStart w:id="504" w:name="_Toc17519"/>
      <w:bookmarkStart w:id="505" w:name="_Toc25415"/>
      <w:bookmarkStart w:id="506" w:name="_Toc31542"/>
      <w:bookmarkStart w:id="507" w:name="_Toc2480"/>
      <w:bookmarkStart w:id="508" w:name="_Toc25124"/>
      <w:bookmarkStart w:id="509" w:name="_Toc14171"/>
      <w:r>
        <w:rPr>
          <w:rFonts w:hint="default" w:ascii="Times New Roman" w:hAnsi="Times New Roman" w:eastAsia="方正楷体_GBK" w:cs="Times New Roman"/>
          <w:color w:val="auto"/>
          <w:sz w:val="32"/>
          <w:szCs w:val="32"/>
          <w:highlight w:val="none"/>
          <w:u w:val="none" w:color="auto"/>
        </w:rPr>
        <w:t>第一节 科技赋能产业发展</w:t>
      </w:r>
      <w:bookmarkEnd w:id="498"/>
      <w:bookmarkEnd w:id="499"/>
      <w:bookmarkEnd w:id="500"/>
      <w:bookmarkEnd w:id="501"/>
      <w:bookmarkEnd w:id="502"/>
      <w:bookmarkEnd w:id="503"/>
      <w:bookmarkEnd w:id="504"/>
      <w:bookmarkEnd w:id="505"/>
      <w:bookmarkEnd w:id="506"/>
      <w:bookmarkEnd w:id="507"/>
      <w:bookmarkEnd w:id="508"/>
      <w:bookmarkEnd w:id="509"/>
    </w:p>
    <w:p w14:paraId="559A52A1">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推动数字技术赋能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4311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现代化产业体系转型升级，</w:t>
      </w:r>
      <w:r>
        <w:rPr>
          <w:rFonts w:hint="default" w:ascii="Times New Roman" w:hAnsi="Times New Roman" w:eastAsia="方正仿宋_GBK" w:cs="Times New Roman"/>
          <w:color w:val="auto"/>
          <w:kern w:val="0"/>
          <w:sz w:val="32"/>
          <w:szCs w:val="32"/>
          <w:highlight w:val="none"/>
          <w:u w:val="none" w:color="auto"/>
          <w:lang w:val="en-US" w:eastAsia="zh-CN" w:bidi="ar"/>
        </w:rPr>
        <w:t>加强数字金融核心技术研发和数据积累，推广</w:t>
      </w:r>
      <w:r>
        <w:rPr>
          <w:rFonts w:hint="eastAsia" w:ascii="Times New Roman" w:hAnsi="Times New Roman" w:eastAsia="方正仿宋_GBK" w:cs="方正仿宋_GBK"/>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渝中融</w:t>
      </w:r>
      <w:r>
        <w:rPr>
          <w:rFonts w:hint="eastAsia" w:ascii="Times New Roman" w:hAnsi="Times New Roman" w:eastAsia="方正仿宋_GBK" w:cs="方正仿宋_GBK"/>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等数字金融服务平台。鼓励各类专业服务业机构建设全流程、信息化智能作业平台及辅助工具，开发</w:t>
      </w:r>
      <w:r>
        <w:rPr>
          <w:rFonts w:hint="default" w:ascii="Times New Roman" w:hAnsi="Times New Roman" w:eastAsia="宋体" w:cs="Times New Roman"/>
          <w:color w:val="auto"/>
          <w:kern w:val="0"/>
          <w:sz w:val="32"/>
          <w:szCs w:val="32"/>
          <w:highlight w:val="none"/>
          <w:u w:val="none" w:color="auto"/>
          <w:lang w:val="en-US" w:eastAsia="zh-CN" w:bidi="ar"/>
        </w:rPr>
        <w:t>AI</w:t>
      </w:r>
      <w:r>
        <w:rPr>
          <w:rFonts w:hint="default" w:ascii="Times New Roman" w:hAnsi="Times New Roman" w:eastAsia="方正仿宋_GBK" w:cs="Times New Roman"/>
          <w:color w:val="auto"/>
          <w:kern w:val="0"/>
          <w:sz w:val="32"/>
          <w:szCs w:val="32"/>
          <w:highlight w:val="none"/>
          <w:u w:val="none" w:color="auto"/>
          <w:lang w:val="en-US" w:eastAsia="zh-CN" w:bidi="ar"/>
        </w:rPr>
        <w:t>劳动力模型、劳资风控、元宇宙招聘等数智产品。加快建设软件信息服务产业大脑。引导物流企业构建</w:t>
      </w:r>
      <w:r>
        <w:rPr>
          <w:rFonts w:hint="eastAsia" w:ascii="Times New Roman" w:hAnsi="Times New Roman" w:eastAsia="方正仿宋_GBK" w:cs="方正仿宋_GBK"/>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AI</w:t>
      </w:r>
      <w:r>
        <w:rPr>
          <w:rFonts w:hint="default" w:ascii="Times New Roman" w:hAnsi="Times New Roman" w:eastAsia="宋体" w:cs="Times New Roman"/>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高效货运物流</w:t>
      </w:r>
      <w:r>
        <w:rPr>
          <w:rFonts w:hint="eastAsia" w:ascii="Times New Roman" w:hAnsi="Times New Roman" w:eastAsia="方正仿宋_GBK" w:cs="方正仿宋_GBK"/>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供应链体系。</w:t>
      </w:r>
      <w:r>
        <w:rPr>
          <w:rFonts w:hint="default" w:ascii="Times New Roman" w:hAnsi="Times New Roman" w:eastAsia="方正仿宋_GBK" w:cs="Times New Roman"/>
          <w:color w:val="auto"/>
          <w:sz w:val="32"/>
          <w:szCs w:val="32"/>
          <w:highlight w:val="none"/>
          <w:u w:val="none" w:color="auto"/>
          <w:lang w:val="en-US" w:eastAsia="zh-CN"/>
        </w:rPr>
        <w:t>加快</w:t>
      </w:r>
      <w:r>
        <w:rPr>
          <w:rFonts w:hint="default" w:ascii="Times New Roman" w:hAnsi="Times New Roman" w:eastAsia="方正仿宋_GBK" w:cs="Times New Roman"/>
          <w:color w:val="auto"/>
          <w:sz w:val="32"/>
          <w:szCs w:val="32"/>
          <w:highlight w:val="none"/>
          <w:u w:val="none" w:color="auto"/>
        </w:rPr>
        <w:t>推动消费数字化转型，</w:t>
      </w:r>
      <w:r>
        <w:rPr>
          <w:rFonts w:hint="default" w:ascii="Times New Roman" w:hAnsi="Times New Roman" w:eastAsia="方正仿宋_GBK" w:cs="Times New Roman"/>
          <w:color w:val="auto"/>
          <w:kern w:val="0"/>
          <w:sz w:val="32"/>
          <w:szCs w:val="32"/>
          <w:highlight w:val="none"/>
          <w:u w:val="none" w:color="auto"/>
          <w:lang w:val="en-US" w:eastAsia="zh-CN" w:bidi="ar"/>
        </w:rPr>
        <w:t>营造</w:t>
      </w:r>
      <w:r>
        <w:rPr>
          <w:rFonts w:hint="default" w:ascii="Times New Roman" w:hAnsi="Times New Roman" w:eastAsia="方正仿宋_GBK" w:cs="Times New Roman"/>
          <w:color w:val="auto"/>
          <w:sz w:val="32"/>
          <w:szCs w:val="32"/>
          <w:highlight w:val="none"/>
          <w:u w:val="none" w:color="auto"/>
        </w:rPr>
        <w:t>数字商贸发展生态</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推动</w:t>
      </w:r>
      <w:r>
        <w:rPr>
          <w:rFonts w:hint="default" w:ascii="Times New Roman" w:hAnsi="Times New Roman" w:eastAsia="方正仿宋_GBK" w:cs="Times New Roman"/>
          <w:color w:val="auto"/>
          <w:sz w:val="32"/>
          <w:szCs w:val="32"/>
          <w:highlight w:val="none"/>
          <w:u w:val="none" w:color="auto"/>
          <w:lang w:val="en-US" w:eastAsia="zh-CN"/>
        </w:rPr>
        <w:t>AI</w:t>
      </w:r>
      <w:r>
        <w:rPr>
          <w:rFonts w:hint="default" w:ascii="Times New Roman" w:hAnsi="Times New Roman" w:eastAsia="方正仿宋_GBK" w:cs="Times New Roman"/>
          <w:color w:val="auto"/>
          <w:sz w:val="32"/>
          <w:szCs w:val="32"/>
          <w:highlight w:val="none"/>
          <w:u w:val="none" w:color="auto"/>
        </w:rPr>
        <w:t>与数字文化深度融合，发展AIGC、游戏动漫等新兴产业</w:t>
      </w:r>
      <w:r>
        <w:rPr>
          <w:rFonts w:hint="default" w:ascii="Times New Roman" w:hAnsi="Times New Roman" w:eastAsia="方正仿宋_GBK" w:cs="Times New Roman"/>
          <w:color w:val="auto"/>
          <w:kern w:val="0"/>
          <w:sz w:val="32"/>
          <w:szCs w:val="32"/>
          <w:highlight w:val="none"/>
          <w:u w:val="none" w:color="auto"/>
          <w:lang w:val="en-US" w:eastAsia="zh-CN" w:bidi="ar"/>
        </w:rPr>
        <w:t>。发展</w:t>
      </w:r>
      <w:r>
        <w:rPr>
          <w:rFonts w:hint="eastAsia" w:ascii="Times New Roman" w:hAnsi="Times New Roman" w:eastAsia="方正仿宋_GBK" w:cs="方正仿宋_GBK"/>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AI</w:t>
      </w:r>
      <w:r>
        <w:rPr>
          <w:rFonts w:hint="default" w:ascii="Times New Roman" w:hAnsi="Times New Roman" w:eastAsia="宋体" w:cs="Times New Roman"/>
          <w:color w:val="auto"/>
          <w:kern w:val="0"/>
          <w:sz w:val="32"/>
          <w:szCs w:val="32"/>
          <w:highlight w:val="none"/>
          <w:u w:val="none" w:color="auto"/>
          <w:lang w:val="en-US" w:eastAsia="zh-CN" w:bidi="ar"/>
        </w:rPr>
        <w:t>+</w:t>
      </w:r>
      <w:r>
        <w:rPr>
          <w:rFonts w:hint="default" w:ascii="Times New Roman" w:hAnsi="Times New Roman" w:eastAsia="方正仿宋_GBK" w:cs="Times New Roman"/>
          <w:color w:val="auto"/>
          <w:kern w:val="0"/>
          <w:sz w:val="32"/>
          <w:szCs w:val="32"/>
          <w:highlight w:val="none"/>
          <w:u w:val="none" w:color="auto"/>
          <w:lang w:val="en-US" w:eastAsia="zh-CN" w:bidi="ar"/>
        </w:rPr>
        <w:t>医疗</w:t>
      </w:r>
      <w:r>
        <w:rPr>
          <w:rFonts w:hint="default" w:ascii="Times New Roman" w:hAnsi="Times New Roman" w:eastAsia="方正仿宋_GBK" w:cs="Times New Roman"/>
          <w:color w:val="auto"/>
          <w:kern w:val="2"/>
          <w:sz w:val="32"/>
          <w:szCs w:val="32"/>
          <w:highlight w:val="none"/>
          <w:u w:val="none" w:color="auto"/>
          <w:lang w:val="en-US" w:eastAsia="zh-CN" w:bidi="ar"/>
        </w:rPr>
        <w:t>健康</w:t>
      </w:r>
      <w:r>
        <w:rPr>
          <w:rFonts w:hint="eastAsia" w:ascii="Times New Roman" w:hAnsi="Times New Roman" w:eastAsia="方正仿宋_GBK" w:cs="方正仿宋_GBK"/>
          <w:color w:val="auto"/>
          <w:kern w:val="2"/>
          <w:sz w:val="32"/>
          <w:szCs w:val="32"/>
          <w:highlight w:val="none"/>
          <w:u w:val="none" w:color="auto"/>
          <w:lang w:val="en-US" w:eastAsia="zh-CN" w:bidi="ar"/>
        </w:rPr>
        <w:t>”</w:t>
      </w:r>
      <w:r>
        <w:rPr>
          <w:rFonts w:hint="default" w:ascii="Times New Roman" w:hAnsi="Times New Roman" w:eastAsia="方正仿宋_GBK" w:cs="Times New Roman"/>
          <w:color w:val="auto"/>
          <w:kern w:val="2"/>
          <w:sz w:val="32"/>
          <w:szCs w:val="32"/>
          <w:highlight w:val="none"/>
          <w:u w:val="none" w:color="auto"/>
          <w:lang w:val="en-US" w:eastAsia="zh-CN" w:bidi="ar"/>
        </w:rPr>
        <w:t>服务。</w:t>
      </w:r>
      <w:r>
        <w:rPr>
          <w:rFonts w:hint="default" w:ascii="Times New Roman" w:hAnsi="Times New Roman" w:eastAsia="方正仿宋_GBK" w:cs="Times New Roman"/>
          <w:color w:val="auto"/>
          <w:sz w:val="32"/>
          <w:szCs w:val="32"/>
          <w:highlight w:val="none"/>
          <w:u w:val="none" w:color="auto"/>
          <w:lang w:val="en-US" w:eastAsia="zh-CN"/>
        </w:rPr>
        <w:t>深化军民融合产业发展。</w:t>
      </w:r>
      <w:r>
        <w:rPr>
          <w:rFonts w:hint="default" w:ascii="Times New Roman" w:hAnsi="Times New Roman" w:eastAsia="方正仿宋_GBK" w:cs="Times New Roman"/>
          <w:color w:val="auto"/>
          <w:sz w:val="32"/>
          <w:szCs w:val="32"/>
          <w:highlight w:val="none"/>
          <w:u w:val="none" w:color="auto"/>
          <w14:ligatures w14:val="none"/>
        </w:rPr>
        <w:t>探索打造</w:t>
      </w:r>
      <w:r>
        <w:rPr>
          <w:rFonts w:hint="default" w:ascii="Times New Roman" w:hAnsi="Times New Roman" w:eastAsia="方正仿宋_GBK" w:cs="Times New Roman"/>
          <w:color w:val="auto"/>
          <w:sz w:val="32"/>
          <w:szCs w:val="32"/>
          <w:highlight w:val="none"/>
          <w:u w:val="none" w:color="auto"/>
          <w14:ligatures w14:val="standardContextual"/>
        </w:rPr>
        <w:t>产业赋能中心，构建一站式服务平台。</w:t>
      </w:r>
    </w:p>
    <w:p w14:paraId="745BE422">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510" w:name="_Toc31287"/>
      <w:bookmarkStart w:id="511" w:name="_Toc3990"/>
      <w:bookmarkStart w:id="512" w:name="_Toc20403"/>
      <w:bookmarkStart w:id="513" w:name="_Toc19662"/>
      <w:bookmarkStart w:id="514" w:name="_Toc21952"/>
      <w:bookmarkStart w:id="515" w:name="_Toc28606"/>
      <w:bookmarkStart w:id="516" w:name="_Toc2397"/>
      <w:bookmarkStart w:id="517" w:name="_Toc20625"/>
      <w:bookmarkStart w:id="518" w:name="_Toc11896"/>
      <w:bookmarkStart w:id="519" w:name="_Toc31327"/>
      <w:bookmarkStart w:id="520" w:name="_Toc19262"/>
      <w:bookmarkStart w:id="521" w:name="_Toc16271"/>
      <w:r>
        <w:rPr>
          <w:rFonts w:hint="default" w:ascii="Times New Roman" w:hAnsi="Times New Roman" w:eastAsia="方正楷体_GBK" w:cs="Times New Roman"/>
          <w:color w:val="auto"/>
          <w:sz w:val="32"/>
          <w:szCs w:val="32"/>
          <w:highlight w:val="none"/>
          <w:u w:val="none" w:color="auto"/>
        </w:rPr>
        <w:t>第二节 高效能推进科技成果转化</w:t>
      </w:r>
      <w:bookmarkEnd w:id="510"/>
      <w:bookmarkEnd w:id="511"/>
      <w:bookmarkEnd w:id="512"/>
      <w:bookmarkEnd w:id="513"/>
      <w:bookmarkEnd w:id="514"/>
      <w:bookmarkEnd w:id="515"/>
      <w:bookmarkEnd w:id="516"/>
      <w:bookmarkEnd w:id="517"/>
      <w:bookmarkEnd w:id="518"/>
      <w:bookmarkEnd w:id="519"/>
      <w:bookmarkEnd w:id="520"/>
      <w:bookmarkEnd w:id="521"/>
    </w:p>
    <w:p w14:paraId="23B91BEA">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lang w:val="en-US" w:eastAsia="zh-CN"/>
          <w14:ligatures w14:val="standardContextual"/>
        </w:rPr>
      </w:pPr>
      <w:r>
        <w:rPr>
          <w:rFonts w:hint="default" w:ascii="Times New Roman" w:hAnsi="Times New Roman" w:eastAsia="方正仿宋_GBK" w:cs="Times New Roman"/>
          <w:color w:val="auto"/>
          <w:sz w:val="32"/>
          <w:szCs w:val="32"/>
          <w:highlight w:val="none"/>
          <w:u w:val="none" w:color="auto"/>
          <w:lang w:val="en-US" w:eastAsia="zh-CN"/>
          <w14:ligatures w14:val="standardContextual"/>
        </w:rPr>
        <w:t>探索建立</w:t>
      </w:r>
      <w:r>
        <w:rPr>
          <w:rFonts w:hint="eastAsia" w:ascii="Times New Roman" w:hAnsi="Times New Roman" w:eastAsia="方正仿宋_GBK" w:cs="方正仿宋_GBK"/>
          <w:color w:val="auto"/>
          <w:sz w:val="32"/>
          <w:szCs w:val="3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政产学研用金</w:t>
      </w:r>
      <w:r>
        <w:rPr>
          <w:rFonts w:hint="eastAsia" w:ascii="Times New Roman" w:hAnsi="Times New Roman" w:eastAsia="方正仿宋_GBK" w:cs="方正仿宋_GBK"/>
          <w:color w:val="auto"/>
          <w:sz w:val="32"/>
          <w:szCs w:val="3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协同联动机制，打造</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源头创新</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孵化</w:t>
      </w:r>
      <w:r>
        <w:rPr>
          <w:rFonts w:hint="default" w:ascii="Times New Roman" w:hAnsi="Times New Roman" w:eastAsia="方正仿宋_GBK" w:cs="Times New Roman"/>
          <w:color w:val="auto"/>
          <w:sz w:val="32"/>
          <w:szCs w:val="32"/>
          <w:highlight w:val="none"/>
          <w:u w:val="none" w:color="auto"/>
          <w14:ligatures w14:val="standardContextual"/>
        </w:rPr>
        <w:t>加速—产业化</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落地</w:t>
      </w:r>
      <w:r>
        <w:rPr>
          <w:rFonts w:hint="eastAsia" w:ascii="Times New Roman" w:hAnsi="Times New Roman" w:eastAsia="方正仿宋_GBK" w:cs="方正仿宋_GBK"/>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全链条成果转化模式</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迭代完善科技创新政策，</w:t>
      </w:r>
      <w:r>
        <w:rPr>
          <w:rFonts w:hint="default" w:ascii="Times New Roman" w:hAnsi="Times New Roman" w:eastAsia="方正仿宋_GBK" w:cs="Times New Roman"/>
          <w:color w:val="auto"/>
          <w:kern w:val="0"/>
          <w:sz w:val="32"/>
          <w:szCs w:val="32"/>
          <w:highlight w:val="none"/>
          <w:u w:val="none" w:color="auto"/>
          <w:lang w:val="en-US" w:eastAsia="zh-CN" w:bidi="ar"/>
        </w:rPr>
        <w:t>支持高校、科研院所、龙头企业和</w:t>
      </w:r>
      <w:r>
        <w:rPr>
          <w:rFonts w:hint="default" w:ascii="Times New Roman" w:hAnsi="Times New Roman" w:eastAsia="方正仿宋_GBK" w:cs="Times New Roman"/>
          <w:color w:val="auto"/>
          <w:sz w:val="32"/>
          <w:szCs w:val="32"/>
          <w:highlight w:val="none"/>
          <w:u w:val="none" w:color="auto"/>
          <w14:ligatures w14:val="standardContextual"/>
        </w:rPr>
        <w:t>投资机构建设概念验证</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和</w:t>
      </w:r>
      <w:r>
        <w:rPr>
          <w:rFonts w:hint="default" w:ascii="Times New Roman" w:hAnsi="Times New Roman" w:eastAsia="方正仿宋_GBK" w:cs="Times New Roman"/>
          <w:color w:val="auto"/>
          <w:sz w:val="32"/>
          <w:szCs w:val="32"/>
          <w:highlight w:val="none"/>
          <w:u w:val="none" w:color="auto"/>
          <w14:ligatures w14:val="standardContextual"/>
        </w:rPr>
        <w:t>中试验证平台，</w:t>
      </w:r>
      <w:r>
        <w:rPr>
          <w:rFonts w:hint="default" w:ascii="Times New Roman" w:hAnsi="Times New Roman" w:eastAsia="方正仿宋_GBK" w:cs="Times New Roman"/>
          <w:color w:val="auto"/>
          <w:kern w:val="0"/>
          <w:sz w:val="32"/>
          <w:szCs w:val="32"/>
          <w:highlight w:val="none"/>
          <w:u w:val="none" w:color="auto"/>
          <w:lang w:val="en-US" w:eastAsia="zh-CN" w:bidi="ar"/>
        </w:rPr>
        <w:t>强化科技成果技术可行性验证和市场化前景评估。鼓励企业</w:t>
      </w:r>
      <w:r>
        <w:rPr>
          <w:rFonts w:hint="default" w:ascii="Times New Roman" w:hAnsi="Times New Roman" w:eastAsia="方正仿宋_GBK" w:cs="Times New Roman"/>
          <w:color w:val="auto"/>
          <w:sz w:val="32"/>
          <w:szCs w:val="32"/>
          <w:highlight w:val="none"/>
          <w:u w:val="none" w:color="auto"/>
          <w14:ligatures w14:val="standardContextual"/>
        </w:rPr>
        <w:t>推动首台（套）</w:t>
      </w:r>
      <w:r>
        <w:rPr>
          <w:rFonts w:hint="default" w:ascii="Times New Roman" w:hAnsi="Times New Roman" w:eastAsia="方正仿宋_GBK" w:cs="Times New Roman"/>
          <w:color w:val="auto"/>
          <w:kern w:val="0"/>
          <w:sz w:val="32"/>
          <w:szCs w:val="32"/>
          <w:highlight w:val="none"/>
          <w:u w:val="none" w:color="auto"/>
          <w:lang w:val="en-US" w:eastAsia="zh-CN" w:bidi="ar"/>
        </w:rPr>
        <w:t>重大技术装备、首批次新材料和首版次软件产品的示范应用</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b w:val="0"/>
          <w:bCs w:val="0"/>
          <w:color w:val="auto"/>
          <w:sz w:val="32"/>
          <w:szCs w:val="32"/>
          <w:highlight w:val="none"/>
          <w:u w:val="none" w:color="auto"/>
          <w:lang w:val="en-US" w:eastAsia="zh-CN"/>
        </w:rPr>
        <w:t>建立场景应用能力清单和机会清单征集机制，</w:t>
      </w:r>
      <w:r>
        <w:rPr>
          <w:rFonts w:hint="default" w:ascii="Times New Roman" w:hAnsi="Times New Roman" w:eastAsia="方正仿宋_GBK" w:cs="Times New Roman"/>
          <w:color w:val="auto"/>
          <w:sz w:val="32"/>
          <w:szCs w:val="32"/>
          <w:highlight w:val="none"/>
          <w:u w:val="none" w:color="auto"/>
          <w14:ligatures w14:val="standardContextual"/>
        </w:rPr>
        <w:t>加快成熟技术方案推广应用</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14:ligatures w14:val="standardContextual"/>
        </w:rPr>
        <w:t>打造科技成果试验场</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首选地</w:t>
      </w:r>
      <w:r>
        <w:rPr>
          <w:rFonts w:hint="default" w:ascii="Times New Roman" w:hAnsi="Times New Roman" w:eastAsia="方正仿宋_GBK" w:cs="Times New Roman"/>
          <w:color w:val="auto"/>
          <w:sz w:val="32"/>
          <w:szCs w:val="32"/>
          <w:highlight w:val="none"/>
          <w:u w:val="none" w:color="auto"/>
          <w14:ligatures w14:val="standardContextual"/>
        </w:rPr>
        <w:t>。加快布局</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产业创新孵化载体，</w:t>
      </w:r>
      <w:r>
        <w:rPr>
          <w:rFonts w:hint="default" w:ascii="Times New Roman" w:hAnsi="Times New Roman" w:eastAsia="方正仿宋_GBK" w:cs="Times New Roman"/>
          <w:color w:val="auto"/>
          <w:sz w:val="32"/>
          <w:szCs w:val="32"/>
          <w:highlight w:val="none"/>
          <w:u w:val="none" w:color="auto"/>
          <w14:ligatures w14:val="standardContextual"/>
        </w:rPr>
        <w:t>围绕科技型初创企业</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及</w:t>
      </w:r>
      <w:r>
        <w:rPr>
          <w:rFonts w:hint="default" w:ascii="Times New Roman" w:hAnsi="Times New Roman" w:eastAsia="方正仿宋_GBK" w:cs="Times New Roman"/>
          <w:color w:val="auto"/>
          <w:sz w:val="32"/>
          <w:szCs w:val="32"/>
          <w:highlight w:val="none"/>
          <w:u w:val="none" w:color="auto"/>
          <w14:ligatures w14:val="standardContextual"/>
        </w:rPr>
        <w:t>团队全周期需求，提供专业化、接力式孵化服务</w:t>
      </w:r>
      <w:r>
        <w:rPr>
          <w:rFonts w:hint="default" w:ascii="Times New Roman" w:hAnsi="Times New Roman" w:eastAsia="方正仿宋_GBK" w:cs="Times New Roman"/>
          <w:color w:val="auto"/>
          <w:sz w:val="32"/>
          <w:szCs w:val="3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鼓励金融机构、风险投资、股权投资等社会资本更多投向科技创新领域</w:t>
      </w:r>
      <w:r>
        <w:rPr>
          <w:rFonts w:hint="default" w:ascii="Times New Roman" w:hAnsi="Times New Roman" w:eastAsia="方正仿宋_GBK" w:cs="Times New Roman"/>
          <w:color w:val="auto"/>
          <w:sz w:val="32"/>
          <w:szCs w:val="32"/>
          <w:highlight w:val="none"/>
          <w:u w:val="none" w:color="auto"/>
          <w14:ligatures w14:val="standardContextual"/>
        </w:rPr>
        <w:t>。</w:t>
      </w:r>
      <w:r>
        <w:rPr>
          <w:rFonts w:hint="default" w:ascii="Times New Roman" w:hAnsi="Times New Roman" w:eastAsia="方正仿宋_GBK" w:cs="Times New Roman"/>
          <w:color w:val="auto"/>
          <w:sz w:val="32"/>
          <w:szCs w:val="32"/>
          <w:highlight w:val="none"/>
          <w:u w:val="none" w:color="auto"/>
          <w:lang w:val="en-US" w:eastAsia="zh-CN"/>
          <w14:ligatures w14:val="standardContextual"/>
        </w:rPr>
        <w:t>建立完善技术经理人、职业经理人、投资经理人、孵化器管理人等陪跑队伍，助推科技创新成果高效转化应用。</w:t>
      </w:r>
    </w:p>
    <w:p w14:paraId="7FE33324">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专栏5  重点领域创新应用示范</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CF9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870CACC">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1.产业数字化。</w:t>
            </w:r>
            <w:r>
              <w:rPr>
                <w:rFonts w:hint="default" w:ascii="Times New Roman" w:hAnsi="Times New Roman" w:eastAsia="方正仿宋_GBK" w:cs="Times New Roman"/>
                <w:color w:val="auto"/>
                <w:sz w:val="24"/>
                <w:szCs w:val="24"/>
                <w:highlight w:val="none"/>
                <w:u w:val="none" w:color="auto"/>
                <w:vertAlign w:val="baseline"/>
                <w:lang w:val="en-US" w:eastAsia="zh-CN"/>
              </w:rPr>
              <w:t>以场景驱动和数据赋能为核心，大力推进产业数字化创新应用示范，重点在金融、商贸、文旅、健康服务等领域打造一批标杆示范项目。</w:t>
            </w:r>
          </w:p>
          <w:p w14:paraId="107D6737">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2.智慧城市。</w:t>
            </w:r>
            <w:r>
              <w:rPr>
                <w:rFonts w:hint="default" w:ascii="Times New Roman" w:hAnsi="Times New Roman" w:eastAsia="方正仿宋_GBK" w:cs="Times New Roman"/>
                <w:color w:val="auto"/>
                <w:sz w:val="24"/>
                <w:szCs w:val="24"/>
                <w:highlight w:val="none"/>
                <w:u w:val="none" w:color="auto"/>
                <w:vertAlign w:val="baseline"/>
                <w:lang w:val="en-US" w:eastAsia="zh-CN"/>
              </w:rPr>
              <w:t>以数字重庆建设为牵引，试点推进城市数字孪生，在重点区域和领域建设一批智慧商圈、智慧楼宇、智慧社区等标杆性数字化应用场景。</w:t>
            </w:r>
          </w:p>
          <w:p w14:paraId="7BB3998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3.民生科技。</w:t>
            </w:r>
            <w:r>
              <w:rPr>
                <w:rFonts w:hint="default" w:ascii="Times New Roman" w:hAnsi="Times New Roman" w:eastAsia="方正仿宋_GBK" w:cs="Times New Roman"/>
                <w:color w:val="auto"/>
                <w:sz w:val="24"/>
                <w:szCs w:val="24"/>
                <w:highlight w:val="none"/>
                <w:u w:val="none" w:color="auto"/>
                <w:vertAlign w:val="baseline"/>
                <w:lang w:val="en-US" w:eastAsia="zh-CN"/>
              </w:rPr>
              <w:t>围绕智慧医疗、智慧养老、智慧教育、城市治理等领域，大力推动民生科技领域的创新应用示范。</w:t>
            </w:r>
          </w:p>
          <w:p w14:paraId="54D96FA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cs="Times New Roman"/>
                <w:color w:val="auto"/>
                <w:highlight w:val="none"/>
                <w:u w:val="none" w:color="auto"/>
              </w:rPr>
            </w:pPr>
            <w:r>
              <w:rPr>
                <w:rFonts w:hint="default" w:ascii="Times New Roman" w:hAnsi="Times New Roman" w:eastAsia="方正黑体_GBK" w:cs="Times New Roman"/>
                <w:color w:val="auto"/>
                <w:sz w:val="24"/>
                <w:szCs w:val="24"/>
                <w:highlight w:val="none"/>
                <w:u w:val="none" w:color="auto"/>
                <w:vertAlign w:val="baseline"/>
                <w:lang w:val="en-US" w:eastAsia="zh-CN"/>
              </w:rPr>
              <w:t>4.生态环保。</w:t>
            </w:r>
            <w:r>
              <w:rPr>
                <w:rFonts w:hint="default" w:ascii="Times New Roman" w:hAnsi="Times New Roman" w:eastAsia="方正仿宋_GBK" w:cs="Times New Roman"/>
                <w:color w:val="auto"/>
                <w:sz w:val="24"/>
                <w:szCs w:val="24"/>
                <w:highlight w:val="none"/>
                <w:u w:val="none" w:color="auto"/>
                <w:vertAlign w:val="baseline"/>
                <w:lang w:val="en-US" w:eastAsia="zh-CN"/>
              </w:rPr>
              <w:t>深化智改数转绿色化转型，大力发展绿色低碳数字基础设施，建立健全绿色产业基础信息数据共享机制，探索建立覆盖环境污染、气象监测、产业绿色转型的多场景应用智慧分析和决策系统。</w:t>
            </w:r>
          </w:p>
          <w:p w14:paraId="46D5674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5.公共安全。</w:t>
            </w:r>
            <w:r>
              <w:rPr>
                <w:rFonts w:hint="default" w:ascii="Times New Roman" w:hAnsi="Times New Roman" w:eastAsia="方正仿宋_GBK" w:cs="Times New Roman"/>
                <w:color w:val="auto"/>
                <w:sz w:val="24"/>
                <w:szCs w:val="24"/>
                <w:highlight w:val="none"/>
                <w:u w:val="none" w:color="auto"/>
                <w:vertAlign w:val="baseline"/>
                <w:lang w:val="en-US" w:eastAsia="zh-CN"/>
              </w:rPr>
              <w:t>加强城市安全智慧防控，探索构建渝中区应急指挥数字孪生系统，推进安全生产、城市公共安全保障、防灾减灾、消防安全等方面智能预警与应急防控技术装备研发应用。</w:t>
            </w:r>
          </w:p>
        </w:tc>
      </w:tr>
    </w:tbl>
    <w:p w14:paraId="27DA8B15">
      <w:pPr>
        <w:keepNext w:val="0"/>
        <w:keepLines w:val="0"/>
        <w:pageBreakBefore w:val="0"/>
        <w:tabs>
          <w:tab w:val="right" w:leader="dot" w:pos="8844"/>
        </w:tabs>
        <w:kinsoku/>
        <w:wordWrap/>
        <w:topLinePunct w:val="0"/>
        <w:autoSpaceDE/>
        <w:autoSpaceDN/>
        <w:bidi w:val="0"/>
        <w:spacing w:line="600" w:lineRule="exact"/>
        <w:ind w:firstLine="640"/>
        <w:jc w:val="center"/>
        <w:outlineLvl w:val="1"/>
        <w:rPr>
          <w:rFonts w:hint="default" w:ascii="Times New Roman" w:hAnsi="Times New Roman" w:eastAsia="方正黑体_GBK" w:cs="Times New Roman"/>
          <w:color w:val="auto"/>
          <w:sz w:val="32"/>
          <w:szCs w:val="32"/>
          <w:highlight w:val="none"/>
          <w:u w:val="none" w:color="auto"/>
        </w:rPr>
      </w:pPr>
      <w:bookmarkStart w:id="522" w:name="_Toc18427"/>
      <w:bookmarkStart w:id="523" w:name="_Toc2659"/>
      <w:bookmarkStart w:id="524" w:name="_Toc26672"/>
      <w:bookmarkStart w:id="525" w:name="_Toc27246"/>
      <w:bookmarkStart w:id="526" w:name="_Toc11975"/>
      <w:bookmarkStart w:id="527" w:name="_Toc20973"/>
      <w:bookmarkStart w:id="528" w:name="_Toc8555"/>
      <w:bookmarkStart w:id="529" w:name="_Toc18633"/>
      <w:bookmarkStart w:id="530" w:name="_Toc6525"/>
      <w:bookmarkStart w:id="531" w:name="_Toc16003"/>
      <w:bookmarkStart w:id="532" w:name="_Toc25703"/>
      <w:bookmarkStart w:id="533" w:name="_Toc2842"/>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十三</w:t>
      </w:r>
      <w:r>
        <w:rPr>
          <w:rFonts w:hint="default" w:ascii="Times New Roman" w:hAnsi="Times New Roman" w:eastAsia="方正黑体_GBK" w:cs="Times New Roman"/>
          <w:color w:val="auto"/>
          <w:sz w:val="32"/>
          <w:szCs w:val="32"/>
          <w:highlight w:val="none"/>
          <w:u w:val="none" w:color="auto"/>
        </w:rPr>
        <w:t>章 统筹推进教育科技人才一体化发展</w:t>
      </w:r>
      <w:bookmarkEnd w:id="522"/>
      <w:bookmarkEnd w:id="523"/>
      <w:bookmarkEnd w:id="524"/>
      <w:bookmarkEnd w:id="525"/>
      <w:bookmarkEnd w:id="526"/>
      <w:bookmarkEnd w:id="527"/>
      <w:bookmarkEnd w:id="528"/>
      <w:bookmarkEnd w:id="529"/>
      <w:bookmarkEnd w:id="530"/>
      <w:bookmarkEnd w:id="531"/>
      <w:bookmarkEnd w:id="532"/>
      <w:bookmarkEnd w:id="533"/>
    </w:p>
    <w:p w14:paraId="6FD6692C">
      <w:pPr>
        <w:keepNext w:val="0"/>
        <w:keepLines w:val="0"/>
        <w:pageBreakBefore w:val="0"/>
        <w:tabs>
          <w:tab w:val="right" w:leader="dot" w:pos="8844"/>
        </w:tabs>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rPr>
      </w:pPr>
      <w:r>
        <w:rPr>
          <w:rFonts w:hint="default" w:ascii="Times New Roman" w:hAnsi="Times New Roman" w:eastAsia="方正仿宋_GBK" w:cs="Times New Roman"/>
          <w:color w:val="auto"/>
          <w:sz w:val="32"/>
          <w:szCs w:val="32"/>
          <w:highlight w:val="none"/>
          <w:u w:val="none" w:color="auto"/>
          <w:lang w:val="en-US" w:eastAsia="zh-CN"/>
        </w:rPr>
        <w:t>强化创新制胜、人才引领协同发力</w:t>
      </w:r>
      <w:r>
        <w:rPr>
          <w:rFonts w:hint="default" w:ascii="Times New Roman" w:hAnsi="Times New Roman" w:eastAsia="方正仿宋_GBK" w:cs="Times New Roman"/>
          <w:color w:val="auto"/>
          <w:sz w:val="32"/>
          <w:szCs w:val="32"/>
          <w:highlight w:val="none"/>
          <w:u w:val="none" w:color="auto"/>
        </w:rPr>
        <w:t>，深化科技开放合作、人才引育服务</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创新政策优化，</w:t>
      </w:r>
      <w:r>
        <w:rPr>
          <w:rFonts w:hint="default" w:ascii="Times New Roman" w:hAnsi="Times New Roman" w:eastAsia="方正仿宋_GBK" w:cs="Times New Roman"/>
          <w:color w:val="auto"/>
          <w:sz w:val="32"/>
          <w:szCs w:val="32"/>
          <w:highlight w:val="none"/>
          <w:u w:val="none" w:color="auto"/>
          <w:lang w:val="en-US" w:eastAsia="zh-CN"/>
        </w:rPr>
        <w:t>持续</w:t>
      </w:r>
      <w:r>
        <w:rPr>
          <w:rFonts w:hint="default" w:ascii="Times New Roman" w:hAnsi="Times New Roman" w:eastAsia="方正仿宋_GBK" w:cs="Times New Roman"/>
          <w:b w:val="0"/>
          <w:bCs w:val="0"/>
          <w:color w:val="auto"/>
          <w:sz w:val="32"/>
          <w:szCs w:val="32"/>
          <w:highlight w:val="none"/>
          <w:u w:val="none" w:color="auto"/>
          <w:lang w:eastAsia="zh-CN"/>
        </w:rPr>
        <w:t>营造良好科技创新环境</w:t>
      </w:r>
      <w:r>
        <w:rPr>
          <w:rFonts w:hint="default" w:ascii="Times New Roman" w:hAnsi="Times New Roman" w:eastAsia="方正仿宋_GBK" w:cs="Times New Roman"/>
          <w:color w:val="auto"/>
          <w:sz w:val="32"/>
          <w:szCs w:val="32"/>
          <w:highlight w:val="none"/>
          <w:u w:val="none" w:color="auto"/>
        </w:rPr>
        <w:t>。</w:t>
      </w:r>
    </w:p>
    <w:p w14:paraId="68FEFEB9">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534" w:name="_Toc28630"/>
      <w:bookmarkStart w:id="535" w:name="_Toc31452"/>
      <w:bookmarkStart w:id="536" w:name="_Toc10901"/>
      <w:bookmarkStart w:id="537" w:name="_Toc24668"/>
      <w:bookmarkStart w:id="538" w:name="_Toc3928"/>
      <w:bookmarkStart w:id="539" w:name="_Toc7435"/>
      <w:bookmarkStart w:id="540" w:name="_Toc6244"/>
      <w:bookmarkStart w:id="541" w:name="_Toc750"/>
      <w:bookmarkStart w:id="542" w:name="_Toc25623"/>
      <w:bookmarkStart w:id="543" w:name="_Toc11281"/>
      <w:bookmarkStart w:id="544" w:name="_Toc4427"/>
      <w:bookmarkStart w:id="545" w:name="_Toc21846"/>
      <w:r>
        <w:rPr>
          <w:rFonts w:hint="default" w:ascii="Times New Roman" w:hAnsi="Times New Roman" w:eastAsia="方正楷体_GBK" w:cs="Times New Roman"/>
          <w:color w:val="auto"/>
          <w:sz w:val="32"/>
          <w:szCs w:val="32"/>
          <w:highlight w:val="none"/>
          <w:u w:val="none" w:color="auto"/>
        </w:rPr>
        <w:t>第一节 构建高层次多元化人才体系</w:t>
      </w:r>
      <w:bookmarkEnd w:id="534"/>
      <w:bookmarkEnd w:id="535"/>
      <w:bookmarkEnd w:id="536"/>
      <w:bookmarkEnd w:id="537"/>
      <w:bookmarkEnd w:id="538"/>
      <w:bookmarkEnd w:id="539"/>
      <w:bookmarkEnd w:id="540"/>
      <w:bookmarkEnd w:id="541"/>
      <w:bookmarkEnd w:id="542"/>
      <w:bookmarkEnd w:id="543"/>
      <w:bookmarkEnd w:id="544"/>
      <w:bookmarkEnd w:id="545"/>
    </w:p>
    <w:p w14:paraId="0916BBEC">
      <w:pPr>
        <w:keepNext w:val="0"/>
        <w:keepLines w:val="0"/>
        <w:pageBreakBefore w:val="0"/>
        <w:kinsoku/>
        <w:wordWrap/>
        <w:topLinePunct w:val="0"/>
        <w:autoSpaceDE/>
        <w:autoSpaceDN/>
        <w:bidi w:val="0"/>
        <w:spacing w:line="600" w:lineRule="exact"/>
        <w:ind w:left="0" w:leftChars="0" w:firstLine="640" w:firstLineChars="200"/>
        <w:jc w:val="both"/>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建立健全教育科技人才一体推进协调机制，支持高校、企业、科研机构、创新平台等共建人才引育联合体，高水平建设现代化创新人才集聚区。</w:t>
      </w:r>
      <w:r>
        <w:rPr>
          <w:rFonts w:hint="default" w:ascii="Times New Roman" w:hAnsi="Times New Roman" w:eastAsia="方正仿宋_GBK" w:cs="Times New Roman"/>
          <w:color w:val="auto"/>
          <w:sz w:val="32"/>
          <w:szCs w:val="32"/>
          <w:highlight w:val="none"/>
          <w:lang w:val="en-US" w:eastAsia="zh-CN"/>
        </w:rPr>
        <w:t>深度融入全市高层次人才引进计划，迭代升级渝中人才政策体系，</w:t>
      </w:r>
      <w:r>
        <w:rPr>
          <w:rFonts w:hint="default" w:ascii="Times New Roman" w:hAnsi="Times New Roman" w:eastAsia="方正仿宋_GBK" w:cs="Times New Roman"/>
          <w:color w:val="auto"/>
          <w:sz w:val="32"/>
          <w:szCs w:val="32"/>
          <w:highlight w:val="none"/>
          <w:u w:val="none" w:color="auto"/>
          <w:lang w:val="en-US" w:eastAsia="zh-CN"/>
        </w:rPr>
        <w:t>实行顶尖人才</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一人一策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、领军人才</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双招双引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、工匠人才</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赋能升级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、青年人才</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成长赋能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等引育机制</w:t>
      </w:r>
      <w:r>
        <w:rPr>
          <w:rFonts w:hint="default" w:ascii="Times New Roman" w:hAnsi="Times New Roman" w:eastAsia="方正仿宋_GBK" w:cs="Times New Roman"/>
          <w:color w:val="auto"/>
          <w:sz w:val="32"/>
          <w:szCs w:val="32"/>
          <w:highlight w:val="none"/>
          <w:u w:val="none" w:color="auto"/>
        </w:rPr>
        <w:t>，绘制人工智能、</w:t>
      </w:r>
      <w:r>
        <w:rPr>
          <w:rFonts w:hint="default" w:ascii="Times New Roman" w:hAnsi="Times New Roman" w:eastAsia="方正仿宋_GBK" w:cs="Times New Roman"/>
          <w:color w:val="auto"/>
          <w:sz w:val="32"/>
          <w:szCs w:val="32"/>
          <w:highlight w:val="none"/>
          <w:u w:val="none" w:color="auto"/>
          <w:lang w:val="en-US" w:eastAsia="zh-CN"/>
        </w:rPr>
        <w:t>医疗健康等</w:t>
      </w:r>
      <w:r>
        <w:rPr>
          <w:rFonts w:hint="default" w:ascii="Times New Roman" w:hAnsi="Times New Roman" w:eastAsia="方正仿宋_GBK" w:cs="Times New Roman"/>
          <w:color w:val="auto"/>
          <w:sz w:val="32"/>
          <w:szCs w:val="32"/>
          <w:highlight w:val="none"/>
          <w:u w:val="none" w:color="auto"/>
        </w:rPr>
        <w:t>重点产业领域人才开发路线图，</w:t>
      </w:r>
      <w:r>
        <w:rPr>
          <w:rFonts w:hint="default" w:ascii="Times New Roman" w:hAnsi="Times New Roman" w:eastAsia="方正仿宋_GBK" w:cs="Times New Roman"/>
          <w:color w:val="auto"/>
          <w:sz w:val="32"/>
          <w:szCs w:val="32"/>
          <w:highlight w:val="none"/>
          <w:lang w:val="en-US" w:eastAsia="zh-CN"/>
        </w:rPr>
        <w:t>编制高端人才引进需求清单，</w:t>
      </w:r>
      <w:r>
        <w:rPr>
          <w:rFonts w:hint="default" w:ascii="Times New Roman" w:hAnsi="Times New Roman" w:eastAsia="方正仿宋_GBK" w:cs="Times New Roman"/>
          <w:color w:val="auto"/>
          <w:sz w:val="32"/>
          <w:szCs w:val="32"/>
          <w:highlight w:val="none"/>
          <w:u w:val="none" w:color="auto"/>
          <w:lang w:val="en-US" w:eastAsia="zh-CN"/>
        </w:rPr>
        <w:t>绘</w:t>
      </w:r>
      <w:r>
        <w:rPr>
          <w:rFonts w:hint="default" w:ascii="Times New Roman" w:hAnsi="Times New Roman" w:eastAsia="方正仿宋_GBK" w:cs="Times New Roman"/>
          <w:color w:val="auto"/>
          <w:sz w:val="32"/>
          <w:szCs w:val="32"/>
          <w:highlight w:val="none"/>
          <w:u w:val="none" w:color="auto"/>
        </w:rPr>
        <w:t>制</w:t>
      </w:r>
      <w:r>
        <w:rPr>
          <w:rFonts w:hint="default" w:ascii="Times New Roman" w:hAnsi="Times New Roman" w:eastAsia="方正仿宋_GBK" w:cs="Times New Roman"/>
          <w:color w:val="auto"/>
          <w:sz w:val="32"/>
          <w:szCs w:val="32"/>
          <w:highlight w:val="none"/>
          <w:lang w:val="en-US" w:eastAsia="zh-CN"/>
        </w:rPr>
        <w:t>重点产业领域人才图谱，</w:t>
      </w:r>
      <w:r>
        <w:rPr>
          <w:rFonts w:hint="default" w:ascii="Times New Roman" w:hAnsi="Times New Roman" w:eastAsia="方正仿宋_GBK" w:cs="Times New Roman"/>
          <w:color w:val="auto"/>
          <w:sz w:val="32"/>
          <w:szCs w:val="32"/>
          <w:highlight w:val="none"/>
          <w:u w:val="none" w:color="auto"/>
          <w:lang w:val="en-US" w:eastAsia="zh-CN"/>
        </w:rPr>
        <w:t>培育认定区级高层次人才500名。</w:t>
      </w:r>
      <w:r>
        <w:rPr>
          <w:rFonts w:hint="default" w:ascii="Times New Roman" w:hAnsi="Times New Roman" w:eastAsia="方正仿宋_GBK" w:cs="Times New Roman"/>
          <w:color w:val="auto"/>
          <w:sz w:val="32"/>
          <w:szCs w:val="32"/>
          <w:highlight w:val="none"/>
          <w:u w:val="none" w:color="auto"/>
        </w:rPr>
        <w:t>支持重点企业创建卓越工程师人才工作室、博士后科研工作站，支持企业开展职业技能等级自主评价，做大做强科技人才团队</w:t>
      </w:r>
      <w:r>
        <w:rPr>
          <w:rFonts w:hint="default" w:ascii="Times New Roman" w:hAnsi="Times New Roman" w:eastAsia="方正仿宋_GBK" w:cs="Times New Roman"/>
          <w:color w:val="auto"/>
          <w:sz w:val="32"/>
          <w:szCs w:val="32"/>
          <w:highlight w:val="none"/>
          <w:u w:val="none" w:color="auto"/>
          <w:lang w:val="en-US" w:eastAsia="zh-CN"/>
        </w:rPr>
        <w:t>。深入推进创新创业全周期服务改革，提升人才创新创业平台能级，完善以创新能力、质量、实效、贡献为导向的人才评价体系，营造尊才爱才识才浓厚氛围，充分激发人才创新创业创造活力。</w:t>
      </w:r>
    </w:p>
    <w:p w14:paraId="61F5F8D3">
      <w:pPr>
        <w:pStyle w:val="16"/>
        <w:keepNext w:val="0"/>
        <w:keepLines w:val="0"/>
        <w:pageBreakBefore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sz w:val="32"/>
          <w:szCs w:val="32"/>
          <w:highlight w:val="none"/>
          <w:u w:val="none" w:color="auto"/>
        </w:rPr>
      </w:pPr>
      <w:bookmarkStart w:id="546" w:name="_Toc29976"/>
      <w:bookmarkStart w:id="547" w:name="_Toc23659"/>
      <w:bookmarkStart w:id="548" w:name="_Toc29431"/>
      <w:bookmarkStart w:id="549" w:name="_Toc17844"/>
      <w:bookmarkStart w:id="550" w:name="_Toc3654"/>
      <w:bookmarkStart w:id="551" w:name="_Toc511"/>
      <w:bookmarkStart w:id="552" w:name="_Toc4674"/>
      <w:bookmarkStart w:id="553" w:name="_Toc26165"/>
      <w:bookmarkStart w:id="554" w:name="_Toc2743"/>
      <w:bookmarkStart w:id="555" w:name="_Toc15344"/>
      <w:bookmarkStart w:id="556" w:name="_Toc13334"/>
      <w:bookmarkStart w:id="557" w:name="_Toc25619"/>
      <w:r>
        <w:rPr>
          <w:rFonts w:hint="default" w:ascii="Times New Roman" w:hAnsi="Times New Roman" w:eastAsia="方正楷体_GBK" w:cs="Times New Roman"/>
          <w:color w:val="auto"/>
          <w:sz w:val="32"/>
          <w:szCs w:val="32"/>
          <w:highlight w:val="none"/>
          <w:u w:val="none" w:color="auto"/>
        </w:rPr>
        <w:t>第二节 打造一流科技创新生态</w:t>
      </w:r>
      <w:bookmarkEnd w:id="546"/>
      <w:bookmarkEnd w:id="547"/>
      <w:bookmarkEnd w:id="548"/>
      <w:bookmarkEnd w:id="549"/>
      <w:bookmarkEnd w:id="550"/>
      <w:bookmarkEnd w:id="551"/>
      <w:bookmarkEnd w:id="552"/>
      <w:bookmarkEnd w:id="553"/>
      <w:bookmarkEnd w:id="554"/>
      <w:bookmarkEnd w:id="555"/>
      <w:bookmarkEnd w:id="556"/>
      <w:bookmarkEnd w:id="557"/>
    </w:p>
    <w:p w14:paraId="46D96829">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rPr>
      </w:pPr>
      <w:r>
        <w:rPr>
          <w:rFonts w:hint="default" w:ascii="Times New Roman" w:hAnsi="Times New Roman" w:eastAsia="方正仿宋_GBK" w:cs="Times New Roman"/>
          <w:color w:val="auto"/>
          <w:sz w:val="32"/>
          <w:szCs w:val="32"/>
          <w:highlight w:val="none"/>
          <w:u w:val="none" w:color="auto"/>
        </w:rPr>
        <w:t>深化科技开放合作</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深度融入成渝地区区域科技创新中心建设，加大</w:t>
      </w:r>
      <w:r>
        <w:rPr>
          <w:rFonts w:hint="default" w:ascii="Times New Roman" w:hAnsi="Times New Roman" w:eastAsia="方正仿宋_GBK" w:cs="Times New Roman"/>
          <w:color w:val="auto"/>
          <w:sz w:val="32"/>
          <w:szCs w:val="32"/>
          <w:highlight w:val="none"/>
          <w:u w:val="none" w:color="auto"/>
        </w:rPr>
        <w:t>与</w:t>
      </w:r>
      <w:r>
        <w:rPr>
          <w:rFonts w:hint="default" w:ascii="Times New Roman" w:hAnsi="Times New Roman" w:eastAsia="方正仿宋_GBK" w:cs="Times New Roman"/>
          <w:color w:val="auto"/>
          <w:sz w:val="32"/>
          <w:szCs w:val="32"/>
          <w:highlight w:val="none"/>
          <w:u w:val="none" w:color="auto"/>
          <w:lang w:val="en-US" w:eastAsia="zh-CN"/>
        </w:rPr>
        <w:t>粤港澳、长三角</w:t>
      </w:r>
      <w:r>
        <w:rPr>
          <w:rFonts w:hint="default" w:ascii="Times New Roman" w:hAnsi="Times New Roman" w:eastAsia="方正仿宋_GBK" w:cs="Times New Roman"/>
          <w:color w:val="auto"/>
          <w:sz w:val="32"/>
          <w:szCs w:val="32"/>
          <w:highlight w:val="none"/>
          <w:u w:val="none" w:color="auto"/>
        </w:rPr>
        <w:t>等</w:t>
      </w:r>
      <w:r>
        <w:rPr>
          <w:rFonts w:hint="default" w:ascii="Times New Roman" w:hAnsi="Times New Roman" w:eastAsia="方正仿宋_GBK" w:cs="Times New Roman"/>
          <w:color w:val="auto"/>
          <w:sz w:val="32"/>
          <w:szCs w:val="32"/>
          <w:highlight w:val="none"/>
          <w:u w:val="none" w:color="auto"/>
          <w:lang w:val="en-US" w:eastAsia="zh-CN"/>
        </w:rPr>
        <w:t>地区</w:t>
      </w:r>
      <w:r>
        <w:rPr>
          <w:rFonts w:hint="default" w:ascii="Times New Roman" w:hAnsi="Times New Roman" w:eastAsia="方正仿宋_GBK" w:cs="Times New Roman"/>
          <w:color w:val="auto"/>
          <w:sz w:val="32"/>
          <w:szCs w:val="32"/>
          <w:highlight w:val="none"/>
          <w:u w:val="none" w:color="auto"/>
        </w:rPr>
        <w:t>科技创新协作，引导支持相关产业协会、科研机构、科创企业开展对接合作</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探索</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科研在渝中、产业落外地</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的飞地发展模式</w:t>
      </w:r>
      <w:r>
        <w:rPr>
          <w:rFonts w:hint="default" w:ascii="Times New Roman" w:hAnsi="Times New Roman" w:eastAsia="方正仿宋_GBK" w:cs="Times New Roman"/>
          <w:color w:val="auto"/>
          <w:sz w:val="32"/>
          <w:szCs w:val="32"/>
          <w:highlight w:val="none"/>
          <w:u w:val="none" w:color="auto"/>
        </w:rPr>
        <w:t>。积极参与</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一带一路</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科技创新合作，持续办好</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一带一路</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华侨华人合作发展大会。深化科技创新体制机制改革，健全校企人才</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双聘</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双师</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制度，加大</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产业教授</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科技副总</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推广力度。提升金融支撑质效，</w:t>
      </w:r>
      <w:r>
        <w:rPr>
          <w:rFonts w:hint="default" w:ascii="Times New Roman" w:hAnsi="Times New Roman" w:eastAsia="方正仿宋_GBK" w:cs="Times New Roman"/>
          <w:b w:val="0"/>
          <w:bCs w:val="0"/>
          <w:color w:val="auto"/>
          <w:sz w:val="32"/>
          <w:szCs w:val="32"/>
          <w:highlight w:val="none"/>
          <w:u w:val="none" w:color="auto"/>
          <w:lang w:val="en-US" w:eastAsia="zh-CN"/>
        </w:rPr>
        <w:t>全面推广</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企业创新积分制</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加快建设</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渝中融</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特色平台，推广知识价值信用贷款、</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知识产权质押+投贷联动</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等模式，科技型企业贷款余额突破600亿元</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22"/>
          <w:highlight w:val="none"/>
          <w:u w:val="none" w:color="auto"/>
          <w14:ligatures w14:val="standardContextual"/>
        </w:rPr>
        <w:t>发挥种子投资基金作用，撬动耐心资本投早、投小、投长期、投硬科技</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基金管理规模突破1500亿元</w:t>
      </w:r>
      <w:r>
        <w:rPr>
          <w:rFonts w:hint="default" w:ascii="Times New Roman" w:hAnsi="Times New Roman" w:eastAsia="方正仿宋_GBK" w:cs="Times New Roman"/>
          <w:color w:val="auto"/>
          <w:sz w:val="32"/>
          <w:szCs w:val="22"/>
          <w:highlight w:val="none"/>
          <w:u w:val="none" w:color="auto"/>
          <w14:ligatures w14:val="standardContextual"/>
        </w:rPr>
        <w:t>。</w:t>
      </w:r>
      <w:r>
        <w:rPr>
          <w:rFonts w:hint="default" w:ascii="Times New Roman" w:hAnsi="Times New Roman" w:eastAsia="方正仿宋_GBK" w:cs="Times New Roman"/>
          <w:color w:val="auto"/>
          <w:sz w:val="32"/>
          <w:szCs w:val="32"/>
          <w:highlight w:val="none"/>
          <w:u w:val="none" w:color="auto"/>
        </w:rPr>
        <w:t>完善知识产权保护体系，探索建设知识产权公共服务平台</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专利导航中心和知识产权服务网点</w:t>
      </w:r>
      <w:r>
        <w:rPr>
          <w:rFonts w:hint="default" w:ascii="Times New Roman" w:hAnsi="Times New Roman" w:eastAsia="方正仿宋_GBK" w:cs="Times New Roman"/>
          <w:color w:val="auto"/>
          <w:sz w:val="32"/>
          <w:szCs w:val="32"/>
          <w:highlight w:val="none"/>
          <w:u w:val="none" w:color="auto"/>
          <w:lang w:eastAsia="zh-CN"/>
        </w:rPr>
        <w:t>，</w:t>
      </w:r>
      <w:r>
        <w:rPr>
          <w:rFonts w:hint="eastAsia" w:ascii="Times New Roman" w:hAnsi="Times New Roman" w:eastAsia="方正仿宋_GBK" w:cs="Times New Roman"/>
          <w:color w:val="auto"/>
          <w:sz w:val="32"/>
          <w:szCs w:val="32"/>
          <w:highlight w:val="none"/>
          <w:u w:val="none" w:color="auto"/>
          <w:lang w:val="en-US" w:eastAsia="zh-CN"/>
        </w:rPr>
        <w:t>探索</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开发知识产权证券化产品。</w:t>
      </w:r>
      <w:r>
        <w:rPr>
          <w:rFonts w:hint="default" w:ascii="Times New Roman" w:hAnsi="Times New Roman" w:eastAsia="方正仿宋_GBK" w:cs="Times New Roman"/>
          <w:color w:val="auto"/>
          <w:sz w:val="32"/>
          <w:szCs w:val="32"/>
          <w:highlight w:val="none"/>
          <w:u w:val="none" w:color="auto"/>
        </w:rPr>
        <w:t>加强</w:t>
      </w:r>
      <w:r>
        <w:rPr>
          <w:rFonts w:hint="default" w:ascii="Times New Roman" w:hAnsi="Times New Roman" w:eastAsia="方正仿宋_GBK" w:cs="Times New Roman"/>
          <w:color w:val="auto"/>
          <w:sz w:val="32"/>
          <w:szCs w:val="32"/>
          <w:highlight w:val="none"/>
          <w:u w:val="none" w:color="auto"/>
          <w:lang w:val="en-US" w:eastAsia="zh-CN"/>
        </w:rPr>
        <w:t>科学技术普及</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弘扬科学家精神，</w:t>
      </w:r>
      <w:r>
        <w:rPr>
          <w:rFonts w:hint="default" w:ascii="Times New Roman" w:hAnsi="Times New Roman" w:eastAsia="方正仿宋_GBK" w:cs="Times New Roman"/>
          <w:color w:val="auto"/>
          <w:sz w:val="32"/>
          <w:szCs w:val="32"/>
          <w:highlight w:val="none"/>
          <w:u w:val="none" w:color="auto"/>
        </w:rPr>
        <w:t>提升全民科学素养。</w:t>
      </w:r>
    </w:p>
    <w:p w14:paraId="7D44F8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558" w:name="_Toc27879"/>
      <w:bookmarkStart w:id="559" w:name="_Toc19992"/>
    </w:p>
    <w:p w14:paraId="5FEECD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560" w:name="_Toc1104"/>
      <w:bookmarkStart w:id="561" w:name="_Toc26741"/>
      <w:bookmarkStart w:id="562" w:name="_Toc15761"/>
      <w:bookmarkStart w:id="563" w:name="_Toc16180"/>
      <w:bookmarkStart w:id="564" w:name="_Toc20584"/>
      <w:bookmarkStart w:id="565" w:name="_Toc24913"/>
      <w:bookmarkStart w:id="566" w:name="_Toc14590"/>
      <w:bookmarkStart w:id="567" w:name="_Toc7645"/>
      <w:bookmarkStart w:id="568" w:name="_Toc10040"/>
      <w:bookmarkStart w:id="569" w:name="_Toc18065"/>
      <w:bookmarkStart w:id="570" w:name="_Toc18430"/>
      <w:r>
        <w:rPr>
          <w:rFonts w:hint="default" w:ascii="Times New Roman" w:hAnsi="Times New Roman" w:eastAsia="方正黑体_GBK" w:cs="Times New Roman"/>
          <w:b w:val="0"/>
          <w:bCs w:val="0"/>
          <w:color w:val="auto"/>
          <w:kern w:val="44"/>
          <w:sz w:val="32"/>
          <w:szCs w:val="32"/>
          <w:highlight w:val="none"/>
          <w:u w:val="none" w:color="auto"/>
          <w:lang w:val="en-US" w:eastAsia="zh-CN"/>
        </w:rPr>
        <w:t>第五篇  全力推进超大城市中心城区现代化治理 构建智慧高效城市治理体系</w:t>
      </w:r>
      <w:bookmarkEnd w:id="558"/>
      <w:bookmarkEnd w:id="560"/>
      <w:bookmarkEnd w:id="561"/>
      <w:bookmarkEnd w:id="562"/>
      <w:bookmarkEnd w:id="563"/>
      <w:bookmarkEnd w:id="564"/>
      <w:bookmarkEnd w:id="565"/>
      <w:bookmarkEnd w:id="566"/>
      <w:bookmarkEnd w:id="567"/>
      <w:bookmarkEnd w:id="568"/>
      <w:bookmarkEnd w:id="569"/>
      <w:bookmarkEnd w:id="570"/>
    </w:p>
    <w:p w14:paraId="71DB39D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p>
    <w:p w14:paraId="74C9119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lang w:eastAsia="zh-CN"/>
        </w:rPr>
      </w:pPr>
      <w:r>
        <w:rPr>
          <w:rFonts w:hint="default" w:ascii="Times New Roman" w:hAnsi="Times New Roman" w:eastAsia="方正仿宋_GBK" w:cs="Times New Roman"/>
          <w:b w:val="0"/>
          <w:bCs w:val="0"/>
          <w:color w:val="auto"/>
          <w:sz w:val="32"/>
          <w:szCs w:val="32"/>
          <w:highlight w:val="none"/>
          <w:u w:val="none" w:color="auto"/>
        </w:rPr>
        <w:t>突出数智赋能和大综合一体化</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双轮驱动</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，全面构建数字重庆渝中实践体系能力，高水平打造创新宜居美丽韧性文明智慧的现代化人民城市，为全市探索超大城市现代化治理新路子提供渝中样本</w:t>
      </w:r>
      <w:r>
        <w:rPr>
          <w:rFonts w:hint="default" w:ascii="Times New Roman" w:hAnsi="Times New Roman" w:eastAsia="方正仿宋_GBK" w:cs="Times New Roman"/>
          <w:b w:val="0"/>
          <w:bCs w:val="0"/>
          <w:color w:val="auto"/>
          <w:sz w:val="32"/>
          <w:szCs w:val="32"/>
          <w:highlight w:val="none"/>
          <w:u w:val="none" w:color="auto"/>
          <w:lang w:eastAsia="zh-CN"/>
        </w:rPr>
        <w:t>。</w:t>
      </w:r>
    </w:p>
    <w:p w14:paraId="4A9AD11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571" w:name="_Toc32001"/>
      <w:bookmarkStart w:id="572" w:name="_Toc31439"/>
      <w:bookmarkStart w:id="573" w:name="_Toc21497"/>
      <w:bookmarkStart w:id="574" w:name="_Toc14067"/>
      <w:bookmarkStart w:id="575" w:name="_Toc6579"/>
      <w:bookmarkStart w:id="576" w:name="_Toc18081"/>
      <w:bookmarkStart w:id="577" w:name="_Toc25626"/>
      <w:bookmarkStart w:id="578" w:name="_Toc26517"/>
      <w:bookmarkStart w:id="579" w:name="_Toc27828"/>
      <w:bookmarkStart w:id="580" w:name="_Toc26360"/>
      <w:bookmarkStart w:id="581" w:name="_Toc16057"/>
      <w:bookmarkStart w:id="582" w:name="_Toc20772"/>
      <w:r>
        <w:rPr>
          <w:rFonts w:hint="default" w:ascii="Times New Roman" w:hAnsi="Times New Roman" w:eastAsia="方正黑体_GBK" w:cs="Times New Roman"/>
          <w:color w:val="auto"/>
          <w:sz w:val="32"/>
          <w:szCs w:val="32"/>
          <w:highlight w:val="none"/>
          <w:u w:val="none" w:color="auto"/>
          <w:lang w:val="en-US" w:eastAsia="zh-CN"/>
        </w:rPr>
        <w:t xml:space="preserve">第十四章 </w:t>
      </w:r>
      <w:bookmarkEnd w:id="571"/>
      <w:bookmarkEnd w:id="572"/>
      <w:bookmarkEnd w:id="573"/>
      <w:bookmarkEnd w:id="574"/>
      <w:bookmarkEnd w:id="575"/>
      <w:bookmarkEnd w:id="576"/>
      <w:bookmarkEnd w:id="577"/>
      <w:bookmarkEnd w:id="578"/>
      <w:bookmarkEnd w:id="579"/>
      <w:bookmarkStart w:id="583" w:name="_Toc29670"/>
      <w:bookmarkStart w:id="584" w:name="_Toc20560"/>
      <w:bookmarkStart w:id="585" w:name="_Toc5506"/>
      <w:bookmarkStart w:id="586" w:name="_Toc21078"/>
      <w:bookmarkStart w:id="587" w:name="_Toc30156"/>
      <w:bookmarkStart w:id="588" w:name="_Toc1472"/>
      <w:bookmarkStart w:id="589" w:name="_Toc15778"/>
      <w:bookmarkStart w:id="590" w:name="_Toc28395"/>
      <w:bookmarkStart w:id="591" w:name="_Toc23409"/>
      <w:bookmarkStart w:id="592" w:name="_Toc8485"/>
      <w:r>
        <w:rPr>
          <w:rFonts w:hint="default" w:ascii="Times New Roman" w:hAnsi="Times New Roman" w:eastAsia="方正黑体_GBK" w:cs="Times New Roman"/>
          <w:b w:val="0"/>
          <w:bCs w:val="0"/>
          <w:color w:val="auto"/>
          <w:sz w:val="32"/>
          <w:szCs w:val="32"/>
          <w:highlight w:val="none"/>
          <w:u w:val="none" w:color="auto"/>
          <w:lang w:val="en-US" w:eastAsia="zh-CN"/>
        </w:rPr>
        <w:t>加快建设融通智联城市感知系统</w:t>
      </w:r>
      <w:bookmarkEnd w:id="580"/>
      <w:bookmarkEnd w:id="581"/>
      <w:bookmarkEnd w:id="582"/>
      <w:bookmarkEnd w:id="583"/>
      <w:bookmarkEnd w:id="584"/>
      <w:bookmarkEnd w:id="585"/>
      <w:bookmarkEnd w:id="586"/>
      <w:bookmarkEnd w:id="587"/>
      <w:bookmarkEnd w:id="588"/>
      <w:bookmarkEnd w:id="589"/>
      <w:bookmarkEnd w:id="590"/>
      <w:bookmarkEnd w:id="591"/>
    </w:p>
    <w:p w14:paraId="21A163F3">
      <w:pPr>
        <w:keepNext w:val="0"/>
        <w:keepLines w:val="0"/>
        <w:pageBreakBefore w:val="0"/>
        <w:kinsoku/>
        <w:wordWrap/>
        <w:topLinePunct w:val="0"/>
        <w:autoSpaceDE/>
        <w:autoSpaceDN/>
        <w:bidi w:val="0"/>
        <w:adjustRightInd w:val="0"/>
        <w:snapToGrid w:val="0"/>
        <w:spacing w:line="600" w:lineRule="exact"/>
        <w:ind w:firstLine="640" w:firstLineChars="200"/>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持续</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完善城市信息模型平台，</w:t>
      </w:r>
      <w:r>
        <w:rPr>
          <w:rFonts w:hint="default" w:ascii="Times New Roman" w:hAnsi="Times New Roman" w:eastAsia="方正仿宋_GBK" w:cs="Times New Roman"/>
          <w:bCs/>
          <w:color w:val="auto"/>
          <w:sz w:val="32"/>
          <w:szCs w:val="32"/>
          <w:highlight w:val="none"/>
          <w:u w:val="none" w:color="auto"/>
          <w:lang w:val="en-US" w:eastAsia="zh-CN"/>
        </w:rPr>
        <w:t>迭代泛在、互联、智能、共享的</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空天地一体</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城市感知系统，</w:t>
      </w:r>
      <w:r>
        <w:rPr>
          <w:rFonts w:hint="default" w:ascii="Times New Roman" w:hAnsi="Times New Roman" w:eastAsia="方正仿宋_GBK" w:cs="Times New Roman"/>
          <w:b w:val="0"/>
          <w:bCs w:val="0"/>
          <w:color w:val="auto"/>
          <w:sz w:val="32"/>
          <w:szCs w:val="20"/>
          <w:highlight w:val="none"/>
          <w:u w:val="none" w:color="auto"/>
        </w:rPr>
        <w:t>推动城市公共设施数字化改造、智能化运营</w:t>
      </w:r>
      <w:r>
        <w:rPr>
          <w:rFonts w:hint="default" w:ascii="Times New Roman" w:hAnsi="Times New Roman" w:eastAsia="方正仿宋_GBK" w:cs="Times New Roman"/>
          <w:b w:val="0"/>
          <w:bCs w:val="0"/>
          <w:color w:val="auto"/>
          <w:sz w:val="32"/>
          <w:szCs w:val="20"/>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布局无人机、传感器、射频识别等融通智联感知集群，实现风险点位感知设备全覆盖、全监测</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提升云网数端用一体化安全防护能力。</w:t>
      </w:r>
      <w:r>
        <w:rPr>
          <w:rFonts w:hint="default" w:ascii="Times New Roman" w:hAnsi="Times New Roman" w:eastAsia="方正仿宋_GBK" w:cs="Times New Roman"/>
          <w:bCs/>
          <w:color w:val="auto"/>
          <w:sz w:val="32"/>
          <w:szCs w:val="32"/>
          <w:highlight w:val="none"/>
          <w:u w:val="none" w:color="auto"/>
        </w:rPr>
        <w:t>完善全域渗透、瞬感敏锐的感知资源库，推进感知资源与城市运行体征指标、风险点等深度关联</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提升智能识别和事件分析能力。加快建设虚实交互数字孪生城市，夯实城市智治底层支撑。</w:t>
      </w:r>
    </w:p>
    <w:p w14:paraId="4BECD05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593" w:name="_Toc30759"/>
      <w:bookmarkStart w:id="594" w:name="_Toc12257"/>
      <w:bookmarkStart w:id="595" w:name="_Toc11583"/>
      <w:bookmarkStart w:id="596" w:name="_Toc31720"/>
      <w:bookmarkStart w:id="597" w:name="_Toc12435"/>
      <w:bookmarkStart w:id="598" w:name="_Toc9976"/>
      <w:bookmarkStart w:id="599" w:name="_Toc19160"/>
      <w:bookmarkStart w:id="600" w:name="_Toc10322"/>
      <w:bookmarkStart w:id="601" w:name="_Toc1640"/>
      <w:bookmarkStart w:id="602" w:name="_Toc13275"/>
      <w:bookmarkStart w:id="603" w:name="_Toc1882"/>
      <w:bookmarkStart w:id="604" w:name="_Toc12251"/>
      <w:r>
        <w:rPr>
          <w:rFonts w:hint="default" w:ascii="Times New Roman" w:hAnsi="Times New Roman" w:eastAsia="方正黑体_GBK" w:cs="Times New Roman"/>
          <w:color w:val="auto"/>
          <w:sz w:val="32"/>
          <w:szCs w:val="32"/>
          <w:highlight w:val="none"/>
          <w:u w:val="none" w:color="auto"/>
          <w:lang w:val="en-US" w:eastAsia="zh-CN"/>
        </w:rPr>
        <w:t>第十五章 建设</w:t>
      </w:r>
      <w:bookmarkEnd w:id="592"/>
      <w:bookmarkEnd w:id="593"/>
      <w:bookmarkEnd w:id="594"/>
      <w:bookmarkEnd w:id="595"/>
      <w:bookmarkEnd w:id="596"/>
      <w:bookmarkEnd w:id="597"/>
      <w:r>
        <w:rPr>
          <w:rFonts w:hint="default" w:ascii="Times New Roman" w:hAnsi="Times New Roman" w:eastAsia="方正黑体_GBK" w:cs="Times New Roman"/>
          <w:color w:val="auto"/>
          <w:sz w:val="32"/>
          <w:szCs w:val="32"/>
          <w:highlight w:val="none"/>
          <w:u w:val="none" w:color="auto"/>
          <w:lang w:val="en-US" w:eastAsia="zh-CN"/>
        </w:rPr>
        <w:t>高效能城市运行实战体系</w:t>
      </w:r>
      <w:bookmarkEnd w:id="598"/>
      <w:bookmarkEnd w:id="599"/>
      <w:bookmarkEnd w:id="600"/>
      <w:bookmarkEnd w:id="601"/>
      <w:bookmarkEnd w:id="602"/>
      <w:bookmarkEnd w:id="603"/>
      <w:bookmarkEnd w:id="604"/>
    </w:p>
    <w:p w14:paraId="7BB724C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rPr>
        <w:t>强化公共数据平台</w:t>
      </w:r>
      <w:r>
        <w:rPr>
          <w:rFonts w:hint="default" w:ascii="Times New Roman" w:hAnsi="Times New Roman" w:eastAsia="方正仿宋_GBK" w:cs="Times New Roman"/>
          <w:b w:val="0"/>
          <w:bCs w:val="0"/>
          <w:color w:val="auto"/>
          <w:sz w:val="32"/>
          <w:szCs w:val="32"/>
          <w:highlight w:val="none"/>
          <w:u w:val="none" w:color="auto"/>
          <w:lang w:val="en-US" w:eastAsia="zh-CN"/>
        </w:rPr>
        <w:t>运用</w:t>
      </w:r>
      <w:r>
        <w:rPr>
          <w:rFonts w:hint="default" w:ascii="Times New Roman" w:hAnsi="Times New Roman" w:eastAsia="方正仿宋_GBK" w:cs="Times New Roman"/>
          <w:b w:val="0"/>
          <w:bCs w:val="0"/>
          <w:color w:val="auto"/>
          <w:sz w:val="32"/>
          <w:szCs w:val="32"/>
          <w:highlight w:val="none"/>
          <w:u w:val="none" w:color="auto"/>
        </w:rPr>
        <w:t>，建立以区级治理中枢为核心、街道社区贯通为支撑、跨区域协同为突破的整体智治模式，全面实现</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中心城区治理一张图</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w:t>
      </w:r>
    </w:p>
    <w:p w14:paraId="4CDD4E8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05" w:name="_Toc3853"/>
      <w:bookmarkStart w:id="606" w:name="_Toc31928"/>
      <w:bookmarkStart w:id="607" w:name="_Toc16272"/>
      <w:bookmarkStart w:id="608" w:name="_Toc7229"/>
      <w:bookmarkStart w:id="609" w:name="_Toc30916"/>
      <w:bookmarkStart w:id="610" w:name="_Toc16047"/>
      <w:bookmarkStart w:id="611" w:name="_Toc25080"/>
      <w:bookmarkStart w:id="612" w:name="_Toc1451"/>
      <w:bookmarkStart w:id="613" w:name="_Toc14489"/>
      <w:bookmarkStart w:id="614" w:name="_Toc21913"/>
      <w:bookmarkStart w:id="615" w:name="_Toc17026"/>
      <w:bookmarkStart w:id="616" w:name="_Toc22005"/>
      <w:r>
        <w:rPr>
          <w:rFonts w:hint="default" w:ascii="Times New Roman" w:hAnsi="Times New Roman" w:eastAsia="方正楷体_GBK" w:cs="Times New Roman"/>
          <w:b w:val="0"/>
          <w:bCs w:val="0"/>
          <w:color w:val="auto"/>
          <w:sz w:val="32"/>
          <w:szCs w:val="32"/>
          <w:highlight w:val="none"/>
          <w:u w:val="none" w:color="auto"/>
          <w:lang w:val="en-US" w:eastAsia="zh-CN"/>
        </w:rPr>
        <w:t>第一节 迭代一体化智能化公共数据平台</w:t>
      </w:r>
      <w:bookmarkEnd w:id="605"/>
      <w:bookmarkEnd w:id="606"/>
      <w:bookmarkEnd w:id="607"/>
      <w:bookmarkEnd w:id="608"/>
      <w:bookmarkEnd w:id="609"/>
      <w:bookmarkEnd w:id="610"/>
      <w:bookmarkEnd w:id="611"/>
      <w:bookmarkEnd w:id="612"/>
      <w:bookmarkEnd w:id="613"/>
      <w:bookmarkEnd w:id="614"/>
      <w:bookmarkEnd w:id="615"/>
      <w:bookmarkEnd w:id="616"/>
    </w:p>
    <w:p w14:paraId="5118FE5A">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lang w:eastAsia="zh-CN"/>
        </w:rPr>
      </w:pPr>
      <w:r>
        <w:rPr>
          <w:rFonts w:hint="default" w:ascii="Times New Roman" w:hAnsi="Times New Roman" w:eastAsia="方正仿宋_GBK" w:cs="Times New Roman"/>
          <w:bCs/>
          <w:color w:val="auto"/>
          <w:sz w:val="32"/>
          <w:szCs w:val="32"/>
          <w:highlight w:val="none"/>
          <w:u w:val="none" w:color="auto"/>
        </w:rPr>
        <w:t>全面对接全市一体化智能化公共数据平台，</w:t>
      </w:r>
      <w:r>
        <w:rPr>
          <w:rFonts w:hint="default" w:ascii="Times New Roman" w:hAnsi="Times New Roman" w:eastAsia="方正仿宋_GBK" w:cs="Times New Roman"/>
          <w:color w:val="auto"/>
          <w:spacing w:val="0"/>
          <w:sz w:val="32"/>
          <w:szCs w:val="32"/>
          <w:highlight w:val="none"/>
          <w:u w:val="none" w:color="auto"/>
          <w:shd w:val="clear" w:color="auto" w:fill="FFFFFF"/>
          <w:lang w:bidi="ar-SA"/>
        </w:rPr>
        <w:t>深化</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实施数据质量提升行动，加强</w:t>
      </w:r>
      <w:r>
        <w:rPr>
          <w:rFonts w:hint="default" w:ascii="Times New Roman" w:hAnsi="Times New Roman" w:eastAsia="方正仿宋_GBK" w:cs="Times New Roman"/>
          <w:color w:val="auto"/>
          <w:spacing w:val="0"/>
          <w:sz w:val="32"/>
          <w:szCs w:val="32"/>
          <w:highlight w:val="none"/>
          <w:u w:val="none" w:color="auto"/>
          <w:shd w:val="clear" w:color="auto" w:fill="FFFFFF"/>
          <w:lang w:bidi="ar-SA"/>
        </w:rPr>
        <w:t>数据资源开发利用，</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参与</w:t>
      </w:r>
      <w:r>
        <w:rPr>
          <w:rFonts w:hint="default" w:ascii="Times New Roman" w:hAnsi="Times New Roman" w:eastAsia="方正仿宋_GBK" w:cs="Times New Roman"/>
          <w:color w:val="auto"/>
          <w:spacing w:val="0"/>
          <w:sz w:val="32"/>
          <w:szCs w:val="32"/>
          <w:highlight w:val="none"/>
          <w:u w:val="none" w:color="auto"/>
          <w:shd w:val="clear" w:color="auto" w:fill="FFFFFF"/>
          <w:lang w:bidi="ar-SA"/>
        </w:rPr>
        <w:t>公共数据</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科学合法</w:t>
      </w:r>
      <w:r>
        <w:rPr>
          <w:rFonts w:hint="default" w:ascii="Times New Roman" w:hAnsi="Times New Roman" w:eastAsia="方正仿宋_GBK" w:cs="Times New Roman"/>
          <w:color w:val="auto"/>
          <w:spacing w:val="0"/>
          <w:sz w:val="32"/>
          <w:szCs w:val="32"/>
          <w:highlight w:val="none"/>
          <w:u w:val="none" w:color="auto"/>
          <w:shd w:val="clear" w:color="auto" w:fill="FFFFFF"/>
          <w:lang w:bidi="ar-SA"/>
        </w:rPr>
        <w:t>共享开放，</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融入全市打造</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高质量</w:t>
      </w:r>
      <w:r>
        <w:rPr>
          <w:rFonts w:hint="default" w:ascii="Times New Roman" w:hAnsi="Times New Roman" w:eastAsia="方正仿宋_GBK" w:cs="Times New Roman"/>
          <w:color w:val="auto"/>
          <w:spacing w:val="0"/>
          <w:sz w:val="32"/>
          <w:szCs w:val="32"/>
          <w:highlight w:val="none"/>
          <w:u w:val="none" w:color="auto"/>
          <w:shd w:val="clear" w:color="auto" w:fill="FFFFFF"/>
          <w:lang w:bidi="ar-SA"/>
        </w:rPr>
        <w:t>数据</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集和可信数据空间体系。</w:t>
      </w:r>
      <w:r>
        <w:rPr>
          <w:rFonts w:hint="default" w:ascii="Times New Roman" w:hAnsi="Times New Roman" w:eastAsia="方正仿宋_GBK" w:cs="Times New Roman"/>
          <w:bCs/>
          <w:color w:val="auto"/>
          <w:sz w:val="32"/>
          <w:szCs w:val="32"/>
          <w:highlight w:val="none"/>
          <w:u w:val="none" w:color="auto"/>
          <w:lang w:val="en-US" w:eastAsia="zh-CN"/>
        </w:rPr>
        <w:t>建设</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渝中特色数据要素市场</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，推动数据资产化、价值化</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shd w:val="clear" w:color="auto" w:fill="FFFFFF"/>
          <w:lang w:eastAsia="zh-CN" w:bidi="ar-SA"/>
        </w:rPr>
        <w:t>提升高质量数据归集共享赋能应用实战能力</w:t>
      </w:r>
      <w:r>
        <w:rPr>
          <w:rFonts w:hint="default" w:ascii="Times New Roman" w:hAnsi="Times New Roman" w:eastAsia="方正仿宋_GBK" w:cs="Times New Roman"/>
          <w:bCs/>
          <w:color w:val="auto"/>
          <w:sz w:val="32"/>
          <w:szCs w:val="32"/>
          <w:highlight w:val="none"/>
        </w:rPr>
        <w:t>，重点建设行业通识与专识数据集，</w:t>
      </w:r>
      <w:r>
        <w:rPr>
          <w:rFonts w:hint="default" w:ascii="Times New Roman" w:hAnsi="Times New Roman" w:eastAsia="方正仿宋_GBK" w:cs="Times New Roman"/>
          <w:bCs/>
          <w:color w:val="auto"/>
          <w:sz w:val="32"/>
          <w:szCs w:val="32"/>
          <w:highlight w:val="none"/>
          <w:u w:val="none" w:color="auto"/>
          <w:lang w:val="en-US" w:eastAsia="zh-CN"/>
        </w:rPr>
        <w:t>打造建筑本体等8个以上</w:t>
      </w:r>
      <w:r>
        <w:rPr>
          <w:rFonts w:hint="default" w:ascii="Times New Roman" w:hAnsi="Times New Roman" w:eastAsia="方正仿宋_GBK" w:cs="Times New Roman"/>
          <w:bCs/>
          <w:color w:val="auto"/>
          <w:sz w:val="32"/>
          <w:szCs w:val="32"/>
          <w:highlight w:val="none"/>
          <w:u w:val="none" w:color="auto"/>
        </w:rPr>
        <w:t>高质量数据</w:t>
      </w:r>
      <w:r>
        <w:rPr>
          <w:rFonts w:hint="default" w:ascii="Times New Roman" w:hAnsi="Times New Roman" w:eastAsia="方正仿宋_GBK" w:cs="Times New Roman"/>
          <w:bCs/>
          <w:color w:val="auto"/>
          <w:sz w:val="32"/>
          <w:szCs w:val="32"/>
          <w:highlight w:val="none"/>
          <w:u w:val="none" w:color="auto"/>
          <w:lang w:val="en-US" w:eastAsia="zh-CN"/>
        </w:rPr>
        <w:t>集，</w:t>
      </w:r>
      <w:r>
        <w:rPr>
          <w:rFonts w:hint="default" w:ascii="Times New Roman" w:hAnsi="Times New Roman" w:eastAsia="方正仿宋_GBK" w:cs="Times New Roman"/>
          <w:bCs/>
          <w:color w:val="auto"/>
          <w:sz w:val="32"/>
          <w:szCs w:val="32"/>
          <w:highlight w:val="none"/>
        </w:rPr>
        <w:t>培育企业可信数据空间，提升数据可用性与可信度。</w:t>
      </w:r>
      <w:r>
        <w:rPr>
          <w:rFonts w:hint="default" w:ascii="Times New Roman" w:hAnsi="Times New Roman" w:eastAsia="方正仿宋_GBK" w:cs="Times New Roman"/>
          <w:b w:val="0"/>
          <w:bCs w:val="0"/>
          <w:color w:val="auto"/>
          <w:sz w:val="32"/>
          <w:szCs w:val="32"/>
          <w:highlight w:val="none"/>
          <w:u w:val="none" w:color="auto"/>
          <w:lang w:val="en-US" w:eastAsia="zh-CN"/>
        </w:rPr>
        <w:t>完善智能化能力组件体系，落实</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渝快政</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渝快办</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服务功能优化拓展</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加强一体化智能化应用支撑体系建设，开放共性适用的应用支撑组件，为开发业务应用提供公共支撑。</w:t>
      </w:r>
    </w:p>
    <w:p w14:paraId="6817662A">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17" w:name="_Toc29908"/>
      <w:bookmarkStart w:id="618" w:name="_Toc9781"/>
      <w:bookmarkStart w:id="619" w:name="_Toc7821"/>
      <w:bookmarkStart w:id="620" w:name="_Toc24811"/>
      <w:bookmarkStart w:id="621" w:name="_Toc14917"/>
      <w:bookmarkStart w:id="622" w:name="_Toc11699"/>
      <w:bookmarkStart w:id="623" w:name="_Toc5614"/>
      <w:bookmarkStart w:id="624" w:name="_Toc12802"/>
      <w:bookmarkStart w:id="625" w:name="_Toc23464"/>
      <w:bookmarkStart w:id="626" w:name="_Toc12409"/>
      <w:bookmarkStart w:id="627" w:name="_Toc14199"/>
      <w:bookmarkStart w:id="628" w:name="_Toc970"/>
      <w:r>
        <w:rPr>
          <w:rFonts w:hint="default" w:ascii="Times New Roman" w:hAnsi="Times New Roman" w:eastAsia="方正楷体_GBK" w:cs="Times New Roman"/>
          <w:b w:val="0"/>
          <w:bCs w:val="0"/>
          <w:color w:val="auto"/>
          <w:sz w:val="32"/>
          <w:szCs w:val="32"/>
          <w:highlight w:val="none"/>
          <w:u w:val="none" w:color="auto"/>
          <w:lang w:val="en-US" w:eastAsia="zh-CN"/>
        </w:rPr>
        <w:t>第二节 强化数字化城市运行和治理中心主轴功能</w:t>
      </w:r>
      <w:bookmarkEnd w:id="617"/>
      <w:bookmarkEnd w:id="618"/>
      <w:bookmarkEnd w:id="619"/>
      <w:bookmarkEnd w:id="620"/>
      <w:bookmarkEnd w:id="621"/>
      <w:bookmarkEnd w:id="622"/>
      <w:bookmarkEnd w:id="623"/>
      <w:bookmarkEnd w:id="624"/>
      <w:bookmarkEnd w:id="625"/>
      <w:bookmarkEnd w:id="626"/>
      <w:bookmarkEnd w:id="627"/>
      <w:bookmarkEnd w:id="628"/>
    </w:p>
    <w:p w14:paraId="17BF22D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rPr>
        <w:t>强化区、街两级数字化城市运行和治理中心主轴作用，推进</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感知预警—决策处置—监督评价—复盘改进</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全链条闭环机制，全面提升治理实效。健全城市运行生命体征指标体系和关键绩效考核体系，迭代八大板块</w:t>
      </w:r>
      <w:r>
        <w:rPr>
          <w:rFonts w:hint="default" w:ascii="Times New Roman" w:hAnsi="Times New Roman" w:eastAsia="方正仿宋_GBK" w:cs="Times New Roman"/>
          <w:b w:val="0"/>
          <w:bCs w:val="0"/>
          <w:color w:val="auto"/>
          <w:sz w:val="32"/>
          <w:szCs w:val="32"/>
          <w:highlight w:val="none"/>
          <w:u w:val="none" w:color="auto"/>
          <w:lang w:val="en-US" w:eastAsia="zh-CN"/>
        </w:rPr>
        <w:t>及</w:t>
      </w:r>
      <w:r>
        <w:rPr>
          <w:rFonts w:hint="default" w:ascii="Times New Roman" w:hAnsi="Times New Roman" w:eastAsia="方正仿宋_GBK" w:cs="Times New Roman"/>
          <w:b w:val="0"/>
          <w:bCs w:val="0"/>
          <w:color w:val="auto"/>
          <w:sz w:val="32"/>
          <w:szCs w:val="32"/>
          <w:highlight w:val="none"/>
          <w:u w:val="none" w:color="auto"/>
        </w:rPr>
        <w:t>跑道矩阵</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实现多维指标动态监测，推动治理体系全程透明、全局协同。探索推进城市发展、服务、安全、治理等重点任务的两级中心全量部署与统筹调度，健全</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全灾种、全覆盖、扁平化、可视化</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的融合通信体系，构建跨层级、跨地域、跨部门的整体智治模式。建设数字驾驶舱与决策沙盘</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依托多源数据汇聚和可视化技术，打造</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智治驾驶舱</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，实现城市治理</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一屏掌控、一键调度</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，推动重大事件全链条指挥、全周期追踪。</w:t>
      </w:r>
    </w:p>
    <w:p w14:paraId="4B09937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629" w:name="_Toc14319"/>
      <w:bookmarkStart w:id="630" w:name="_Toc29214"/>
      <w:bookmarkStart w:id="631" w:name="_Toc31784"/>
      <w:bookmarkStart w:id="632" w:name="_Toc26279"/>
      <w:bookmarkStart w:id="633" w:name="_Toc23070"/>
      <w:bookmarkStart w:id="634" w:name="_Toc31507"/>
      <w:bookmarkStart w:id="635" w:name="_Toc31485"/>
      <w:bookmarkStart w:id="636" w:name="_Toc18998"/>
      <w:bookmarkStart w:id="637" w:name="_Toc6326"/>
      <w:bookmarkStart w:id="638" w:name="_Toc7087"/>
      <w:bookmarkStart w:id="639" w:name="_Toc2952"/>
      <w:bookmarkStart w:id="640" w:name="_Toc8467"/>
      <w:r>
        <w:rPr>
          <w:rFonts w:hint="default" w:ascii="Times New Roman" w:hAnsi="Times New Roman" w:eastAsia="方正黑体_GBK" w:cs="Times New Roman"/>
          <w:color w:val="auto"/>
          <w:sz w:val="32"/>
          <w:szCs w:val="32"/>
          <w:highlight w:val="none"/>
          <w:u w:val="none" w:color="auto"/>
          <w:lang w:val="en-US" w:eastAsia="zh-CN"/>
        </w:rPr>
        <w:fldChar w:fldCharType="begin"/>
      </w:r>
      <w:r>
        <w:rPr>
          <w:rFonts w:hint="default" w:ascii="Times New Roman" w:hAnsi="Times New Roman" w:eastAsia="方正黑体_GBK" w:cs="Times New Roman"/>
          <w:color w:val="auto"/>
          <w:sz w:val="32"/>
          <w:szCs w:val="32"/>
          <w:highlight w:val="none"/>
          <w:u w:val="none" w:color="auto"/>
          <w:lang w:val="en-US" w:eastAsia="zh-CN"/>
        </w:rPr>
        <w:instrText xml:space="preserve"> HYPERLINK \l _Toc30180 </w:instrText>
      </w:r>
      <w:r>
        <w:rPr>
          <w:rFonts w:hint="default" w:ascii="Times New Roman" w:hAnsi="Times New Roman" w:eastAsia="方正黑体_GBK" w:cs="Times New Roman"/>
          <w:color w:val="auto"/>
          <w:sz w:val="32"/>
          <w:szCs w:val="32"/>
          <w:highlight w:val="none"/>
          <w:u w:val="none" w:color="auto"/>
          <w:lang w:val="en-US" w:eastAsia="zh-CN"/>
        </w:rPr>
        <w:fldChar w:fldCharType="separate"/>
      </w:r>
      <w:r>
        <w:rPr>
          <w:rFonts w:hint="default" w:ascii="Times New Roman" w:hAnsi="Times New Roman" w:eastAsia="方正黑体_GBK" w:cs="Times New Roman"/>
          <w:color w:val="auto"/>
          <w:sz w:val="32"/>
          <w:szCs w:val="32"/>
          <w:highlight w:val="none"/>
          <w:u w:val="none" w:color="auto"/>
          <w:lang w:val="en-US" w:eastAsia="zh-CN"/>
        </w:rPr>
        <w:t>第十六章 加快打造人工智能应用场景</w:t>
      </w:r>
      <w:r>
        <w:rPr>
          <w:rFonts w:hint="default" w:ascii="Times New Roman" w:hAnsi="Times New Roman" w:eastAsia="方正黑体_GBK" w:cs="Times New Roman"/>
          <w:color w:val="auto"/>
          <w:sz w:val="32"/>
          <w:szCs w:val="32"/>
          <w:highlight w:val="none"/>
          <w:u w:val="none" w:color="auto"/>
          <w:lang w:val="en-US" w:eastAsia="zh-CN"/>
        </w:rPr>
        <w:fldChar w:fldCharType="end"/>
      </w:r>
      <w:bookmarkEnd w:id="629"/>
      <w:bookmarkEnd w:id="630"/>
      <w:bookmarkEnd w:id="631"/>
      <w:bookmarkEnd w:id="632"/>
      <w:bookmarkEnd w:id="633"/>
      <w:bookmarkEnd w:id="634"/>
      <w:bookmarkEnd w:id="635"/>
      <w:bookmarkEnd w:id="636"/>
      <w:bookmarkEnd w:id="637"/>
      <w:bookmarkEnd w:id="638"/>
      <w:bookmarkEnd w:id="639"/>
      <w:bookmarkEnd w:id="640"/>
    </w:p>
    <w:p w14:paraId="7364F901">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rPr>
        <w:t>聚焦新质生产力培育、民生福祉普惠、超大城市治理提升</w:t>
      </w:r>
      <w:r>
        <w:rPr>
          <w:rFonts w:hint="default" w:ascii="Times New Roman" w:hAnsi="Times New Roman" w:eastAsia="方正仿宋_GBK" w:cs="Times New Roman"/>
          <w:b w:val="0"/>
          <w:bCs w:val="0"/>
          <w:color w:val="auto"/>
          <w:sz w:val="32"/>
          <w:szCs w:val="32"/>
          <w:highlight w:val="none"/>
          <w:u w:val="none" w:color="auto"/>
          <w:lang w:val="en-US" w:eastAsia="zh-CN"/>
        </w:rPr>
        <w:t>等领域</w:t>
      </w:r>
      <w:r>
        <w:rPr>
          <w:rFonts w:hint="default" w:ascii="Times New Roman" w:hAnsi="Times New Roman" w:eastAsia="方正仿宋_GBK" w:cs="Times New Roman"/>
          <w:b w:val="0"/>
          <w:bCs w:val="0"/>
          <w:color w:val="auto"/>
          <w:sz w:val="32"/>
          <w:szCs w:val="32"/>
          <w:highlight w:val="none"/>
          <w:u w:val="none" w:color="auto"/>
        </w:rPr>
        <w:t>，清单化推进</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人工智能+</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场景建设，构建开放协同创新生态圈，打造人工智能应用先行区。</w:t>
      </w:r>
    </w:p>
    <w:p w14:paraId="7F46C93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41" w:name="_Toc5286"/>
      <w:bookmarkStart w:id="642" w:name="_Toc12758"/>
      <w:bookmarkStart w:id="643" w:name="_Toc201"/>
      <w:bookmarkStart w:id="644" w:name="_Toc5639"/>
      <w:bookmarkStart w:id="645" w:name="_Toc15704"/>
      <w:bookmarkStart w:id="646" w:name="_Toc2234"/>
      <w:bookmarkStart w:id="647" w:name="_Toc28626"/>
      <w:bookmarkStart w:id="648" w:name="_Toc31466"/>
      <w:bookmarkStart w:id="649" w:name="_Toc12994"/>
      <w:bookmarkStart w:id="650" w:name="_Toc29835"/>
      <w:bookmarkStart w:id="651" w:name="_Toc32389"/>
      <w:bookmarkStart w:id="652" w:name="_Toc27855"/>
      <w:r>
        <w:rPr>
          <w:rFonts w:hint="default" w:ascii="Times New Roman" w:hAnsi="Times New Roman" w:eastAsia="方正楷体_GBK" w:cs="Times New Roman"/>
          <w:b w:val="0"/>
          <w:bCs w:val="0"/>
          <w:color w:val="auto"/>
          <w:sz w:val="32"/>
          <w:szCs w:val="32"/>
          <w:highlight w:val="none"/>
          <w:u w:val="none" w:color="auto"/>
          <w:lang w:val="en-US" w:eastAsia="zh-CN"/>
        </w:rPr>
        <w:t>第一节 强化人工智能基础能力体系建设</w:t>
      </w:r>
      <w:bookmarkEnd w:id="641"/>
      <w:bookmarkEnd w:id="642"/>
      <w:bookmarkEnd w:id="643"/>
      <w:bookmarkEnd w:id="644"/>
      <w:bookmarkEnd w:id="645"/>
      <w:bookmarkEnd w:id="646"/>
      <w:bookmarkEnd w:id="647"/>
      <w:bookmarkEnd w:id="648"/>
      <w:bookmarkEnd w:id="649"/>
      <w:bookmarkEnd w:id="650"/>
      <w:bookmarkEnd w:id="651"/>
      <w:bookmarkEnd w:id="652"/>
    </w:p>
    <w:p w14:paraId="7097FFF4">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lang w:val="en-US"/>
        </w:rPr>
      </w:pPr>
      <w:r>
        <w:rPr>
          <w:rFonts w:hint="default" w:ascii="Times New Roman" w:hAnsi="Times New Roman" w:eastAsia="方正仿宋_GBK" w:cs="Times New Roman"/>
          <w:b w:val="0"/>
          <w:bCs w:val="0"/>
          <w:color w:val="auto"/>
          <w:sz w:val="32"/>
          <w:szCs w:val="32"/>
          <w:highlight w:val="none"/>
          <w:u w:val="none" w:color="auto"/>
        </w:rPr>
        <w:t>聚焦医疗、金融、教育</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商贸</w:t>
      </w:r>
      <w:r>
        <w:rPr>
          <w:rFonts w:hint="default" w:ascii="Times New Roman" w:hAnsi="Times New Roman" w:eastAsia="方正仿宋_GBK" w:cs="Times New Roman"/>
          <w:b w:val="0"/>
          <w:bCs w:val="0"/>
          <w:color w:val="auto"/>
          <w:sz w:val="32"/>
          <w:szCs w:val="32"/>
          <w:highlight w:val="none"/>
          <w:u w:val="none" w:color="auto"/>
        </w:rPr>
        <w:t>等重点领域</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布局建设一批跨学科实验室</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技术创新中心</w:t>
      </w:r>
      <w:r>
        <w:rPr>
          <w:rFonts w:hint="default" w:ascii="Times New Roman" w:hAnsi="Times New Roman" w:eastAsia="方正仿宋_GBK" w:cs="Times New Roman"/>
          <w:b w:val="0"/>
          <w:bCs w:val="0"/>
          <w:color w:val="auto"/>
          <w:sz w:val="32"/>
          <w:szCs w:val="32"/>
          <w:highlight w:val="none"/>
          <w:u w:val="none" w:color="auto"/>
          <w:lang w:val="en-US" w:eastAsia="zh-CN"/>
        </w:rPr>
        <w:t>和</w:t>
      </w:r>
      <w:r>
        <w:rPr>
          <w:rFonts w:hint="default" w:ascii="Times New Roman" w:hAnsi="Times New Roman" w:eastAsia="方正仿宋_GBK" w:cs="Times New Roman"/>
          <w:b w:val="0"/>
          <w:bCs w:val="0"/>
          <w:color w:val="auto"/>
          <w:sz w:val="32"/>
          <w:szCs w:val="32"/>
          <w:highlight w:val="none"/>
          <w:u w:val="none" w:color="auto"/>
        </w:rPr>
        <w:t>人工智能中试平台</w:t>
      </w:r>
      <w:r>
        <w:rPr>
          <w:rFonts w:hint="default"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rPr>
        <w:t>加大人工智能人才招引和自主培育力度，打造以灵魂人物为旗帜的创新团队和领军人才队伍。</w:t>
      </w:r>
      <w:r>
        <w:rPr>
          <w:rFonts w:hint="default" w:ascii="Times New Roman" w:hAnsi="Times New Roman" w:eastAsia="方正仿宋_GBK" w:cs="Times New Roman"/>
          <w:b w:val="0"/>
          <w:bCs w:val="0"/>
          <w:color w:val="auto"/>
          <w:sz w:val="32"/>
          <w:szCs w:val="32"/>
          <w:highlight w:val="none"/>
          <w:u w:val="none" w:color="auto"/>
          <w:lang w:val="en-US" w:eastAsia="zh-CN"/>
        </w:rPr>
        <w:t>鼓励开展深度学习框架、大模型架构及高效训练推理算法等技术创新。承接使用好数字重庆AI底座，建设一批垂类大模型。</w:t>
      </w:r>
      <w:r>
        <w:rPr>
          <w:rFonts w:hint="default" w:ascii="Times New Roman" w:hAnsi="Times New Roman" w:eastAsia="方正仿宋_GBK" w:cs="Times New Roman"/>
          <w:bCs/>
          <w:color w:val="auto"/>
          <w:sz w:val="32"/>
          <w:szCs w:val="32"/>
          <w:highlight w:val="none"/>
          <w:u w:val="none" w:color="auto"/>
        </w:rPr>
        <w:t>培育垂直领域治理小模型，形成多模型协同配合能力。</w:t>
      </w:r>
      <w:r>
        <w:rPr>
          <w:rFonts w:hint="default" w:ascii="Times New Roman" w:hAnsi="Times New Roman" w:eastAsia="方正仿宋_GBK" w:cs="Times New Roman"/>
          <w:b w:val="0"/>
          <w:bCs w:val="0"/>
          <w:color w:val="auto"/>
          <w:sz w:val="32"/>
          <w:szCs w:val="32"/>
          <w:highlight w:val="none"/>
          <w:u w:val="none" w:color="auto"/>
          <w:lang w:val="en-US" w:eastAsia="zh-CN"/>
        </w:rPr>
        <w:t>推动各类智能体和大模型跨域复合。</w:t>
      </w:r>
    </w:p>
    <w:p w14:paraId="1032D67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53" w:name="_Toc8014"/>
      <w:bookmarkStart w:id="654" w:name="_Toc13103"/>
      <w:bookmarkStart w:id="655" w:name="_Toc881"/>
      <w:bookmarkStart w:id="656" w:name="_Toc3794"/>
      <w:bookmarkStart w:id="657" w:name="_Toc6369"/>
      <w:bookmarkStart w:id="658" w:name="_Toc18059"/>
      <w:bookmarkStart w:id="659" w:name="_Toc4816"/>
      <w:bookmarkStart w:id="660" w:name="_Toc21600"/>
      <w:bookmarkStart w:id="661" w:name="_Toc20835"/>
      <w:bookmarkStart w:id="662" w:name="_Toc24827"/>
      <w:bookmarkStart w:id="663" w:name="_Toc23463"/>
      <w:bookmarkStart w:id="664" w:name="_Toc16882"/>
      <w:r>
        <w:rPr>
          <w:rFonts w:hint="default" w:ascii="Times New Roman" w:hAnsi="Times New Roman" w:eastAsia="方正楷体_GBK" w:cs="Times New Roman"/>
          <w:b w:val="0"/>
          <w:bCs w:val="0"/>
          <w:color w:val="auto"/>
          <w:sz w:val="32"/>
          <w:szCs w:val="32"/>
          <w:highlight w:val="none"/>
          <w:u w:val="none" w:color="auto"/>
          <w:lang w:val="en-US" w:eastAsia="zh-CN"/>
        </w:rPr>
        <w:t>第二节 实施</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人工智能+</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综合应用场景赋能行动</w:t>
      </w:r>
      <w:bookmarkEnd w:id="653"/>
      <w:bookmarkEnd w:id="654"/>
      <w:bookmarkEnd w:id="655"/>
      <w:bookmarkEnd w:id="656"/>
      <w:bookmarkEnd w:id="657"/>
      <w:bookmarkEnd w:id="658"/>
      <w:bookmarkEnd w:id="659"/>
      <w:bookmarkEnd w:id="660"/>
      <w:bookmarkEnd w:id="661"/>
      <w:bookmarkEnd w:id="662"/>
      <w:bookmarkEnd w:id="663"/>
      <w:bookmarkEnd w:id="664"/>
    </w:p>
    <w:p w14:paraId="282789A1">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Cs/>
          <w:color w:val="auto"/>
          <w:sz w:val="32"/>
          <w:szCs w:val="32"/>
          <w:highlight w:val="none"/>
          <w:u w:val="none" w:color="auto"/>
          <w:lang w:val="en-US" w:eastAsia="zh-CN"/>
        </w:rPr>
      </w:pPr>
      <w:r>
        <w:rPr>
          <w:rFonts w:hint="default" w:ascii="Times New Roman" w:hAnsi="Times New Roman" w:eastAsia="方正仿宋_GBK" w:cs="Times New Roman"/>
          <w:bCs/>
          <w:color w:val="auto"/>
          <w:sz w:val="32"/>
          <w:szCs w:val="32"/>
          <w:highlight w:val="none"/>
          <w:u w:val="none" w:color="auto"/>
        </w:rPr>
        <w:t>实施</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人工智能+新质生产力</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培育工程，加快人工智能驱动的科创模式应用，推进人工智能在科技创新、</w:t>
      </w:r>
      <w:r>
        <w:rPr>
          <w:rFonts w:hint="default" w:ascii="Times New Roman" w:hAnsi="Times New Roman" w:eastAsia="方正仿宋_GBK" w:cs="Times New Roman"/>
          <w:bCs/>
          <w:color w:val="auto"/>
          <w:sz w:val="32"/>
          <w:szCs w:val="32"/>
          <w:highlight w:val="none"/>
          <w:u w:val="none" w:color="auto"/>
          <w:lang w:val="en-US" w:eastAsia="zh-CN"/>
        </w:rPr>
        <w:t>产业发展</w:t>
      </w:r>
      <w:r>
        <w:rPr>
          <w:rFonts w:hint="default" w:ascii="Times New Roman" w:hAnsi="Times New Roman" w:eastAsia="方正仿宋_GBK" w:cs="Times New Roman"/>
          <w:bCs/>
          <w:color w:val="auto"/>
          <w:sz w:val="32"/>
          <w:szCs w:val="32"/>
          <w:highlight w:val="none"/>
          <w:u w:val="none" w:color="auto"/>
        </w:rPr>
        <w:t>中深度应用，推广CIM、TIM等数字孪生与设计工具</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打造</w:t>
      </w:r>
      <w:r>
        <w:rPr>
          <w:rFonts w:hint="default" w:ascii="Times New Roman" w:hAnsi="Times New Roman" w:eastAsia="方正仿宋_GBK" w:cs="Times New Roman"/>
          <w:bCs/>
          <w:color w:val="auto"/>
          <w:sz w:val="32"/>
          <w:szCs w:val="32"/>
          <w:highlight w:val="none"/>
          <w:u w:val="none" w:color="auto"/>
          <w:lang w:val="en-US" w:eastAsia="zh-CN"/>
        </w:rPr>
        <w:t>一批</w:t>
      </w:r>
      <w:r>
        <w:rPr>
          <w:rFonts w:hint="default" w:ascii="Times New Roman" w:hAnsi="Times New Roman" w:eastAsia="方正仿宋_GBK" w:cs="Times New Roman"/>
          <w:bCs/>
          <w:color w:val="auto"/>
          <w:sz w:val="32"/>
          <w:szCs w:val="32"/>
          <w:highlight w:val="none"/>
          <w:u w:val="none" w:color="auto"/>
        </w:rPr>
        <w:t>新质生产力综合应用场景。</w:t>
      </w:r>
      <w:r>
        <w:rPr>
          <w:rFonts w:hint="default" w:ascii="Times New Roman" w:hAnsi="Times New Roman" w:eastAsia="方正仿宋_GBK" w:cs="Times New Roman"/>
          <w:bCs/>
          <w:color w:val="auto"/>
          <w:sz w:val="32"/>
          <w:szCs w:val="32"/>
          <w:highlight w:val="none"/>
          <w:u w:val="none" w:color="auto"/>
          <w:lang w:val="en-US" w:eastAsia="zh-CN"/>
        </w:rPr>
        <w:t>实施</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人工智能+民生福祉</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普惠工程，围绕政务服务、教育、医疗、</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一老一小</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等领域，以垂直大模型和智能体为核心工具，探索推出一批</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小巧灵</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应用，打造3个以上民生福祉综合场景。</w:t>
      </w:r>
      <w:r>
        <w:rPr>
          <w:rFonts w:hint="default" w:ascii="Times New Roman" w:hAnsi="Times New Roman" w:eastAsia="方正仿宋_GBK" w:cs="Times New Roman"/>
          <w:bCs/>
          <w:color w:val="auto"/>
          <w:sz w:val="32"/>
          <w:szCs w:val="32"/>
          <w:highlight w:val="none"/>
          <w:u w:val="none" w:color="auto"/>
        </w:rPr>
        <w:t>实施</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人工智能+超大城市治理</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提升工程</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聚焦围绕城市规建运治一体化、城市综合交通智管、应急管理等重点领域，打造</w:t>
      </w:r>
      <w:r>
        <w:rPr>
          <w:rFonts w:hint="default" w:ascii="Times New Roman" w:hAnsi="Times New Roman" w:eastAsia="方正仿宋_GBK" w:cs="Times New Roman"/>
          <w:bCs/>
          <w:color w:val="auto"/>
          <w:sz w:val="32"/>
          <w:szCs w:val="32"/>
          <w:highlight w:val="none"/>
          <w:u w:val="none" w:color="auto"/>
          <w:lang w:val="en-US" w:eastAsia="zh-CN"/>
        </w:rPr>
        <w:t>3</w:t>
      </w:r>
      <w:r>
        <w:rPr>
          <w:rFonts w:hint="default" w:ascii="Times New Roman" w:hAnsi="Times New Roman" w:eastAsia="方正仿宋_GBK" w:cs="Times New Roman"/>
          <w:bCs/>
          <w:color w:val="auto"/>
          <w:sz w:val="32"/>
          <w:szCs w:val="32"/>
          <w:highlight w:val="none"/>
          <w:u w:val="none" w:color="auto"/>
        </w:rPr>
        <w:t>个以上现代化治理综合场景。</w:t>
      </w:r>
      <w:r>
        <w:rPr>
          <w:rFonts w:hint="default" w:ascii="Times New Roman" w:hAnsi="Times New Roman" w:eastAsia="方正仿宋_GBK" w:cs="Times New Roman"/>
          <w:bCs/>
          <w:color w:val="auto"/>
          <w:sz w:val="32"/>
          <w:szCs w:val="32"/>
          <w:highlight w:val="none"/>
          <w:u w:val="none" w:color="auto"/>
          <w:lang w:val="en-US" w:eastAsia="zh-CN"/>
        </w:rPr>
        <w:t>升级</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重点区域大客流智慧导控综合场景</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，迭代</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景区客流研判</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占道经营管理</w:t>
      </w:r>
      <w:r>
        <w:rPr>
          <w:rFonts w:hint="eastAsia" w:ascii="Times New Roman" w:hAnsi="Times New Roman" w:eastAsia="方正仿宋_GBK" w:cs="方正仿宋_GBK"/>
          <w:bCs/>
          <w:color w:val="auto"/>
          <w:sz w:val="32"/>
          <w:szCs w:val="32"/>
          <w:highlight w:val="none"/>
          <w:u w:val="none" w:color="auto"/>
          <w:lang w:val="en-US" w:eastAsia="zh-CN"/>
        </w:rPr>
        <w:t>”</w:t>
      </w:r>
      <w:r>
        <w:rPr>
          <w:rFonts w:hint="default" w:ascii="Times New Roman" w:hAnsi="Times New Roman" w:eastAsia="方正仿宋_GBK" w:cs="Times New Roman"/>
          <w:bCs/>
          <w:color w:val="auto"/>
          <w:sz w:val="32"/>
          <w:szCs w:val="32"/>
          <w:highlight w:val="none"/>
          <w:u w:val="none" w:color="auto"/>
          <w:lang w:val="en-US" w:eastAsia="zh-CN"/>
        </w:rPr>
        <w:t>等智能体。</w:t>
      </w:r>
    </w:p>
    <w:p w14:paraId="396FABA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黑体_GBK" w:cs="Times New Roman"/>
          <w:color w:val="auto"/>
          <w:sz w:val="32"/>
          <w:szCs w:val="32"/>
          <w:highlight w:val="none"/>
          <w:u w:val="none" w:color="auto"/>
          <w:lang w:val="en-US" w:eastAsia="zh-CN"/>
        </w:rPr>
      </w:pPr>
      <w:bookmarkStart w:id="665" w:name="_Toc30480"/>
      <w:bookmarkStart w:id="666" w:name="_Toc21537"/>
      <w:bookmarkStart w:id="667" w:name="_Toc30709"/>
      <w:bookmarkStart w:id="668" w:name="_Toc26312"/>
      <w:bookmarkStart w:id="669" w:name="_Toc32353"/>
      <w:bookmarkStart w:id="670" w:name="_Toc25359"/>
      <w:bookmarkStart w:id="671" w:name="_Toc19605"/>
      <w:bookmarkStart w:id="672" w:name="_Toc651"/>
      <w:bookmarkStart w:id="673" w:name="_Toc16305"/>
      <w:bookmarkStart w:id="674" w:name="_Toc10403"/>
      <w:bookmarkStart w:id="675" w:name="_Toc4894"/>
      <w:bookmarkStart w:id="676" w:name="_Toc3343"/>
      <w:r>
        <w:rPr>
          <w:rFonts w:hint="default" w:ascii="Times New Roman" w:hAnsi="Times New Roman" w:eastAsia="方正楷体_GBK" w:cs="Times New Roman"/>
          <w:b w:val="0"/>
          <w:bCs w:val="0"/>
          <w:color w:val="auto"/>
          <w:sz w:val="32"/>
          <w:szCs w:val="32"/>
          <w:highlight w:val="none"/>
          <w:u w:val="none" w:color="auto"/>
          <w:lang w:val="en-US" w:eastAsia="zh-CN"/>
        </w:rPr>
        <w:t>第三节 打造人工智能合作伙伴生态圈</w:t>
      </w:r>
      <w:bookmarkEnd w:id="665"/>
      <w:bookmarkEnd w:id="666"/>
      <w:bookmarkEnd w:id="667"/>
      <w:bookmarkEnd w:id="668"/>
      <w:bookmarkEnd w:id="669"/>
      <w:bookmarkEnd w:id="670"/>
      <w:bookmarkEnd w:id="671"/>
      <w:bookmarkEnd w:id="672"/>
      <w:bookmarkEnd w:id="673"/>
      <w:bookmarkEnd w:id="674"/>
      <w:bookmarkEnd w:id="675"/>
      <w:bookmarkEnd w:id="676"/>
    </w:p>
    <w:p w14:paraId="365BDEF8">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Cs/>
          <w:color w:val="auto"/>
          <w:sz w:val="32"/>
          <w:szCs w:val="32"/>
          <w:highlight w:val="none"/>
          <w:u w:val="none" w:color="auto"/>
        </w:rPr>
      </w:pPr>
      <w:r>
        <w:rPr>
          <w:rFonts w:hint="default" w:ascii="Times New Roman" w:hAnsi="Times New Roman" w:eastAsia="方正仿宋_GBK" w:cs="Times New Roman"/>
          <w:bCs/>
          <w:color w:val="auto"/>
          <w:sz w:val="32"/>
          <w:szCs w:val="32"/>
          <w:highlight w:val="none"/>
          <w:u w:val="none" w:color="auto"/>
          <w:lang w:val="en-US" w:eastAsia="zh-CN"/>
        </w:rPr>
        <w:t>积极融入</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人工智能+</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市域开源新生态，</w:t>
      </w:r>
      <w:r>
        <w:rPr>
          <w:rFonts w:hint="default" w:ascii="Times New Roman" w:hAnsi="Times New Roman" w:eastAsia="方正仿宋_GBK" w:cs="Times New Roman"/>
          <w:bCs/>
          <w:color w:val="auto"/>
          <w:sz w:val="32"/>
          <w:szCs w:val="32"/>
          <w:highlight w:val="none"/>
          <w:u w:val="none" w:color="auto"/>
          <w:lang w:val="en-US" w:eastAsia="zh-CN"/>
        </w:rPr>
        <w:t>培育引进一批</w:t>
      </w:r>
      <w:r>
        <w:rPr>
          <w:rFonts w:hint="default" w:ascii="Times New Roman" w:hAnsi="Times New Roman" w:eastAsia="方正仿宋_GBK" w:cs="Times New Roman"/>
          <w:bCs/>
          <w:color w:val="auto"/>
          <w:sz w:val="32"/>
          <w:szCs w:val="32"/>
          <w:highlight w:val="none"/>
          <w:u w:val="none" w:color="auto"/>
        </w:rPr>
        <w:t>创新平台和项目。依托</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母城AI算力港</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，联合企业共建开放实验室，打造AI+治理产业链，培育一批应用驱动型创新企业</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加快</w:t>
      </w:r>
      <w:r>
        <w:rPr>
          <w:rFonts w:hint="default" w:ascii="Times New Roman" w:hAnsi="Times New Roman" w:eastAsia="方正仿宋_GBK" w:cs="Times New Roman"/>
          <w:bCs/>
          <w:color w:val="auto"/>
          <w:sz w:val="32"/>
          <w:szCs w:val="32"/>
          <w:highlight w:val="none"/>
          <w:u w:val="none" w:color="auto"/>
          <w:lang w:val="en-US" w:eastAsia="zh-CN"/>
        </w:rPr>
        <w:t>完善人工智能创新生态</w:t>
      </w:r>
      <w:r>
        <w:rPr>
          <w:rFonts w:hint="default" w:ascii="Times New Roman" w:hAnsi="Times New Roman" w:eastAsia="方正仿宋_GBK" w:cs="Times New Roman"/>
          <w:bCs/>
          <w:color w:val="auto"/>
          <w:sz w:val="32"/>
          <w:szCs w:val="32"/>
          <w:highlight w:val="none"/>
          <w:u w:val="none" w:color="auto"/>
        </w:rPr>
        <w:t>。</w:t>
      </w:r>
      <w:r>
        <w:rPr>
          <w:rFonts w:hint="default" w:ascii="Times New Roman" w:hAnsi="Times New Roman" w:eastAsia="方正仿宋_GBK" w:cs="Times New Roman"/>
          <w:bCs/>
          <w:color w:val="auto"/>
          <w:sz w:val="32"/>
          <w:szCs w:val="32"/>
          <w:highlight w:val="none"/>
          <w:u w:val="none" w:color="auto"/>
          <w:lang w:val="en-US" w:eastAsia="zh-CN"/>
        </w:rPr>
        <w:t>积极策划</w:t>
      </w:r>
      <w:r>
        <w:rPr>
          <w:rFonts w:hint="default" w:ascii="Times New Roman" w:hAnsi="Times New Roman" w:eastAsia="方正仿宋_GBK" w:cs="Times New Roman"/>
          <w:bCs/>
          <w:color w:val="auto"/>
          <w:sz w:val="32"/>
          <w:szCs w:val="32"/>
          <w:highlight w:val="none"/>
          <w:u w:val="none" w:color="auto"/>
        </w:rPr>
        <w:t>开展大模型应用大赛、路演等活动，加强与新加坡等东南亚国家合作，依托中新（重庆）国际互联网数据专用通道，</w:t>
      </w:r>
      <w:r>
        <w:rPr>
          <w:rFonts w:hint="default" w:ascii="Times New Roman" w:hAnsi="Times New Roman" w:eastAsia="方正仿宋_GBK" w:cs="Times New Roman"/>
          <w:bCs/>
          <w:color w:val="auto"/>
          <w:sz w:val="32"/>
          <w:szCs w:val="32"/>
          <w:highlight w:val="none"/>
          <w:u w:val="none" w:color="auto"/>
          <w:lang w:val="en-US" w:eastAsia="zh-CN"/>
        </w:rPr>
        <w:t>推动中新（重庆）国际金融数据港为</w:t>
      </w:r>
      <w:r>
        <w:rPr>
          <w:rFonts w:hint="default" w:ascii="Times New Roman" w:hAnsi="Times New Roman" w:eastAsia="方正仿宋_GBK" w:cs="Times New Roman"/>
          <w:bCs/>
          <w:color w:val="auto"/>
          <w:sz w:val="32"/>
          <w:szCs w:val="32"/>
          <w:highlight w:val="none"/>
          <w:u w:val="none" w:color="auto"/>
        </w:rPr>
        <w:t>人工智能提供跨境数据及金融服务</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推动人工智能国际合作与开放共享。</w:t>
      </w:r>
      <w:r>
        <w:rPr>
          <w:rFonts w:hint="default" w:ascii="Times New Roman" w:hAnsi="Times New Roman" w:eastAsia="方正仿宋_GBK" w:cs="Times New Roman"/>
          <w:bCs/>
          <w:color w:val="auto"/>
          <w:sz w:val="32"/>
          <w:szCs w:val="32"/>
          <w:highlight w:val="none"/>
          <w:u w:val="none" w:color="auto"/>
          <w:lang w:val="en-US" w:eastAsia="zh-CN"/>
        </w:rPr>
        <w:t>推动</w:t>
      </w:r>
      <w:r>
        <w:rPr>
          <w:rFonts w:hint="default" w:ascii="Times New Roman" w:hAnsi="Times New Roman" w:eastAsia="方正仿宋_GBK" w:cs="Times New Roman"/>
          <w:bCs/>
          <w:color w:val="auto"/>
          <w:sz w:val="32"/>
          <w:szCs w:val="32"/>
          <w:highlight w:val="none"/>
          <w:u w:val="none" w:color="auto"/>
        </w:rPr>
        <w:t>人工智能普及教育体系，</w:t>
      </w:r>
      <w:r>
        <w:rPr>
          <w:rFonts w:hint="default" w:ascii="Times New Roman" w:hAnsi="Times New Roman" w:eastAsia="方正仿宋_GBK" w:cs="Times New Roman"/>
          <w:bCs/>
          <w:color w:val="auto"/>
          <w:sz w:val="32"/>
          <w:szCs w:val="32"/>
          <w:highlight w:val="none"/>
          <w:u w:val="none" w:color="auto"/>
          <w:lang w:val="en-US" w:eastAsia="zh-CN"/>
        </w:rPr>
        <w:t>支持</w:t>
      </w:r>
      <w:r>
        <w:rPr>
          <w:rFonts w:hint="default" w:ascii="Times New Roman" w:hAnsi="Times New Roman" w:eastAsia="方正仿宋_GBK" w:cs="Times New Roman"/>
          <w:bCs/>
          <w:color w:val="auto"/>
          <w:sz w:val="32"/>
          <w:szCs w:val="32"/>
          <w:highlight w:val="none"/>
          <w:u w:val="none" w:color="auto"/>
        </w:rPr>
        <w:t>在中小学开设人工智能通识教育课程。</w:t>
      </w:r>
    </w:p>
    <w:p w14:paraId="7A78658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677" w:name="_Toc30535"/>
      <w:bookmarkStart w:id="678" w:name="_Toc29784"/>
      <w:bookmarkStart w:id="679" w:name="_Toc23117"/>
      <w:bookmarkStart w:id="680" w:name="_Toc15024"/>
      <w:bookmarkStart w:id="681" w:name="_Toc17064"/>
      <w:bookmarkStart w:id="682" w:name="_Toc6153"/>
      <w:bookmarkStart w:id="683" w:name="_Toc28666"/>
      <w:bookmarkStart w:id="684" w:name="_Toc20230"/>
      <w:bookmarkStart w:id="685" w:name="_Toc1056"/>
      <w:bookmarkStart w:id="686" w:name="_Toc31168"/>
      <w:bookmarkStart w:id="687" w:name="_Toc19947"/>
      <w:bookmarkStart w:id="688" w:name="_Toc8177"/>
      <w:r>
        <w:rPr>
          <w:rFonts w:hint="default" w:ascii="Times New Roman" w:hAnsi="Times New Roman" w:eastAsia="方正黑体_GBK" w:cs="Times New Roman"/>
          <w:color w:val="auto"/>
          <w:sz w:val="32"/>
          <w:szCs w:val="32"/>
          <w:highlight w:val="none"/>
          <w:u w:val="none" w:color="auto"/>
          <w:lang w:val="en-US" w:eastAsia="zh-CN"/>
        </w:rPr>
        <w:t>第十七章 创新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大综合一体化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城市综合治理体制机制</w:t>
      </w:r>
      <w:bookmarkEnd w:id="677"/>
      <w:bookmarkEnd w:id="678"/>
      <w:bookmarkEnd w:id="679"/>
      <w:bookmarkEnd w:id="680"/>
      <w:bookmarkEnd w:id="681"/>
      <w:bookmarkEnd w:id="682"/>
      <w:bookmarkEnd w:id="683"/>
      <w:bookmarkEnd w:id="684"/>
      <w:bookmarkEnd w:id="685"/>
      <w:bookmarkEnd w:id="686"/>
      <w:bookmarkEnd w:id="687"/>
      <w:bookmarkEnd w:id="688"/>
    </w:p>
    <w:p w14:paraId="23B1FB5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rPr>
        <w:t>完善党建统领超大城市整体智治体系，</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配合打造规建运治一体化综合场景，</w:t>
      </w:r>
      <w:r>
        <w:rPr>
          <w:rFonts w:hint="default" w:ascii="Times New Roman" w:hAnsi="Times New Roman" w:eastAsia="方正仿宋_GBK" w:cs="Times New Roman"/>
          <w:color w:val="auto"/>
          <w:sz w:val="32"/>
          <w:szCs w:val="32"/>
          <w:highlight w:val="none"/>
          <w:u w:val="none" w:color="auto"/>
          <w:shd w:val="clear" w:color="auto" w:fill="FFFFFF"/>
        </w:rPr>
        <w:t>完善基层综合行政执法体制机制</w:t>
      </w:r>
      <w:r>
        <w:rPr>
          <w:rFonts w:hint="default" w:ascii="Times New Roman" w:hAnsi="Times New Roman" w:eastAsia="方正仿宋_GBK" w:cs="Times New Roman"/>
          <w:color w:val="auto"/>
          <w:sz w:val="32"/>
          <w:szCs w:val="32"/>
          <w:highlight w:val="none"/>
          <w:u w:val="none" w:color="auto"/>
          <w:shd w:val="clear" w:color="auto" w:fill="FFFFFF"/>
          <w:lang w:eastAsia="zh-CN"/>
        </w:rPr>
        <w:t>，</w:t>
      </w:r>
      <w:r>
        <w:rPr>
          <w:rFonts w:hint="default" w:ascii="Times New Roman" w:hAnsi="Times New Roman" w:eastAsia="方正仿宋_GBK" w:cs="Times New Roman"/>
          <w:color w:val="auto"/>
          <w:sz w:val="32"/>
          <w:szCs w:val="32"/>
          <w:highlight w:val="none"/>
          <w:u w:val="none" w:color="auto"/>
          <w:shd w:val="clear" w:color="auto" w:fill="FFFFFF"/>
        </w:rPr>
        <w:t>强化城市共建共治共享，</w:t>
      </w:r>
      <w:r>
        <w:rPr>
          <w:rFonts w:hint="default" w:ascii="Times New Roman" w:hAnsi="Times New Roman" w:eastAsia="方正仿宋_GBK" w:cs="Times New Roman"/>
          <w:b w:val="0"/>
          <w:bCs w:val="0"/>
          <w:color w:val="auto"/>
          <w:sz w:val="32"/>
          <w:szCs w:val="32"/>
          <w:highlight w:val="none"/>
          <w:u w:val="none" w:color="auto"/>
          <w:lang w:val="en-US" w:eastAsia="zh-CN"/>
        </w:rPr>
        <w:t>全面提升城市整体智治能力</w:t>
      </w:r>
      <w:r>
        <w:rPr>
          <w:rFonts w:hint="default" w:ascii="Times New Roman" w:hAnsi="Times New Roman" w:eastAsia="方正仿宋_GBK" w:cs="Times New Roman"/>
          <w:b w:val="0"/>
          <w:bCs w:val="0"/>
          <w:color w:val="auto"/>
          <w:sz w:val="32"/>
          <w:szCs w:val="32"/>
          <w:highlight w:val="none"/>
          <w:u w:val="none" w:color="auto"/>
        </w:rPr>
        <w:t>。</w:t>
      </w:r>
    </w:p>
    <w:p w14:paraId="6DB3DCE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689" w:name="_Toc2409"/>
      <w:bookmarkStart w:id="690" w:name="_Toc4300"/>
      <w:bookmarkStart w:id="691" w:name="_Toc23764"/>
      <w:bookmarkStart w:id="692" w:name="_Toc23346"/>
      <w:bookmarkStart w:id="693" w:name="_Toc27499"/>
      <w:bookmarkStart w:id="694" w:name="_Toc10335"/>
      <w:bookmarkStart w:id="695" w:name="_Toc7815"/>
      <w:bookmarkStart w:id="696" w:name="_Toc23244"/>
      <w:bookmarkStart w:id="697" w:name="_Toc2672"/>
      <w:bookmarkStart w:id="698" w:name="_Toc14412"/>
      <w:bookmarkStart w:id="699" w:name="_Toc27123"/>
      <w:bookmarkStart w:id="700" w:name="_Toc17186"/>
      <w:r>
        <w:rPr>
          <w:rFonts w:hint="default" w:ascii="Times New Roman" w:hAnsi="Times New Roman" w:eastAsia="方正楷体_GBK" w:cs="Times New Roman"/>
          <w:b w:val="0"/>
          <w:bCs w:val="0"/>
          <w:color w:val="auto"/>
          <w:sz w:val="32"/>
          <w:szCs w:val="32"/>
          <w:highlight w:val="none"/>
          <w:u w:val="none" w:color="auto"/>
          <w:lang w:val="en-US" w:eastAsia="zh-CN"/>
        </w:rPr>
        <w:t>第一节 健全城市规建运治一体管控机制</w:t>
      </w:r>
      <w:bookmarkEnd w:id="689"/>
      <w:bookmarkEnd w:id="690"/>
      <w:bookmarkEnd w:id="691"/>
      <w:bookmarkEnd w:id="692"/>
      <w:bookmarkEnd w:id="693"/>
      <w:bookmarkEnd w:id="694"/>
      <w:bookmarkEnd w:id="695"/>
      <w:bookmarkEnd w:id="696"/>
      <w:bookmarkEnd w:id="697"/>
      <w:bookmarkEnd w:id="698"/>
      <w:bookmarkEnd w:id="699"/>
      <w:bookmarkEnd w:id="700"/>
    </w:p>
    <w:p w14:paraId="04823D04">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构建</w:t>
      </w:r>
      <w:r>
        <w:rPr>
          <w:rFonts w:hint="eastAsia" w:ascii="Times New Roman" w:hAnsi="Times New Roman" w:eastAsia="方正仿宋_GBK" w:cs="方正仿宋_GBK"/>
          <w:color w:val="auto"/>
          <w:spacing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体检诊断—项目策动—建设更新—运营发展—协同治理</w:t>
      </w:r>
      <w:r>
        <w:rPr>
          <w:rFonts w:hint="eastAsia" w:ascii="Times New Roman" w:hAnsi="Times New Roman" w:eastAsia="方正仿宋_GBK" w:cs="方正仿宋_GBK"/>
          <w:color w:val="auto"/>
          <w:spacing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spacing w:val="0"/>
          <w:sz w:val="32"/>
          <w:szCs w:val="32"/>
          <w:highlight w:val="none"/>
          <w:u w:val="none" w:color="auto"/>
          <w:shd w:val="clear" w:color="auto" w:fill="FFFFFF"/>
          <w:lang w:val="en-US" w:eastAsia="zh-CN" w:bidi="ar-SA"/>
        </w:rPr>
        <w:t>城市工作数字化闭环新模式，打造规建运治一体化综合场景，</w:t>
      </w:r>
      <w:r>
        <w:rPr>
          <w:rFonts w:hint="default" w:ascii="Times New Roman" w:hAnsi="Times New Roman" w:eastAsia="方正仿宋_GBK" w:cs="Times New Roman"/>
          <w:b w:val="0"/>
          <w:bCs w:val="0"/>
          <w:color w:val="auto"/>
          <w:sz w:val="32"/>
          <w:szCs w:val="32"/>
          <w:highlight w:val="none"/>
          <w:u w:val="none" w:color="auto"/>
          <w:lang w:val="en-US" w:eastAsia="zh-CN"/>
        </w:rPr>
        <w:t>全面提升城市整体智治能力</w:t>
      </w:r>
      <w:r>
        <w:rPr>
          <w:rFonts w:hint="default" w:ascii="Times New Roman" w:hAnsi="Times New Roman" w:eastAsia="方正仿宋_GBK" w:cs="Times New Roman"/>
          <w:b w:val="0"/>
          <w:bCs w:val="0"/>
          <w:color w:val="auto"/>
          <w:sz w:val="32"/>
          <w:szCs w:val="32"/>
          <w:highlight w:val="none"/>
          <w:u w:val="none" w:color="auto"/>
        </w:rPr>
        <w:t>。建立</w:t>
      </w:r>
      <w:r>
        <w:rPr>
          <w:rFonts w:hint="eastAsia" w:ascii="Times New Roman" w:hAnsi="Times New Roman" w:eastAsia="方正仿宋_GBK" w:cs="Times New Roman"/>
          <w:b w:val="0"/>
          <w:bCs w:val="0"/>
          <w:color w:val="auto"/>
          <w:sz w:val="32"/>
          <w:szCs w:val="32"/>
          <w:highlight w:val="none"/>
          <w:u w:val="none" w:color="auto"/>
          <w:lang w:val="en-US" w:eastAsia="zh-CN"/>
        </w:rPr>
        <w:t>市政</w:t>
      </w:r>
      <w:r>
        <w:rPr>
          <w:rFonts w:hint="default" w:ascii="Times New Roman" w:hAnsi="Times New Roman" w:eastAsia="方正仿宋_GBK" w:cs="Times New Roman"/>
          <w:b w:val="0"/>
          <w:bCs w:val="0"/>
          <w:color w:val="auto"/>
          <w:sz w:val="32"/>
          <w:szCs w:val="32"/>
          <w:highlight w:val="none"/>
          <w:u w:val="none" w:color="auto"/>
        </w:rPr>
        <w:t>设施全生命周期闭环管理机制，推广无人机巡检、智能环卫车等作业新模式。</w:t>
      </w:r>
      <w:r>
        <w:rPr>
          <w:rFonts w:hint="default" w:ascii="Times New Roman" w:hAnsi="Times New Roman" w:eastAsia="方正仿宋_GBK" w:cs="Times New Roman"/>
          <w:bCs/>
          <w:color w:val="auto"/>
          <w:sz w:val="32"/>
          <w:szCs w:val="32"/>
          <w:highlight w:val="none"/>
          <w:u w:val="none" w:color="auto"/>
        </w:rPr>
        <w:t>聚焦老旧社区、临崖边坡、高层建筑、</w:t>
      </w:r>
      <w:r>
        <w:rPr>
          <w:rFonts w:hint="default" w:ascii="Times New Roman" w:hAnsi="Times New Roman" w:eastAsia="方正仿宋_GBK" w:cs="Times New Roman"/>
          <w:bCs/>
          <w:color w:val="auto"/>
          <w:sz w:val="32"/>
          <w:szCs w:val="32"/>
          <w:highlight w:val="none"/>
          <w:u w:val="none" w:color="auto"/>
          <w:lang w:val="en-US" w:eastAsia="zh-CN"/>
        </w:rPr>
        <w:t>地面塌陷、</w:t>
      </w:r>
      <w:r>
        <w:rPr>
          <w:rFonts w:hint="default" w:ascii="Times New Roman" w:hAnsi="Times New Roman" w:eastAsia="方正仿宋_GBK" w:cs="Times New Roman"/>
          <w:bCs/>
          <w:color w:val="auto"/>
          <w:sz w:val="32"/>
          <w:szCs w:val="32"/>
          <w:highlight w:val="none"/>
          <w:u w:val="none" w:color="auto"/>
        </w:rPr>
        <w:t>地下空间</w:t>
      </w:r>
      <w:r>
        <w:rPr>
          <w:rFonts w:hint="default" w:ascii="Times New Roman" w:hAnsi="Times New Roman" w:eastAsia="方正仿宋_GBK" w:cs="Times New Roman"/>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lang w:val="en-US" w:eastAsia="zh-CN"/>
        </w:rPr>
        <w:t>燃气管网</w:t>
      </w:r>
      <w:r>
        <w:rPr>
          <w:rFonts w:hint="default" w:ascii="Times New Roman" w:hAnsi="Times New Roman" w:eastAsia="方正仿宋_GBK" w:cs="Times New Roman"/>
          <w:bCs/>
          <w:color w:val="auto"/>
          <w:sz w:val="32"/>
          <w:szCs w:val="32"/>
          <w:highlight w:val="none"/>
          <w:u w:val="none" w:color="auto"/>
        </w:rPr>
        <w:t>等重点</w:t>
      </w:r>
      <w:r>
        <w:rPr>
          <w:rFonts w:hint="default" w:ascii="Times New Roman" w:hAnsi="Times New Roman" w:eastAsia="方正仿宋_GBK" w:cs="Times New Roman"/>
          <w:bCs/>
          <w:color w:val="auto"/>
          <w:sz w:val="32"/>
          <w:szCs w:val="32"/>
          <w:highlight w:val="none"/>
          <w:u w:val="none" w:color="auto"/>
          <w:lang w:val="en-US" w:eastAsia="zh-CN"/>
        </w:rPr>
        <w:t>领域</w:t>
      </w:r>
      <w:r>
        <w:rPr>
          <w:rFonts w:hint="default" w:ascii="Times New Roman" w:hAnsi="Times New Roman" w:eastAsia="方正仿宋_GBK" w:cs="Times New Roman"/>
          <w:bCs/>
          <w:color w:val="auto"/>
          <w:sz w:val="32"/>
          <w:szCs w:val="32"/>
          <w:highlight w:val="none"/>
          <w:u w:val="none" w:color="auto"/>
        </w:rPr>
        <w:t>，完成风险点</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一张图</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与分级台账，推动</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安全隐患—治理任务—整治进度—验收结果</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数字化闭环</w:t>
      </w:r>
      <w:r>
        <w:rPr>
          <w:rFonts w:hint="default" w:ascii="Times New Roman" w:hAnsi="Times New Roman" w:eastAsia="方正仿宋_GBK" w:cs="Times New Roman"/>
          <w:bCs/>
          <w:color w:val="auto"/>
          <w:sz w:val="32"/>
          <w:szCs w:val="32"/>
          <w:highlight w:val="none"/>
          <w:u w:val="none" w:color="auto"/>
          <w:lang w:val="en-US" w:eastAsia="zh-CN"/>
        </w:rPr>
        <w:t>管理</w:t>
      </w:r>
      <w:r>
        <w:rPr>
          <w:rFonts w:hint="default" w:ascii="Times New Roman" w:hAnsi="Times New Roman" w:eastAsia="方正仿宋_GBK" w:cs="Times New Roman"/>
          <w:bCs/>
          <w:color w:val="auto"/>
          <w:sz w:val="32"/>
          <w:szCs w:val="32"/>
          <w:highlight w:val="none"/>
          <w:u w:val="none" w:color="auto"/>
          <w:lang w:eastAsia="zh-CN"/>
        </w:rPr>
        <w:t>，</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水电气讯路桥隧轨</w:t>
      </w:r>
      <w:r>
        <w:rPr>
          <w:rFonts w:hint="eastAsia" w:ascii="Times New Roman" w:hAnsi="Times New Roman" w:eastAsia="方正仿宋_GBK" w:cs="方正仿宋_GBK"/>
          <w:bCs/>
          <w:color w:val="auto"/>
          <w:sz w:val="32"/>
          <w:szCs w:val="32"/>
          <w:highlight w:val="none"/>
          <w:u w:val="none" w:color="auto"/>
          <w:lang w:eastAsia="zh-CN"/>
        </w:rPr>
        <w:t>”</w:t>
      </w:r>
      <w:r>
        <w:rPr>
          <w:rFonts w:hint="default" w:ascii="Times New Roman" w:hAnsi="Times New Roman" w:eastAsia="方正仿宋_GBK" w:cs="Times New Roman"/>
          <w:bCs/>
          <w:color w:val="auto"/>
          <w:sz w:val="32"/>
          <w:szCs w:val="32"/>
          <w:highlight w:val="none"/>
          <w:u w:val="none" w:color="auto"/>
        </w:rPr>
        <w:t>数字化管理率</w:t>
      </w:r>
      <w:r>
        <w:rPr>
          <w:rFonts w:hint="default" w:ascii="Times New Roman" w:hAnsi="Times New Roman" w:eastAsia="方正仿宋_GBK" w:cs="Times New Roman"/>
          <w:bCs/>
          <w:color w:val="auto"/>
          <w:sz w:val="32"/>
          <w:szCs w:val="32"/>
          <w:highlight w:val="none"/>
          <w:u w:val="none" w:color="auto"/>
          <w:lang w:val="en-US" w:eastAsia="zh-CN"/>
        </w:rPr>
        <w:t>超过90%</w:t>
      </w:r>
      <w:r>
        <w:rPr>
          <w:rFonts w:hint="default" w:ascii="Times New Roman" w:hAnsi="Times New Roman" w:eastAsia="方正仿宋_GBK" w:cs="Times New Roman"/>
          <w:bCs/>
          <w:color w:val="auto"/>
          <w:sz w:val="32"/>
          <w:szCs w:val="32"/>
          <w:highlight w:val="none"/>
          <w:u w:val="none" w:color="auto"/>
        </w:rPr>
        <w:t>。构建一体化生命线感知监测平台，实现解放碑地下环道等关键节点毫秒级预警—自动研判—快速响应</w:t>
      </w:r>
      <w:r>
        <w:rPr>
          <w:rFonts w:hint="default" w:ascii="Times New Roman" w:hAnsi="Times New Roman" w:eastAsia="方正仿宋_GBK" w:cs="Times New Roman"/>
          <w:bCs/>
          <w:color w:val="auto"/>
          <w:sz w:val="32"/>
          <w:szCs w:val="32"/>
          <w:highlight w:val="none"/>
          <w:u w:val="none" w:color="auto"/>
          <w:lang w:eastAsia="zh-CN"/>
        </w:rPr>
        <w:t>。</w:t>
      </w:r>
    </w:p>
    <w:p w14:paraId="427D8CE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701" w:name="_Toc26046"/>
      <w:bookmarkStart w:id="702" w:name="_Toc6380"/>
      <w:bookmarkStart w:id="703" w:name="_Toc22497"/>
      <w:bookmarkStart w:id="704" w:name="_Toc17560"/>
      <w:bookmarkStart w:id="705" w:name="_Toc4154"/>
      <w:bookmarkStart w:id="706" w:name="_Toc8621"/>
      <w:bookmarkStart w:id="707" w:name="_Toc11984"/>
      <w:bookmarkStart w:id="708" w:name="_Toc30995"/>
      <w:bookmarkStart w:id="709" w:name="_Toc14097"/>
      <w:bookmarkStart w:id="710" w:name="_Toc28449"/>
      <w:bookmarkStart w:id="711" w:name="_Toc13721"/>
      <w:bookmarkStart w:id="712" w:name="_Toc4925"/>
      <w:r>
        <w:rPr>
          <w:rFonts w:hint="default" w:ascii="Times New Roman" w:hAnsi="Times New Roman" w:eastAsia="方正楷体_GBK" w:cs="Times New Roman"/>
          <w:b w:val="0"/>
          <w:bCs w:val="0"/>
          <w:color w:val="auto"/>
          <w:sz w:val="32"/>
          <w:szCs w:val="32"/>
          <w:highlight w:val="none"/>
          <w:u w:val="none" w:color="auto"/>
          <w:lang w:val="en-US" w:eastAsia="zh-CN"/>
        </w:rPr>
        <w:t xml:space="preserve">第二节 </w:t>
      </w:r>
      <w:r>
        <w:rPr>
          <w:rFonts w:hint="default" w:ascii="Times New Roman" w:hAnsi="Times New Roman" w:eastAsia="方正楷体_GBK" w:cs="Times New Roman"/>
          <w:color w:val="auto"/>
          <w:sz w:val="32"/>
          <w:szCs w:val="32"/>
          <w:highlight w:val="none"/>
          <w:u w:val="none" w:color="auto"/>
          <w:lang w:val="en-US" w:eastAsia="zh-CN"/>
        </w:rPr>
        <w:t>深化</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楷体_GBK" w:cs="Times New Roman"/>
          <w:color w:val="auto"/>
          <w:sz w:val="32"/>
          <w:szCs w:val="32"/>
          <w:highlight w:val="none"/>
          <w:u w:val="none" w:color="auto"/>
        </w:rPr>
        <w:t>大综合一体化</w:t>
      </w:r>
      <w:bookmarkEnd w:id="701"/>
      <w:bookmarkEnd w:id="702"/>
      <w:bookmarkEnd w:id="703"/>
      <w:bookmarkEnd w:id="704"/>
      <w:bookmarkEnd w:id="705"/>
      <w:bookmarkEnd w:id="706"/>
      <w:bookmarkEnd w:id="707"/>
      <w:bookmarkEnd w:id="708"/>
      <w:bookmarkEnd w:id="709"/>
      <w:bookmarkEnd w:id="710"/>
      <w:bookmarkEnd w:id="711"/>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楷体_GBK" w:cs="Times New Roman"/>
          <w:color w:val="auto"/>
          <w:sz w:val="32"/>
          <w:szCs w:val="32"/>
          <w:highlight w:val="none"/>
          <w:u w:val="none" w:color="auto"/>
          <w:lang w:val="en-US" w:eastAsia="zh-CN"/>
        </w:rPr>
        <w:t>行政执法改革</w:t>
      </w:r>
      <w:bookmarkEnd w:id="712"/>
    </w:p>
    <w:p w14:paraId="4AF19A6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坚持综合执法事项全量覆盖、动态调整，构建综合集成的超大城市行政执法职责体系。</w:t>
      </w:r>
      <w:r>
        <w:rPr>
          <w:rFonts w:hint="default" w:ascii="Times New Roman" w:hAnsi="Times New Roman" w:eastAsia="方正仿宋_GBK" w:cs="Times New Roman"/>
          <w:color w:val="auto"/>
          <w:sz w:val="32"/>
          <w:szCs w:val="32"/>
          <w:lang w:val="en-US" w:eastAsia="zh-CN"/>
        </w:rPr>
        <w:t>健全街道</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一支队伍管执法</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机制，实现</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一体统筹、集中高效</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。完善</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信用+执法</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机制，迭代执法风险预警和信用惩戒模型，推动精准化、柔性化、闭环化执法。规范涉企行政执法，探索</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监管+服务</w:t>
      </w:r>
      <w:r>
        <w:rPr>
          <w:rFonts w:hint="eastAsia" w:ascii="Times New Roman" w:hAnsi="Times New Roman" w:eastAsia="方正仿宋_GBK" w:cs="方正仿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非现场监管模式，推进涉企执法检查减量化、规范化。构建多元行政执法协调监督体系，</w:t>
      </w:r>
      <w:r>
        <w:rPr>
          <w:rFonts w:hint="default" w:ascii="Times New Roman" w:hAnsi="Times New Roman" w:eastAsia="方正仿宋_GBK" w:cs="Times New Roman"/>
          <w:i w:val="0"/>
          <w:iCs w:val="0"/>
          <w:caps w:val="0"/>
          <w:color w:val="auto"/>
          <w:spacing w:val="0"/>
          <w:sz w:val="32"/>
          <w:szCs w:val="32"/>
          <w:shd w:val="clear"/>
        </w:rPr>
        <w:t>推动执法部门全面落实行政执法责任制、强化执法监督刚性约束。迭代升级综合</w:t>
      </w:r>
      <w:r>
        <w:rPr>
          <w:rFonts w:hint="default" w:ascii="Times New Roman" w:hAnsi="Times New Roman" w:eastAsia="方正仿宋_GBK" w:cs="Times New Roman"/>
          <w:i w:val="0"/>
          <w:iCs w:val="0"/>
          <w:caps w:val="0"/>
          <w:color w:val="auto"/>
          <w:spacing w:val="0"/>
          <w:sz w:val="32"/>
          <w:szCs w:val="32"/>
          <w:shd w:val="clear"/>
          <w:lang w:val="en-US" w:eastAsia="zh-CN"/>
        </w:rPr>
        <w:t>行政</w:t>
      </w:r>
      <w:r>
        <w:rPr>
          <w:rFonts w:hint="default" w:ascii="Times New Roman" w:hAnsi="Times New Roman" w:eastAsia="方正仿宋_GBK" w:cs="Times New Roman"/>
          <w:i w:val="0"/>
          <w:iCs w:val="0"/>
          <w:caps w:val="0"/>
          <w:color w:val="auto"/>
          <w:spacing w:val="0"/>
          <w:sz w:val="32"/>
          <w:szCs w:val="32"/>
          <w:shd w:val="clear"/>
        </w:rPr>
        <w:t>执法场景，聚焦城市商圈、公园栈道、住宅小区等重点区域</w:t>
      </w:r>
      <w:r>
        <w:rPr>
          <w:rFonts w:hint="default" w:ascii="Times New Roman" w:hAnsi="Times New Roman" w:eastAsia="方正仿宋_GBK" w:cs="Times New Roman"/>
          <w:i w:val="0"/>
          <w:iCs w:val="0"/>
          <w:caps w:val="0"/>
          <w:color w:val="auto"/>
          <w:spacing w:val="0"/>
          <w:sz w:val="32"/>
          <w:szCs w:val="32"/>
          <w:shd w:val="clear"/>
          <w:lang w:eastAsia="zh-CN"/>
        </w:rPr>
        <w:t>，</w:t>
      </w:r>
      <w:r>
        <w:rPr>
          <w:rFonts w:hint="default" w:ascii="Times New Roman" w:hAnsi="Times New Roman" w:eastAsia="方正仿宋_GBK" w:cs="Times New Roman"/>
          <w:i w:val="0"/>
          <w:iCs w:val="0"/>
          <w:caps w:val="0"/>
          <w:color w:val="auto"/>
          <w:spacing w:val="0"/>
          <w:sz w:val="32"/>
          <w:szCs w:val="32"/>
          <w:shd w:val="clear"/>
        </w:rPr>
        <w:t>打造</w:t>
      </w:r>
      <w:r>
        <w:rPr>
          <w:rFonts w:hint="default" w:ascii="Times New Roman" w:hAnsi="Times New Roman" w:eastAsia="方正仿宋_GBK" w:cs="Times New Roman"/>
          <w:color w:val="auto"/>
          <w:sz w:val="32"/>
          <w:szCs w:val="32"/>
          <w:lang w:val="en-US" w:eastAsia="zh-CN"/>
        </w:rPr>
        <w:t>综合行政执法新模式</w:t>
      </w:r>
      <w:r>
        <w:rPr>
          <w:rFonts w:hint="default" w:ascii="Times New Roman" w:hAnsi="Times New Roman" w:eastAsia="方正仿宋_GBK" w:cs="Times New Roman"/>
          <w:i w:val="0"/>
          <w:iCs w:val="0"/>
          <w:caps w:val="0"/>
          <w:color w:val="auto"/>
          <w:spacing w:val="0"/>
          <w:sz w:val="32"/>
          <w:szCs w:val="32"/>
          <w:shd w:val="clear"/>
        </w:rPr>
        <w:t>。</w:t>
      </w:r>
    </w:p>
    <w:p w14:paraId="619599F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黑体_GBK" w:cs="Times New Roman"/>
          <w:color w:val="auto"/>
          <w:sz w:val="32"/>
          <w:szCs w:val="32"/>
          <w:highlight w:val="none"/>
          <w:u w:val="none" w:color="auto"/>
          <w:lang w:val="en-US" w:eastAsia="zh-CN"/>
        </w:rPr>
      </w:pPr>
      <w:bookmarkStart w:id="713" w:name="_Toc26698"/>
      <w:bookmarkStart w:id="714" w:name="_Toc28597"/>
      <w:bookmarkStart w:id="715" w:name="_Toc15910"/>
      <w:bookmarkStart w:id="716" w:name="_Toc24526"/>
      <w:bookmarkStart w:id="717" w:name="_Toc1160"/>
      <w:bookmarkStart w:id="718" w:name="_Toc1203"/>
      <w:bookmarkStart w:id="719" w:name="_Toc4442"/>
      <w:bookmarkStart w:id="720" w:name="_Toc4926"/>
      <w:bookmarkStart w:id="721" w:name="_Toc5839"/>
      <w:bookmarkStart w:id="722" w:name="_Toc1858"/>
      <w:bookmarkStart w:id="723" w:name="_Toc19445"/>
      <w:bookmarkStart w:id="724" w:name="_Toc15868"/>
      <w:r>
        <w:rPr>
          <w:rFonts w:hint="default" w:ascii="Times New Roman" w:hAnsi="Times New Roman" w:eastAsia="方正楷体_GBK" w:cs="Times New Roman"/>
          <w:b w:val="0"/>
          <w:bCs w:val="0"/>
          <w:color w:val="auto"/>
          <w:sz w:val="32"/>
          <w:szCs w:val="32"/>
          <w:highlight w:val="none"/>
          <w:u w:val="none" w:color="auto"/>
          <w:lang w:val="en-US" w:eastAsia="zh-CN"/>
        </w:rPr>
        <w:t>第三节 健全城市共建共治共享机制</w:t>
      </w:r>
      <w:bookmarkEnd w:id="713"/>
      <w:bookmarkEnd w:id="714"/>
      <w:bookmarkEnd w:id="715"/>
      <w:bookmarkEnd w:id="716"/>
      <w:bookmarkEnd w:id="717"/>
      <w:bookmarkEnd w:id="718"/>
      <w:bookmarkEnd w:id="719"/>
      <w:bookmarkEnd w:id="720"/>
      <w:bookmarkEnd w:id="721"/>
      <w:bookmarkEnd w:id="722"/>
      <w:bookmarkEnd w:id="723"/>
      <w:bookmarkEnd w:id="724"/>
    </w:p>
    <w:p w14:paraId="10848CC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cs="Times New Roman"/>
          <w:color w:val="auto"/>
          <w:highlight w:val="none"/>
          <w:u w:val="none" w:color="auto"/>
        </w:rPr>
      </w:pPr>
      <w:r>
        <w:rPr>
          <w:rFonts w:hint="default" w:ascii="Times New Roman" w:hAnsi="Times New Roman" w:eastAsia="方正仿宋_GBK" w:cs="Times New Roman"/>
          <w:bCs/>
          <w:color w:val="auto"/>
          <w:sz w:val="32"/>
          <w:szCs w:val="32"/>
          <w:highlight w:val="none"/>
          <w:u w:val="none" w:color="auto"/>
          <w:lang w:val="en-US" w:eastAsia="zh-CN"/>
        </w:rPr>
        <w:t>推动城市治理</w:t>
      </w:r>
      <w:r>
        <w:rPr>
          <w:rFonts w:hint="default" w:ascii="Times New Roman" w:hAnsi="Times New Roman" w:eastAsia="方正仿宋_GBK" w:cs="Times New Roman"/>
          <w:b w:val="0"/>
          <w:bCs w:val="0"/>
          <w:color w:val="auto"/>
          <w:sz w:val="32"/>
          <w:szCs w:val="32"/>
          <w:highlight w:val="none"/>
          <w:u w:val="none" w:color="auto"/>
        </w:rPr>
        <w:t>问计于民、问需于民、问效于民，构建共建共治共享城市综合治理新生态</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迭代完善</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eastAsia="zh-CN"/>
        </w:rPr>
        <w:t>1+8+N+11</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治理指挥体系，推动区级治理中枢与街道、社区治理平台纵向贯通，</w:t>
      </w:r>
      <w:r>
        <w:rPr>
          <w:rFonts w:hint="default" w:ascii="Times New Roman" w:hAnsi="Times New Roman" w:eastAsia="方正仿宋_GBK" w:cs="Times New Roman"/>
          <w:bCs/>
          <w:color w:val="auto"/>
          <w:sz w:val="32"/>
          <w:szCs w:val="32"/>
          <w:highlight w:val="none"/>
        </w:rPr>
        <w:t>实现高频案件30分钟响应。</w:t>
      </w:r>
      <w:r>
        <w:rPr>
          <w:rFonts w:hint="default" w:ascii="Times New Roman" w:hAnsi="Times New Roman" w:eastAsia="方正仿宋_GBK" w:cs="Times New Roman"/>
          <w:b w:val="0"/>
          <w:bCs w:val="0"/>
          <w:color w:val="auto"/>
          <w:sz w:val="32"/>
          <w:szCs w:val="32"/>
          <w:highlight w:val="none"/>
          <w:u w:val="none" w:color="auto"/>
        </w:rPr>
        <w:t>推动</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民呼我为</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、12345热线、网格上报等渠道与治理中心融合，形成</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一口受理、一网统管、全域响应</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的运行机制。加强社区工作者</w:t>
      </w:r>
      <w:r>
        <w:rPr>
          <w:rFonts w:hint="default" w:ascii="Times New Roman" w:hAnsi="Times New Roman" w:eastAsia="方正仿宋_GBK" w:cs="Times New Roman"/>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社会工作专业人员</w:t>
      </w:r>
      <w:r>
        <w:rPr>
          <w:rFonts w:hint="default" w:ascii="Times New Roman" w:hAnsi="Times New Roman" w:eastAsia="方正仿宋_GBK" w:cs="Times New Roman"/>
          <w:b w:val="0"/>
          <w:bCs w:val="0"/>
          <w:color w:val="auto"/>
          <w:sz w:val="32"/>
          <w:szCs w:val="32"/>
          <w:highlight w:val="none"/>
          <w:u w:val="none" w:color="auto"/>
          <w:lang w:val="en-US" w:eastAsia="zh-CN"/>
        </w:rPr>
        <w:t>队伍</w:t>
      </w:r>
      <w:r>
        <w:rPr>
          <w:rFonts w:hint="default" w:ascii="Times New Roman" w:hAnsi="Times New Roman" w:eastAsia="方正仿宋_GBK" w:cs="Times New Roman"/>
          <w:b w:val="0"/>
          <w:bCs w:val="0"/>
          <w:color w:val="auto"/>
          <w:sz w:val="32"/>
          <w:szCs w:val="32"/>
          <w:highlight w:val="none"/>
          <w:u w:val="none" w:color="auto"/>
        </w:rPr>
        <w:t>建设。探索城市运行</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群众体验官</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制度，推进</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惠民有感</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城市治理量化评价。率先推进毗邻区域</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共融圈</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rPr>
        <w:t>共建，推动公共设施、停车资源、养老服务跨街道共享，打造跨片区治理新样板。</w:t>
      </w:r>
    </w:p>
    <w:bookmarkEnd w:id="559"/>
    <w:p w14:paraId="64AB7F28">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专栏6  超大城市中心城区现代化治理重点项目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EF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522" w:type="dxa"/>
          </w:tcPr>
          <w:p w14:paraId="42B65D58">
            <w:pPr>
              <w:keepNext w:val="0"/>
              <w:keepLines w:val="0"/>
              <w:pageBreakBefore w:val="0"/>
              <w:widowControl w:val="0"/>
              <w:numPr>
                <w:ilvl w:val="-1"/>
                <w:numId w:val="0"/>
              </w:numPr>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1.城市感知系统建设。</w:t>
            </w:r>
            <w:r>
              <w:rPr>
                <w:rFonts w:hint="default" w:ascii="Times New Roman" w:hAnsi="Times New Roman" w:eastAsia="方正仿宋_GBK" w:cs="Times New Roman"/>
                <w:color w:val="auto"/>
                <w:sz w:val="24"/>
                <w:szCs w:val="24"/>
                <w:highlight w:val="none"/>
                <w:u w:val="none" w:color="auto"/>
                <w:vertAlign w:val="baseline"/>
                <w:lang w:val="en-US" w:eastAsia="zh-CN"/>
              </w:rPr>
              <w:t>建成渝中区城市运行</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数字孪生平台</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，迭代升级渝中智慧中枢，推进基层治理指挥中心数字化改造、市政设施结构安全预警能力提升、化粪池安全监测设备完善升级等。</w:t>
            </w:r>
          </w:p>
          <w:p w14:paraId="22A70325">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人工智能+</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示范应用场景</w:t>
            </w:r>
            <w:r>
              <w:rPr>
                <w:rFonts w:hint="default" w:ascii="Times New Roman" w:hAnsi="Times New Roman" w:eastAsia="方正仿宋_GBK" w:cs="Times New Roman"/>
                <w:color w:val="auto"/>
                <w:sz w:val="24"/>
                <w:szCs w:val="24"/>
                <w:highlight w:val="none"/>
                <w:u w:val="none" w:color="auto"/>
                <w:vertAlign w:val="baseline"/>
                <w:lang w:val="en-US" w:eastAsia="zh-CN"/>
              </w:rPr>
              <w:t>。</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人工智能+新质生产力</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培育工程，推进人工智能在科技创新、产业发展中深度应用。</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人工智能+民生福祉</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普惠工程，升级</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重点区域大客流智慧导控综合场景</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，迭代</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景区客流研判</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占道经营管理</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等智能体，推动智能终端、服务机器人在公共服务与应急场景中的普及应用，打造融合政务、生活、商业等多种服务的</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数字生活门户</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人工智能+超大城市治理</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提升工程，深化</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渝中消防</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数字管线</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智慧安</w:t>
            </w:r>
            <w:r>
              <w:rPr>
                <w:rFonts w:hint="default" w:ascii="Times New Roman" w:hAnsi="Times New Roman" w:eastAsia="方正仿宋_GBK" w:cs="Times New Roman"/>
                <w:color w:val="auto"/>
                <w:sz w:val="24"/>
                <w:szCs w:val="24"/>
                <w:highlight w:val="none"/>
                <w:u w:val="none" w:color="auto"/>
                <w:vertAlign w:val="baseline"/>
                <w:lang w:val="en-US" w:eastAsia="zh-CN"/>
              </w:rPr>
              <w:t>防</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等标志性场景建设，实现消防、水电气热、地下管网等城市生命线的全域可视、动态监测和风险预警。</w:t>
            </w:r>
          </w:p>
          <w:p w14:paraId="040A1094">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3.高质量数据集和可信数据空间建设。</w:t>
            </w:r>
            <w:r>
              <w:rPr>
                <w:rFonts w:hint="default" w:ascii="Times New Roman" w:hAnsi="Times New Roman" w:eastAsia="方正仿宋_GBK" w:cs="Times New Roman"/>
                <w:color w:val="auto"/>
                <w:sz w:val="24"/>
                <w:szCs w:val="24"/>
                <w:highlight w:val="none"/>
                <w:u w:val="none" w:color="auto"/>
                <w:vertAlign w:val="baseline"/>
                <w:lang w:val="en-US" w:eastAsia="zh-CN"/>
              </w:rPr>
              <w:t>建设建筑本体、肿瘤诊疗、医学影像、钢铁制造业等高质量数据集；</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灵基智城</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金睛视觉</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灵言妙语</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深思</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系列等垂类大模型；V2V视联网算力传输协议、可信AI算力平台和西部产业创新算力调度服务平台等数据基础设施；参与城市可信空间、汽车行业可信空间等可信数据试点建设。</w:t>
            </w:r>
          </w:p>
        </w:tc>
      </w:tr>
    </w:tbl>
    <w:p w14:paraId="048CEDF8">
      <w:pPr>
        <w:keepNext w:val="0"/>
        <w:keepLines w:val="0"/>
        <w:pageBreakBefore w:val="0"/>
        <w:kinsoku/>
        <w:wordWrap/>
        <w:topLinePunct w:val="0"/>
        <w:autoSpaceDE/>
        <w:autoSpaceDN/>
        <w:bidi w:val="0"/>
        <w:spacing w:line="600" w:lineRule="exact"/>
        <w:jc w:val="center"/>
        <w:outlineLvl w:val="9"/>
        <w:rPr>
          <w:rFonts w:hint="default" w:ascii="Times New Roman" w:hAnsi="Times New Roman" w:eastAsia="方正黑体_GBK" w:cs="Times New Roman"/>
          <w:color w:val="auto"/>
          <w:kern w:val="44"/>
          <w:sz w:val="32"/>
          <w:szCs w:val="32"/>
          <w:highlight w:val="none"/>
          <w:u w:val="none" w:color="auto"/>
        </w:rPr>
      </w:pPr>
    </w:p>
    <w:p w14:paraId="5F517A90">
      <w:pPr>
        <w:keepNext w:val="0"/>
        <w:keepLines w:val="0"/>
        <w:pageBreakBefore w:val="0"/>
        <w:kinsoku/>
        <w:wordWrap/>
        <w:topLinePunct w:val="0"/>
        <w:autoSpaceDE/>
        <w:autoSpaceDN/>
        <w:bidi w:val="0"/>
        <w:spacing w:line="600" w:lineRule="exact"/>
        <w:jc w:val="center"/>
        <w:outlineLvl w:val="0"/>
        <w:rPr>
          <w:rFonts w:hint="default" w:ascii="Times New Roman" w:hAnsi="Times New Roman" w:eastAsia="方正黑体_GBK" w:cs="Times New Roman"/>
          <w:color w:val="auto"/>
          <w:kern w:val="44"/>
          <w:sz w:val="32"/>
          <w:szCs w:val="32"/>
          <w:highlight w:val="none"/>
          <w:u w:val="none" w:color="auto"/>
        </w:rPr>
      </w:pPr>
      <w:bookmarkStart w:id="725" w:name="_Toc4565"/>
      <w:bookmarkStart w:id="726" w:name="_Toc7176"/>
      <w:bookmarkStart w:id="727" w:name="_Toc4774"/>
      <w:bookmarkStart w:id="728" w:name="_Toc7467"/>
      <w:bookmarkStart w:id="729" w:name="_Toc31228"/>
      <w:bookmarkStart w:id="730" w:name="_Toc11255"/>
      <w:bookmarkStart w:id="731" w:name="_Toc10923"/>
      <w:bookmarkStart w:id="732" w:name="_Toc10932"/>
      <w:bookmarkStart w:id="733" w:name="_Toc29115"/>
      <w:bookmarkStart w:id="734" w:name="_Toc31470"/>
      <w:bookmarkStart w:id="735" w:name="_Toc22620"/>
      <w:bookmarkStart w:id="736" w:name="_Toc8044"/>
      <w:r>
        <w:rPr>
          <w:rFonts w:hint="default" w:ascii="Times New Roman" w:hAnsi="Times New Roman" w:eastAsia="方正黑体_GBK" w:cs="Times New Roman"/>
          <w:color w:val="auto"/>
          <w:kern w:val="44"/>
          <w:sz w:val="32"/>
          <w:szCs w:val="32"/>
          <w:highlight w:val="none"/>
          <w:u w:val="none" w:color="auto"/>
        </w:rPr>
        <w:t>第</w:t>
      </w:r>
      <w:r>
        <w:rPr>
          <w:rFonts w:hint="default" w:ascii="Times New Roman" w:hAnsi="Times New Roman" w:eastAsia="方正黑体_GBK" w:cs="Times New Roman"/>
          <w:color w:val="auto"/>
          <w:kern w:val="44"/>
          <w:sz w:val="32"/>
          <w:szCs w:val="32"/>
          <w:highlight w:val="none"/>
          <w:u w:val="none" w:color="auto"/>
          <w:lang w:val="en-US" w:eastAsia="zh-CN"/>
        </w:rPr>
        <w:t>六</w:t>
      </w:r>
      <w:r>
        <w:rPr>
          <w:rFonts w:hint="default" w:ascii="Times New Roman" w:hAnsi="Times New Roman" w:eastAsia="方正黑体_GBK" w:cs="Times New Roman"/>
          <w:color w:val="auto"/>
          <w:kern w:val="44"/>
          <w:sz w:val="32"/>
          <w:szCs w:val="32"/>
          <w:highlight w:val="none"/>
          <w:u w:val="none" w:color="auto"/>
        </w:rPr>
        <w:t>篇 牢牢把握扩大内需战略基点</w:t>
      </w:r>
      <w:r>
        <w:rPr>
          <w:rFonts w:hint="default" w:ascii="Times New Roman" w:hAnsi="Times New Roman" w:eastAsia="方正黑体_GBK" w:cs="Times New Roman"/>
          <w:color w:val="auto"/>
          <w:kern w:val="44"/>
          <w:sz w:val="32"/>
          <w:szCs w:val="32"/>
          <w:highlight w:val="none"/>
          <w:u w:val="none" w:color="auto"/>
          <w:lang w:val="en-US" w:eastAsia="zh-CN"/>
        </w:rPr>
        <w:t xml:space="preserve"> </w:t>
      </w:r>
      <w:r>
        <w:rPr>
          <w:rFonts w:hint="default" w:ascii="Times New Roman" w:hAnsi="Times New Roman" w:eastAsia="方正黑体_GBK" w:cs="Times New Roman"/>
          <w:color w:val="auto"/>
          <w:kern w:val="44"/>
          <w:sz w:val="32"/>
          <w:szCs w:val="32"/>
          <w:highlight w:val="none"/>
          <w:u w:val="none" w:color="auto"/>
        </w:rPr>
        <w:t>全面释放发展潜力</w:t>
      </w:r>
      <w:bookmarkEnd w:id="725"/>
      <w:bookmarkEnd w:id="726"/>
      <w:bookmarkEnd w:id="727"/>
      <w:bookmarkEnd w:id="728"/>
      <w:bookmarkEnd w:id="729"/>
      <w:bookmarkEnd w:id="730"/>
      <w:bookmarkEnd w:id="731"/>
      <w:bookmarkEnd w:id="732"/>
      <w:bookmarkEnd w:id="733"/>
      <w:bookmarkEnd w:id="734"/>
      <w:bookmarkEnd w:id="735"/>
      <w:bookmarkEnd w:id="736"/>
    </w:p>
    <w:p w14:paraId="4250E1D3">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b w:val="0"/>
          <w:bCs w:val="0"/>
          <w:color w:val="auto"/>
          <w:spacing w:val="0"/>
          <w:sz w:val="32"/>
          <w:szCs w:val="32"/>
          <w:highlight w:val="none"/>
          <w:u w:val="none" w:color="auto"/>
          <w:lang w:val="en-US" w:eastAsia="zh-CN"/>
        </w:rPr>
      </w:pPr>
    </w:p>
    <w:p w14:paraId="3544698D">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sz w:val="32"/>
          <w:szCs w:val="32"/>
          <w:highlight w:val="none"/>
          <w:u w:val="none" w:color="auto"/>
          <w:lang w:val="en-US" w:eastAsia="zh-CN"/>
        </w:rPr>
        <w:t>把拉动内需作为重点工作，坚持投资于物与投资于人紧密结合，注重惠民生与促消费相统一，以新需求引领新供给、以新供给创造新需求，促进消费和投资协同发力、供给和需求动态适配。</w:t>
      </w:r>
    </w:p>
    <w:p w14:paraId="56C32C18">
      <w:pPr>
        <w:keepNext w:val="0"/>
        <w:keepLines w:val="0"/>
        <w:pageBreakBefore w:val="0"/>
        <w:widowControl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737" w:name="_Toc23395"/>
      <w:bookmarkStart w:id="738" w:name="_Toc2059"/>
      <w:bookmarkStart w:id="739" w:name="_Toc8112"/>
      <w:bookmarkStart w:id="740" w:name="_Toc14686"/>
      <w:bookmarkStart w:id="741" w:name="_Toc13330"/>
      <w:bookmarkStart w:id="742" w:name="_Toc6314"/>
      <w:bookmarkStart w:id="743" w:name="_Toc25217"/>
      <w:bookmarkStart w:id="744" w:name="_Toc12897"/>
      <w:bookmarkStart w:id="745" w:name="_Toc21335"/>
      <w:bookmarkStart w:id="746" w:name="_Toc13503"/>
      <w:bookmarkStart w:id="747" w:name="_Toc6272"/>
      <w:bookmarkStart w:id="748" w:name="_Toc25229"/>
      <w:bookmarkStart w:id="749" w:name="_Toc20657"/>
      <w:r>
        <w:rPr>
          <w:rFonts w:hint="default" w:ascii="Times New Roman" w:hAnsi="Times New Roman" w:eastAsia="方正黑体_GBK" w:cs="Times New Roman"/>
          <w:color w:val="auto"/>
          <w:kern w:val="2"/>
          <w:sz w:val="32"/>
          <w:szCs w:val="32"/>
          <w:highlight w:val="none"/>
          <w:u w:val="none" w:color="auto"/>
          <w:lang w:val="en-US" w:eastAsia="zh-CN" w:bidi="ar-SA"/>
        </w:rPr>
        <w:t xml:space="preserve">第十八章 </w:t>
      </w:r>
      <w:bookmarkEnd w:id="737"/>
      <w:r>
        <w:rPr>
          <w:rFonts w:hint="default" w:ascii="Times New Roman" w:hAnsi="Times New Roman" w:eastAsia="方正黑体_GBK" w:cs="Times New Roman"/>
          <w:color w:val="auto"/>
          <w:kern w:val="2"/>
          <w:sz w:val="32"/>
          <w:szCs w:val="32"/>
          <w:highlight w:val="none"/>
          <w:u w:val="none" w:color="auto"/>
          <w:lang w:val="en-US" w:eastAsia="zh-CN" w:bidi="ar-SA"/>
        </w:rPr>
        <w:t>全面提升消费品质能级</w:t>
      </w:r>
      <w:bookmarkEnd w:id="738"/>
      <w:bookmarkEnd w:id="739"/>
      <w:bookmarkEnd w:id="740"/>
      <w:bookmarkEnd w:id="741"/>
      <w:bookmarkEnd w:id="742"/>
      <w:bookmarkEnd w:id="743"/>
      <w:bookmarkEnd w:id="744"/>
      <w:bookmarkEnd w:id="745"/>
      <w:bookmarkEnd w:id="746"/>
      <w:bookmarkEnd w:id="747"/>
      <w:bookmarkEnd w:id="748"/>
      <w:bookmarkEnd w:id="749"/>
    </w:p>
    <w:p w14:paraId="540E3B78">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深入实施提振消费专项行动，统筹商品与服务、线上与线下、国内与国外，持续拓展消费空间，推动消费向高品质、多样化升级，社会消费品零售总额突破2300亿元、年均增长5%以上。</w:t>
      </w:r>
    </w:p>
    <w:p w14:paraId="2295C194">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750" w:name="_Toc8304"/>
      <w:bookmarkStart w:id="751" w:name="_Toc14604"/>
      <w:bookmarkStart w:id="752" w:name="_Toc8339"/>
      <w:bookmarkStart w:id="753" w:name="_Toc26170"/>
      <w:bookmarkStart w:id="754" w:name="_Toc13603"/>
      <w:bookmarkStart w:id="755" w:name="_Toc799"/>
      <w:bookmarkStart w:id="756" w:name="_Toc11406"/>
      <w:bookmarkStart w:id="757" w:name="_Toc7392"/>
      <w:bookmarkStart w:id="758" w:name="_Toc25448"/>
      <w:bookmarkStart w:id="759" w:name="_Toc16794"/>
      <w:bookmarkStart w:id="760" w:name="_Toc3428"/>
      <w:bookmarkStart w:id="761" w:name="_Toc16533"/>
      <w:bookmarkStart w:id="762" w:name="_Toc22828"/>
      <w:r>
        <w:rPr>
          <w:rFonts w:hint="default" w:ascii="Times New Roman" w:hAnsi="Times New Roman" w:eastAsia="方正楷体_GBK" w:cs="Times New Roman"/>
          <w:color w:val="auto"/>
          <w:kern w:val="2"/>
          <w:sz w:val="32"/>
          <w:szCs w:val="32"/>
          <w:highlight w:val="none"/>
          <w:u w:val="none" w:color="auto"/>
          <w:lang w:val="en-US" w:eastAsia="zh-CN" w:bidi="ar-SA"/>
        </w:rPr>
        <w:t>第一节 大力集聚高端消费</w:t>
      </w:r>
      <w:bookmarkEnd w:id="750"/>
      <w:bookmarkEnd w:id="751"/>
      <w:bookmarkEnd w:id="752"/>
      <w:bookmarkEnd w:id="753"/>
      <w:bookmarkEnd w:id="754"/>
      <w:bookmarkEnd w:id="755"/>
      <w:bookmarkEnd w:id="756"/>
      <w:bookmarkEnd w:id="757"/>
      <w:bookmarkEnd w:id="758"/>
      <w:bookmarkEnd w:id="759"/>
      <w:bookmarkEnd w:id="760"/>
      <w:bookmarkEnd w:id="761"/>
    </w:p>
    <w:p w14:paraId="0D7AAE97">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32"/>
          <w:highlight w:val="none"/>
          <w:u w:val="none" w:color="auto"/>
        </w:rPr>
      </w:pPr>
      <w:bookmarkStart w:id="763" w:name="OLE_LINK71"/>
      <w:r>
        <w:rPr>
          <w:rFonts w:hint="default" w:ascii="Times New Roman" w:hAnsi="Times New Roman" w:eastAsia="方正仿宋_GBK" w:cs="Times New Roman"/>
          <w:color w:val="auto"/>
          <w:sz w:val="32"/>
          <w:szCs w:val="32"/>
          <w:highlight w:val="none"/>
          <w:u w:val="none" w:color="auto"/>
        </w:rPr>
        <w:t>积极对接</w:t>
      </w:r>
      <w:r>
        <w:rPr>
          <w:rFonts w:hint="default" w:ascii="Times New Roman" w:hAnsi="Times New Roman" w:eastAsia="方正仿宋_GBK" w:cs="Times New Roman"/>
          <w:color w:val="auto"/>
          <w:sz w:val="32"/>
          <w:szCs w:val="32"/>
          <w:highlight w:val="none"/>
          <w:u w:val="none" w:color="auto"/>
          <w:lang w:val="en-US" w:eastAsia="zh-CN"/>
        </w:rPr>
        <w:t>LVMH、开云等</w:t>
      </w:r>
      <w:r>
        <w:rPr>
          <w:rFonts w:hint="default" w:ascii="Times New Roman" w:hAnsi="Times New Roman" w:eastAsia="方正仿宋_GBK" w:cs="Times New Roman"/>
          <w:color w:val="auto"/>
          <w:sz w:val="32"/>
          <w:szCs w:val="32"/>
          <w:highlight w:val="none"/>
          <w:u w:val="none" w:color="auto"/>
        </w:rPr>
        <w:t>国际顶尖奢侈品集团，</w:t>
      </w:r>
      <w:r>
        <w:rPr>
          <w:rFonts w:hint="default" w:ascii="Times New Roman" w:hAnsi="Times New Roman" w:eastAsia="方正仿宋_GBK" w:cs="Times New Roman"/>
          <w:color w:val="auto"/>
          <w:sz w:val="32"/>
          <w:szCs w:val="32"/>
          <w:highlight w:val="none"/>
          <w:u w:val="none" w:color="auto"/>
          <w:lang w:val="en-US" w:eastAsia="zh-CN"/>
        </w:rPr>
        <w:t>大力</w:t>
      </w:r>
      <w:r>
        <w:rPr>
          <w:rFonts w:hint="default" w:ascii="Times New Roman" w:hAnsi="Times New Roman" w:eastAsia="方正仿宋_GBK" w:cs="Times New Roman"/>
          <w:color w:val="auto"/>
          <w:sz w:val="32"/>
          <w:szCs w:val="32"/>
          <w:highlight w:val="none"/>
          <w:u w:val="none" w:color="auto"/>
        </w:rPr>
        <w:t>引进高端美妆、时尚潮牌、钟表珠宝、户外运动休闲、智慧家居等</w:t>
      </w:r>
      <w:r>
        <w:rPr>
          <w:rFonts w:hint="default" w:ascii="Times New Roman" w:hAnsi="Times New Roman" w:eastAsia="方正仿宋_GBK" w:cs="Times New Roman"/>
          <w:color w:val="auto"/>
          <w:sz w:val="32"/>
          <w:szCs w:val="32"/>
          <w:highlight w:val="none"/>
          <w:u w:val="none" w:color="auto"/>
          <w:lang w:val="en-US" w:eastAsia="zh-CN"/>
        </w:rPr>
        <w:t>重点品类</w:t>
      </w:r>
      <w:r>
        <w:rPr>
          <w:rFonts w:hint="default" w:ascii="Times New Roman" w:hAnsi="Times New Roman" w:eastAsia="方正仿宋_GBK" w:cs="Times New Roman"/>
          <w:color w:val="auto"/>
          <w:sz w:val="32"/>
          <w:szCs w:val="32"/>
          <w:highlight w:val="none"/>
          <w:u w:val="none" w:color="auto"/>
        </w:rPr>
        <w:t>头部重奢</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品质</w:t>
      </w:r>
      <w:r>
        <w:rPr>
          <w:rFonts w:hint="default" w:ascii="Times New Roman" w:hAnsi="Times New Roman" w:eastAsia="方正仿宋_GBK" w:cs="Times New Roman"/>
          <w:color w:val="auto"/>
          <w:sz w:val="32"/>
          <w:szCs w:val="32"/>
          <w:highlight w:val="none"/>
          <w:u w:val="none" w:color="auto"/>
        </w:rPr>
        <w:t>轻奢</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时尚潮奢</w:t>
      </w:r>
      <w:r>
        <w:rPr>
          <w:rFonts w:hint="default" w:ascii="Times New Roman" w:hAnsi="Times New Roman" w:eastAsia="方正仿宋_GBK" w:cs="Times New Roman"/>
          <w:color w:val="auto"/>
          <w:sz w:val="32"/>
          <w:szCs w:val="32"/>
          <w:highlight w:val="none"/>
          <w:u w:val="none" w:color="auto"/>
        </w:rPr>
        <w:t>品牌，吸纳具有市场影响力的原创设计师品牌及本土潮牌，形成</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国际一线引领、多元品牌互补</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的发展格局</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集聚国际知名品牌600个</w:t>
      </w:r>
      <w:r>
        <w:rPr>
          <w:rFonts w:hint="default" w:ascii="Times New Roman" w:hAnsi="Times New Roman" w:eastAsia="方正仿宋_GBK" w:cs="Times New Roman"/>
          <w:color w:val="auto"/>
          <w:sz w:val="32"/>
          <w:szCs w:val="32"/>
          <w:highlight w:val="none"/>
          <w:u w:val="none" w:color="auto"/>
          <w:lang w:val="en-US" w:eastAsia="zh-CN"/>
        </w:rPr>
        <w:t>以上</w:t>
      </w:r>
      <w:r>
        <w:rPr>
          <w:rFonts w:hint="default" w:ascii="Times New Roman" w:hAnsi="Times New Roman" w:eastAsia="方正仿宋_GBK" w:cs="Times New Roman"/>
          <w:color w:val="auto"/>
          <w:sz w:val="32"/>
          <w:szCs w:val="32"/>
          <w:highlight w:val="none"/>
          <w:u w:val="none" w:color="auto"/>
        </w:rPr>
        <w:t>。精准布局米其林及黑珍珠</w:t>
      </w:r>
      <w:r>
        <w:rPr>
          <w:rFonts w:hint="default" w:ascii="Times New Roman" w:hAnsi="Times New Roman" w:eastAsia="方正仿宋_GBK" w:cs="Times New Roman"/>
          <w:color w:val="auto"/>
          <w:sz w:val="32"/>
          <w:szCs w:val="32"/>
          <w:highlight w:val="none"/>
          <w:u w:val="none" w:color="auto"/>
          <w:lang w:val="en-US" w:eastAsia="zh-CN"/>
        </w:rPr>
        <w:t>餐厅</w:t>
      </w:r>
      <w:r>
        <w:rPr>
          <w:rFonts w:hint="default" w:ascii="Times New Roman" w:hAnsi="Times New Roman" w:eastAsia="方正仿宋_GBK" w:cs="Times New Roman"/>
          <w:color w:val="auto"/>
          <w:sz w:val="32"/>
          <w:szCs w:val="32"/>
          <w:highlight w:val="none"/>
          <w:u w:val="none" w:color="auto"/>
        </w:rPr>
        <w:t>、高奢酒店、SPA会所、健身俱乐部</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艺术</w:t>
      </w:r>
      <w:r>
        <w:rPr>
          <w:rFonts w:hint="default" w:ascii="Times New Roman" w:hAnsi="Times New Roman" w:eastAsia="方正仿宋_GBK" w:cs="Times New Roman"/>
          <w:color w:val="auto"/>
          <w:sz w:val="32"/>
          <w:szCs w:val="32"/>
          <w:highlight w:val="none"/>
          <w:u w:val="none" w:color="auto"/>
          <w:lang w:val="en-US" w:eastAsia="zh-CN"/>
        </w:rPr>
        <w:t>品鉴</w:t>
      </w:r>
      <w:r>
        <w:rPr>
          <w:rFonts w:hint="default" w:ascii="Times New Roman" w:hAnsi="Times New Roman" w:eastAsia="方正仿宋_GBK" w:cs="Times New Roman"/>
          <w:color w:val="auto"/>
          <w:sz w:val="32"/>
          <w:szCs w:val="32"/>
          <w:highlight w:val="none"/>
          <w:u w:val="none" w:color="auto"/>
        </w:rPr>
        <w:t>拍卖等高端生活服务</w:t>
      </w:r>
      <w:r>
        <w:rPr>
          <w:rFonts w:hint="default" w:ascii="Times New Roman" w:hAnsi="Times New Roman" w:eastAsia="方正仿宋_GBK" w:cs="Times New Roman"/>
          <w:color w:val="auto"/>
          <w:sz w:val="32"/>
          <w:szCs w:val="32"/>
          <w:highlight w:val="none"/>
          <w:u w:val="none" w:color="auto"/>
          <w:lang w:val="en-US" w:eastAsia="zh-CN"/>
        </w:rPr>
        <w:t>业态</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建立</w:t>
      </w:r>
      <w:r>
        <w:rPr>
          <w:rFonts w:hint="default" w:ascii="Times New Roman" w:hAnsi="Times New Roman" w:eastAsia="方正仿宋_GBK" w:cs="Times New Roman"/>
          <w:color w:val="auto"/>
          <w:sz w:val="32"/>
          <w:szCs w:val="32"/>
          <w:highlight w:val="none"/>
          <w:u w:val="none" w:color="auto"/>
        </w:rPr>
        <w:t>渝中区专属会员生态</w:t>
      </w:r>
      <w:r>
        <w:rPr>
          <w:rFonts w:hint="default" w:ascii="Times New Roman" w:hAnsi="Times New Roman" w:eastAsia="方正仿宋_GBK" w:cs="Times New Roman"/>
          <w:color w:val="auto"/>
          <w:sz w:val="32"/>
          <w:szCs w:val="32"/>
          <w:highlight w:val="none"/>
          <w:u w:val="none" w:color="auto"/>
          <w:lang w:eastAsia="zh-CN"/>
        </w:rPr>
        <w:t>以及</w:t>
      </w:r>
      <w:r>
        <w:rPr>
          <w:rFonts w:hint="default" w:ascii="Times New Roman" w:hAnsi="Times New Roman" w:eastAsia="方正仿宋_GBK" w:cs="Times New Roman"/>
          <w:color w:val="auto"/>
          <w:sz w:val="32"/>
          <w:szCs w:val="32"/>
          <w:highlight w:val="none"/>
          <w:u w:val="none" w:color="auto"/>
        </w:rPr>
        <w:t>异业联盟营销平台，打造高净值客群国际消费首选地。</w:t>
      </w:r>
    </w:p>
    <w:p w14:paraId="58B73E05">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764" w:name="_Toc20254"/>
      <w:bookmarkStart w:id="765" w:name="_Toc28148"/>
      <w:bookmarkStart w:id="766" w:name="_Toc21219"/>
      <w:bookmarkStart w:id="767" w:name="_Toc2899"/>
      <w:bookmarkStart w:id="768" w:name="_Toc18575"/>
      <w:bookmarkStart w:id="769" w:name="_Toc25488"/>
      <w:bookmarkStart w:id="770" w:name="_Toc32408"/>
      <w:bookmarkStart w:id="771" w:name="_Toc958"/>
      <w:bookmarkStart w:id="772" w:name="_Toc7421"/>
      <w:bookmarkStart w:id="773" w:name="_Toc8652"/>
      <w:bookmarkStart w:id="774" w:name="_Toc14802"/>
      <w:bookmarkStart w:id="775" w:name="_Toc21423"/>
      <w:bookmarkStart w:id="776" w:name="_Toc4653"/>
      <w:bookmarkStart w:id="777" w:name="OLE_LINK15"/>
      <w:r>
        <w:rPr>
          <w:rFonts w:hint="default" w:ascii="Times New Roman" w:hAnsi="Times New Roman" w:eastAsia="方正楷体_GBK" w:cs="Times New Roman"/>
          <w:color w:val="auto"/>
          <w:kern w:val="2"/>
          <w:sz w:val="32"/>
          <w:szCs w:val="32"/>
          <w:highlight w:val="none"/>
          <w:u w:val="none" w:color="auto"/>
          <w:lang w:val="en-US" w:eastAsia="zh-CN" w:bidi="ar-SA"/>
        </w:rPr>
        <w:t>第二节 发展新型特色消费</w:t>
      </w:r>
      <w:bookmarkEnd w:id="764"/>
      <w:bookmarkEnd w:id="765"/>
      <w:bookmarkEnd w:id="766"/>
      <w:bookmarkEnd w:id="767"/>
      <w:bookmarkEnd w:id="768"/>
      <w:bookmarkEnd w:id="769"/>
      <w:bookmarkEnd w:id="770"/>
      <w:bookmarkEnd w:id="771"/>
      <w:bookmarkEnd w:id="772"/>
      <w:bookmarkEnd w:id="773"/>
      <w:bookmarkEnd w:id="774"/>
      <w:bookmarkEnd w:id="775"/>
      <w:bookmarkEnd w:id="776"/>
    </w:p>
    <w:p w14:paraId="1E9AB51D">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bookmarkStart w:id="778" w:name="OLE_LINK17"/>
      <w:r>
        <w:rPr>
          <w:rFonts w:hint="default" w:ascii="Times New Roman" w:hAnsi="Times New Roman" w:eastAsia="方正仿宋_GBK" w:cs="Times New Roman"/>
          <w:color w:val="auto"/>
          <w:kern w:val="2"/>
          <w:sz w:val="32"/>
          <w:szCs w:val="32"/>
          <w:highlight w:val="none"/>
          <w:u w:val="none" w:color="auto"/>
          <w:lang w:val="en-US" w:eastAsia="zh-CN" w:bidi="ar-SA"/>
        </w:rPr>
        <w:t>大力发展首店、首牌、首映、首展、首秀等首发经济，</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重点打造解放碑、大坪核心首发经济集聚区，布局建设十字金街、时代大道、朝天门广场特色秀场，重点培育</w:t>
      </w:r>
      <w:r>
        <w:rPr>
          <w:rFonts w:hint="default" w:ascii="Times New Roman" w:hAnsi="Times New Roman" w:eastAsia="方正仿宋_GBK" w:cs="Times New Roman"/>
          <w:color w:val="auto"/>
          <w:sz w:val="32"/>
          <w:szCs w:val="32"/>
          <w:highlight w:val="none"/>
          <w:u w:val="none" w:color="auto"/>
        </w:rPr>
        <w:t>新华中心云端奇境</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sz w:val="32"/>
          <w:szCs w:val="32"/>
          <w:highlight w:val="none"/>
          <w:u w:val="none" w:color="auto"/>
        </w:rPr>
        <w:t>朝天门·城里</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等首发地标，</w:t>
      </w:r>
      <w:r>
        <w:rPr>
          <w:rFonts w:hint="default" w:ascii="Times New Roman" w:hAnsi="Times New Roman" w:eastAsia="方正仿宋_GBK" w:cs="Times New Roman"/>
          <w:color w:val="auto"/>
          <w:kern w:val="2"/>
          <w:sz w:val="32"/>
          <w:szCs w:val="32"/>
          <w:highlight w:val="none"/>
          <w:u w:val="none" w:color="auto"/>
          <w:lang w:val="en-US" w:eastAsia="zh-CN" w:bidi="ar-SA"/>
        </w:rPr>
        <w:t>年均引进各类首牌首店100家、举办首发首秀100场以上</w:t>
      </w:r>
      <w:r>
        <w:rPr>
          <w:rFonts w:hint="default" w:ascii="Times New Roman" w:hAnsi="Times New Roman" w:eastAsia="方正仿宋_GBK" w:cs="Times New Roman"/>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特色发展数智科技消费，</w:t>
      </w:r>
      <w:bookmarkStart w:id="779" w:name="OLE_LINK14"/>
      <w:r>
        <w:rPr>
          <w:rFonts w:hint="default" w:ascii="Times New Roman" w:hAnsi="Times New Roman" w:eastAsia="方正仿宋_GBK" w:cs="Times New Roman"/>
          <w:color w:val="auto"/>
          <w:kern w:val="2"/>
          <w:sz w:val="32"/>
          <w:szCs w:val="32"/>
          <w:highlight w:val="none"/>
          <w:u w:val="none" w:color="auto"/>
          <w:lang w:val="en-US" w:eastAsia="zh-CN" w:bidi="ar-SA"/>
        </w:rPr>
        <w:t>培育数字藏品、虚拟偶像演出、数字文创、在线文娱等新型消费业态</w:t>
      </w:r>
      <w:bookmarkEnd w:id="778"/>
      <w:bookmarkEnd w:id="779"/>
      <w:r>
        <w:rPr>
          <w:rFonts w:hint="default" w:ascii="Times New Roman" w:hAnsi="Times New Roman" w:eastAsia="方正仿宋_GBK" w:cs="Times New Roman"/>
          <w:color w:val="auto"/>
          <w:kern w:val="2"/>
          <w:sz w:val="32"/>
          <w:szCs w:val="32"/>
          <w:highlight w:val="none"/>
          <w:u w:val="none" w:color="auto"/>
          <w:lang w:val="en-US" w:eastAsia="zh-CN" w:bidi="ar-SA"/>
        </w:rPr>
        <w:t>，深化全国示范智慧商圈、商店建设，升级解放碑5G智慧步行街展厅，打造一批沉浸式、互动式数智体验新空间。大力发展入境游消费，优化</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买全球、卖全球</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服务体系，提质建设全市首个入境消费友好型商圈和西部首条离境退税特色街区，</w:t>
      </w:r>
      <w:r>
        <w:rPr>
          <w:rFonts w:hint="default" w:ascii="Times New Roman" w:hAnsi="Times New Roman" w:eastAsia="方正仿宋_GBK" w:cs="Times New Roman"/>
          <w:color w:val="auto"/>
          <w:sz w:val="32"/>
          <w:szCs w:val="32"/>
          <w:highlight w:val="none"/>
          <w:u w:val="none" w:color="auto"/>
        </w:rPr>
        <w:t>离境退税商店突破200家</w:t>
      </w:r>
      <w:r>
        <w:rPr>
          <w:rFonts w:hint="default" w:ascii="Times New Roman" w:hAnsi="Times New Roman" w:eastAsia="方正仿宋_GBK" w:cs="Times New Roman"/>
          <w:color w:val="auto"/>
          <w:kern w:val="2"/>
          <w:sz w:val="32"/>
          <w:szCs w:val="32"/>
          <w:highlight w:val="none"/>
          <w:u w:val="none" w:color="auto"/>
          <w:lang w:val="en-US" w:eastAsia="zh-CN" w:bidi="ar-SA"/>
        </w:rPr>
        <w:t>。聚焦新业态培育，</w:t>
      </w:r>
      <w:bookmarkStart w:id="780" w:name="OLE_LINK5"/>
      <w:r>
        <w:rPr>
          <w:rFonts w:hint="default" w:ascii="Times New Roman" w:hAnsi="Times New Roman" w:eastAsia="方正仿宋_GBK" w:cs="Times New Roman"/>
          <w:color w:val="auto"/>
          <w:kern w:val="2"/>
          <w:sz w:val="32"/>
          <w:szCs w:val="32"/>
          <w:highlight w:val="none"/>
          <w:u w:val="none" w:color="auto"/>
          <w:lang w:val="en-US" w:eastAsia="zh-CN" w:bidi="ar-SA"/>
        </w:rPr>
        <w:t>加快发展买手经济，壮大二手循环经济，有序发展低空消费，创新</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发展萌宠消费，</w:t>
      </w:r>
      <w:r>
        <w:rPr>
          <w:rFonts w:hint="default" w:ascii="Times New Roman" w:hAnsi="Times New Roman" w:eastAsia="方正仿宋_GBK" w:cs="Times New Roman"/>
          <w:color w:val="auto"/>
          <w:kern w:val="2"/>
          <w:sz w:val="32"/>
          <w:szCs w:val="32"/>
          <w:highlight w:val="none"/>
          <w:u w:val="none" w:color="auto"/>
          <w:lang w:val="en-US" w:eastAsia="zh-CN" w:bidi="ar-SA"/>
        </w:rPr>
        <w:t>培育IP特色消费，</w:t>
      </w:r>
      <w:bookmarkEnd w:id="780"/>
      <w:r>
        <w:rPr>
          <w:rFonts w:hint="default" w:ascii="Times New Roman" w:hAnsi="Times New Roman" w:eastAsia="方正仿宋_GBK" w:cs="Times New Roman"/>
          <w:color w:val="auto"/>
          <w:sz w:val="32"/>
          <w:szCs w:val="32"/>
          <w:highlight w:val="none"/>
          <w:u w:val="none" w:color="auto"/>
        </w:rPr>
        <w:t>引育代表性新消费品牌50个</w:t>
      </w:r>
      <w:r>
        <w:rPr>
          <w:rFonts w:hint="default" w:ascii="Times New Roman" w:hAnsi="Times New Roman" w:eastAsia="方正仿宋_GBK" w:cs="Times New Roman"/>
          <w:color w:val="auto"/>
          <w:sz w:val="32"/>
          <w:szCs w:val="32"/>
          <w:highlight w:val="none"/>
          <w:u w:val="none" w:color="auto"/>
          <w:lang w:val="en-US" w:eastAsia="zh-CN"/>
        </w:rPr>
        <w:t>以上</w:t>
      </w:r>
      <w:r>
        <w:rPr>
          <w:rFonts w:hint="default" w:ascii="Times New Roman" w:hAnsi="Times New Roman" w:eastAsia="方正仿宋_GBK" w:cs="Times New Roman"/>
          <w:color w:val="auto"/>
          <w:kern w:val="2"/>
          <w:sz w:val="32"/>
          <w:szCs w:val="32"/>
          <w:highlight w:val="none"/>
          <w:u w:val="none" w:color="auto"/>
          <w:lang w:val="en-US" w:eastAsia="zh-CN" w:bidi="ar-SA"/>
        </w:rPr>
        <w:t>。</w:t>
      </w:r>
    </w:p>
    <w:bookmarkEnd w:id="762"/>
    <w:bookmarkEnd w:id="763"/>
    <w:bookmarkEnd w:id="777"/>
    <w:p w14:paraId="1BA1CE23">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781" w:name="_Toc5351"/>
      <w:bookmarkStart w:id="782" w:name="_Toc26096"/>
      <w:bookmarkStart w:id="783" w:name="_Toc9949"/>
      <w:bookmarkStart w:id="784" w:name="_Toc1233"/>
      <w:bookmarkStart w:id="785" w:name="_Toc14877"/>
      <w:bookmarkStart w:id="786" w:name="_Toc5507"/>
      <w:bookmarkStart w:id="787" w:name="_Toc1002"/>
      <w:bookmarkStart w:id="788" w:name="_Toc28480"/>
      <w:bookmarkStart w:id="789" w:name="_Toc10172"/>
      <w:bookmarkStart w:id="790" w:name="_Toc6095"/>
      <w:bookmarkStart w:id="791" w:name="_Toc11539"/>
      <w:bookmarkStart w:id="792" w:name="_Toc24460"/>
      <w:bookmarkStart w:id="793" w:name="_Toc1457"/>
      <w:r>
        <w:rPr>
          <w:rFonts w:hint="default" w:ascii="Times New Roman" w:hAnsi="Times New Roman" w:eastAsia="方正楷体_GBK" w:cs="Times New Roman"/>
          <w:color w:val="auto"/>
          <w:kern w:val="2"/>
          <w:sz w:val="32"/>
          <w:szCs w:val="32"/>
          <w:highlight w:val="none"/>
          <w:u w:val="none" w:color="auto"/>
          <w:lang w:val="en-US" w:eastAsia="zh-CN" w:bidi="ar-SA"/>
        </w:rPr>
        <w:t xml:space="preserve">第三节 </w:t>
      </w:r>
      <w:bookmarkStart w:id="794" w:name="OLE_LINK4"/>
      <w:r>
        <w:rPr>
          <w:rFonts w:hint="default" w:ascii="Times New Roman" w:hAnsi="Times New Roman" w:eastAsia="方正楷体_GBK" w:cs="Times New Roman"/>
          <w:color w:val="auto"/>
          <w:kern w:val="2"/>
          <w:sz w:val="32"/>
          <w:szCs w:val="32"/>
          <w:highlight w:val="none"/>
          <w:u w:val="none" w:color="auto"/>
          <w:lang w:val="en-US" w:eastAsia="zh-CN" w:bidi="ar-SA"/>
        </w:rPr>
        <w:t>提质扩容服务消费</w:t>
      </w:r>
      <w:bookmarkEnd w:id="781"/>
      <w:bookmarkEnd w:id="782"/>
      <w:bookmarkEnd w:id="783"/>
      <w:bookmarkEnd w:id="784"/>
      <w:bookmarkEnd w:id="785"/>
      <w:bookmarkEnd w:id="786"/>
      <w:bookmarkEnd w:id="787"/>
      <w:bookmarkEnd w:id="788"/>
      <w:bookmarkEnd w:id="789"/>
      <w:bookmarkEnd w:id="790"/>
      <w:bookmarkEnd w:id="791"/>
      <w:bookmarkEnd w:id="792"/>
    </w:p>
    <w:bookmarkEnd w:id="794"/>
    <w:p w14:paraId="2432A4BF">
      <w:pPr>
        <w:keepNext w:val="0"/>
        <w:keepLines w:val="0"/>
        <w:pageBreakBefore w:val="0"/>
        <w:kinsoku/>
        <w:wordWrap/>
        <w:topLinePunct w:val="0"/>
        <w:autoSpaceDE/>
        <w:autoSpaceDN/>
        <w:bidi w:val="0"/>
        <w:adjustRightInd w:val="0"/>
        <w:spacing w:line="600" w:lineRule="exact"/>
        <w:ind w:firstLine="640" w:firstLineChars="200"/>
        <w:rPr>
          <w:rFonts w:hint="default" w:ascii="Times New Roman" w:hAnsi="Times New Roman" w:eastAsia="方正仿宋_GBK" w:cs="Times New Roman"/>
          <w:color w:val="auto"/>
          <w:sz w:val="32"/>
          <w:szCs w:val="32"/>
          <w:highlight w:val="none"/>
          <w:u w:val="none" w:color="auto"/>
          <w:lang w:val="en-US" w:eastAsia="zh-CN"/>
        </w:rPr>
      </w:pPr>
      <w:bookmarkStart w:id="795" w:name="OLE_LINK13"/>
      <w:r>
        <w:rPr>
          <w:rFonts w:hint="default" w:ascii="Times New Roman" w:hAnsi="Times New Roman" w:eastAsia="方正仿宋_GBK" w:cs="Times New Roman"/>
          <w:color w:val="auto"/>
          <w:sz w:val="32"/>
          <w:szCs w:val="22"/>
          <w:highlight w:val="none"/>
          <w:u w:val="none" w:color="auto"/>
          <w:lang w:val="en-US" w:eastAsia="zh-CN"/>
          <w14:ligatures w14:val="standardContextual"/>
        </w:rPr>
        <w:t>做靓</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渝中有礼、有趣、有味、有戏</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等品质服务消费品牌。</w:t>
      </w:r>
      <w:r>
        <w:rPr>
          <w:rFonts w:hint="default" w:ascii="Times New Roman" w:hAnsi="Times New Roman" w:eastAsia="方正仿宋_GBK" w:cs="Times New Roman"/>
          <w:color w:val="auto"/>
          <w:sz w:val="32"/>
          <w:szCs w:val="22"/>
          <w:highlight w:val="none"/>
          <w:u w:val="none" w:color="auto"/>
          <w:lang w:eastAsia="zh-CN"/>
          <w14:ligatures w14:val="standardContextual"/>
        </w:rPr>
        <w:t>持续推广</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渝味360碗</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rPr>
        <w:t>支持国内外餐饮品牌在渝中设立首店、旗舰店、区域总部等，</w:t>
      </w:r>
      <w:r>
        <w:rPr>
          <w:rFonts w:hint="default" w:ascii="Times New Roman" w:hAnsi="Times New Roman" w:eastAsia="方正仿宋_GBK" w:cs="Times New Roman"/>
          <w:color w:val="auto"/>
          <w:sz w:val="32"/>
          <w:szCs w:val="22"/>
          <w:highlight w:val="none"/>
          <w:u w:val="none" w:color="auto"/>
          <w14:ligatures w14:val="standardContextual"/>
        </w:rPr>
        <w:t>推动重庆火锅、老字号餐饮</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14:ligatures w14:val="standardContextual"/>
        </w:rPr>
        <w:t>走出去</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32"/>
          <w:highlight w:val="none"/>
          <w:u w:val="none" w:color="auto"/>
        </w:rPr>
        <w:t>重点引进高端度假型酒店</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rPr>
        <w:t>精品民宿，构</w:t>
      </w:r>
      <w:r>
        <w:rPr>
          <w:rFonts w:hint="default" w:ascii="Times New Roman" w:hAnsi="Times New Roman" w:eastAsia="方正仿宋_GBK" w:cs="Times New Roman"/>
          <w:color w:val="auto"/>
          <w:sz w:val="32"/>
          <w:szCs w:val="32"/>
          <w:highlight w:val="none"/>
          <w:u w:val="none" w:color="auto"/>
        </w:rPr>
        <w:t>建层次分明的高端</w:t>
      </w:r>
      <w:r>
        <w:rPr>
          <w:rFonts w:hint="default" w:ascii="Times New Roman" w:hAnsi="Times New Roman" w:eastAsia="方正仿宋_GBK" w:cs="Times New Roman"/>
          <w:color w:val="auto"/>
          <w:sz w:val="32"/>
          <w:szCs w:val="32"/>
          <w:highlight w:val="none"/>
          <w:u w:val="none" w:color="auto"/>
          <w:lang w:val="en-US" w:eastAsia="zh-CN"/>
        </w:rPr>
        <w:t>多元</w:t>
      </w:r>
      <w:r>
        <w:rPr>
          <w:rFonts w:hint="default" w:ascii="Times New Roman" w:hAnsi="Times New Roman" w:eastAsia="方正仿宋_GBK" w:cs="Times New Roman"/>
          <w:color w:val="auto"/>
          <w:sz w:val="32"/>
          <w:szCs w:val="32"/>
          <w:highlight w:val="none"/>
          <w:u w:val="none" w:color="auto"/>
        </w:rPr>
        <w:t>住宿服务体系。大力</w:t>
      </w:r>
      <w:r>
        <w:rPr>
          <w:rFonts w:hint="default" w:ascii="Times New Roman" w:hAnsi="Times New Roman" w:eastAsia="方正仿宋_GBK" w:cs="Times New Roman"/>
          <w:color w:val="auto"/>
          <w:sz w:val="32"/>
          <w:szCs w:val="32"/>
          <w:highlight w:val="none"/>
          <w:u w:val="none" w:color="auto"/>
          <w:lang w:val="en-US" w:eastAsia="zh-CN"/>
        </w:rPr>
        <w:t>发展</w:t>
      </w:r>
      <w:r>
        <w:rPr>
          <w:rFonts w:hint="default" w:ascii="Times New Roman" w:hAnsi="Times New Roman" w:eastAsia="方正仿宋_GBK" w:cs="Times New Roman"/>
          <w:color w:val="auto"/>
          <w:sz w:val="32"/>
          <w:szCs w:val="32"/>
          <w:highlight w:val="none"/>
          <w:u w:val="none" w:color="auto"/>
        </w:rPr>
        <w:t>演艺经济</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票根经济，</w:t>
      </w:r>
      <w:r>
        <w:rPr>
          <w:rFonts w:hint="default" w:ascii="Times New Roman" w:hAnsi="Times New Roman" w:eastAsia="方正仿宋_GBK" w:cs="Times New Roman"/>
          <w:color w:val="auto"/>
          <w:sz w:val="32"/>
          <w:szCs w:val="32"/>
          <w:highlight w:val="none"/>
          <w:u w:val="none" w:color="auto"/>
          <w:lang w:val="en-US" w:eastAsia="zh-CN"/>
        </w:rPr>
        <w:t>依托</w:t>
      </w:r>
      <w:r>
        <w:rPr>
          <w:rFonts w:hint="default" w:ascii="Times New Roman" w:hAnsi="Times New Roman" w:eastAsia="方正仿宋_GBK" w:cs="Times New Roman"/>
          <w:color w:val="auto"/>
          <w:sz w:val="32"/>
          <w:szCs w:val="32"/>
          <w:highlight w:val="none"/>
          <w:u w:val="none" w:color="auto"/>
        </w:rPr>
        <w:t>专业剧场、</w:t>
      </w:r>
      <w:r>
        <w:rPr>
          <w:rFonts w:hint="default" w:ascii="Times New Roman" w:hAnsi="Times New Roman" w:eastAsia="方正仿宋_GBK" w:cs="Times New Roman"/>
          <w:color w:val="auto"/>
          <w:sz w:val="32"/>
          <w:szCs w:val="32"/>
          <w:highlight w:val="none"/>
          <w:u w:val="none" w:color="auto"/>
          <w:lang w:val="en-US" w:eastAsia="zh-CN"/>
        </w:rPr>
        <w:t>文化</w:t>
      </w:r>
      <w:r>
        <w:rPr>
          <w:rFonts w:hint="default" w:ascii="Times New Roman" w:hAnsi="Times New Roman" w:eastAsia="方正仿宋_GBK" w:cs="Times New Roman"/>
          <w:color w:val="auto"/>
          <w:sz w:val="32"/>
          <w:szCs w:val="32"/>
          <w:highlight w:val="none"/>
          <w:u w:val="none" w:color="auto"/>
        </w:rPr>
        <w:t>场馆</w:t>
      </w:r>
      <w:r>
        <w:rPr>
          <w:rFonts w:hint="default" w:ascii="Times New Roman" w:hAnsi="Times New Roman" w:eastAsia="方正仿宋_GBK" w:cs="Times New Roman"/>
          <w:color w:val="auto"/>
          <w:sz w:val="32"/>
          <w:szCs w:val="32"/>
          <w:highlight w:val="none"/>
          <w:u w:val="none" w:color="auto"/>
          <w:lang w:val="en-US" w:eastAsia="zh-CN"/>
        </w:rPr>
        <w:t>等常态化开展剧目演出，</w:t>
      </w:r>
      <w:r>
        <w:rPr>
          <w:rFonts w:hint="default" w:ascii="Times New Roman" w:hAnsi="Times New Roman" w:eastAsia="方正仿宋_GBK" w:cs="Times New Roman"/>
          <w:color w:val="auto"/>
          <w:sz w:val="32"/>
          <w:szCs w:val="32"/>
          <w:highlight w:val="none"/>
          <w:u w:val="none" w:color="auto"/>
        </w:rPr>
        <w:t>做靓开心麻花、扯馆儿等演艺品牌</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打造魁星楼</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艺术方舟</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联动推出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票根+</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文旅消费活动，打造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购票即享一站式消费体验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新模式。深化夜间经济核心区建设，提质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夜购、夜赏、夜味、夜养、夜玩</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夜间消费供给，激活夜间消费活力。</w:t>
      </w:r>
      <w:r>
        <w:rPr>
          <w:rFonts w:hint="default" w:ascii="Times New Roman" w:hAnsi="Times New Roman" w:eastAsia="方正仿宋_GBK" w:cs="Times New Roman"/>
          <w:color w:val="auto"/>
          <w:sz w:val="32"/>
          <w:szCs w:val="32"/>
          <w:highlight w:val="none"/>
          <w:u w:val="none" w:color="auto"/>
        </w:rPr>
        <w:t>以</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渝邻汇</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等综合服务体为载体，</w:t>
      </w:r>
      <w:r>
        <w:rPr>
          <w:rFonts w:hint="default" w:ascii="Times New Roman" w:hAnsi="Times New Roman" w:eastAsia="方正仿宋_GBK" w:cs="Times New Roman"/>
          <w:color w:val="auto"/>
          <w:sz w:val="32"/>
          <w:szCs w:val="32"/>
          <w:highlight w:val="none"/>
          <w:u w:val="none" w:color="auto"/>
          <w:lang w:val="en-US" w:eastAsia="zh-CN"/>
        </w:rPr>
        <w:t>推动</w:t>
      </w:r>
      <w:r>
        <w:rPr>
          <w:rFonts w:hint="default" w:ascii="Times New Roman" w:hAnsi="Times New Roman" w:eastAsia="方正仿宋_GBK" w:cs="Times New Roman"/>
          <w:color w:val="auto"/>
          <w:sz w:val="32"/>
          <w:szCs w:val="32"/>
          <w:highlight w:val="none"/>
          <w:u w:val="none" w:color="auto"/>
        </w:rPr>
        <w:t>物业、家政企业、社区医院</w:t>
      </w:r>
      <w:r>
        <w:rPr>
          <w:rFonts w:hint="default" w:ascii="Times New Roman" w:hAnsi="Times New Roman" w:eastAsia="方正仿宋_GBK" w:cs="Times New Roman"/>
          <w:color w:val="auto"/>
          <w:sz w:val="32"/>
          <w:szCs w:val="32"/>
          <w:highlight w:val="none"/>
          <w:u w:val="none" w:color="auto"/>
          <w:lang w:val="en-US" w:eastAsia="zh-CN"/>
        </w:rPr>
        <w:t>等</w:t>
      </w:r>
      <w:r>
        <w:rPr>
          <w:rFonts w:hint="default" w:ascii="Times New Roman" w:hAnsi="Times New Roman" w:eastAsia="方正仿宋_GBK" w:cs="Times New Roman"/>
          <w:color w:val="auto"/>
          <w:sz w:val="32"/>
          <w:szCs w:val="32"/>
          <w:highlight w:val="none"/>
          <w:u w:val="none" w:color="auto"/>
        </w:rPr>
        <w:t>资源整合，提供保洁维修、养老助餐、居家育幼等便民服务，拓展</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社区+</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融合消费。</w:t>
      </w:r>
    </w:p>
    <w:bookmarkEnd w:id="795"/>
    <w:p w14:paraId="2608450D">
      <w:pPr>
        <w:keepNext w:val="0"/>
        <w:keepLines w:val="0"/>
        <w:pageBreakBefore w:val="0"/>
        <w:widowControl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796" w:name="_Toc2336"/>
      <w:bookmarkStart w:id="797" w:name="_Toc16097"/>
      <w:bookmarkStart w:id="798" w:name="_Toc4661"/>
      <w:bookmarkStart w:id="799" w:name="_Toc32494"/>
      <w:bookmarkStart w:id="800" w:name="_Toc7917"/>
      <w:bookmarkStart w:id="801" w:name="_Toc23061"/>
      <w:bookmarkStart w:id="802" w:name="_Toc19620"/>
      <w:bookmarkStart w:id="803" w:name="_Toc23710"/>
      <w:bookmarkStart w:id="804" w:name="_Toc29393"/>
      <w:bookmarkStart w:id="805" w:name="_Toc17558"/>
      <w:bookmarkStart w:id="806" w:name="_Toc14026"/>
      <w:bookmarkStart w:id="807" w:name="_Toc19362"/>
      <w:r>
        <w:rPr>
          <w:rFonts w:hint="default" w:ascii="Times New Roman" w:hAnsi="Times New Roman" w:eastAsia="方正黑体_GBK" w:cs="Times New Roman"/>
          <w:color w:val="auto"/>
          <w:kern w:val="2"/>
          <w:sz w:val="32"/>
          <w:szCs w:val="32"/>
          <w:highlight w:val="none"/>
          <w:u w:val="none" w:color="auto"/>
          <w:lang w:val="en-US" w:eastAsia="zh-CN" w:bidi="ar-SA"/>
        </w:rPr>
        <w:t>第十九章 创新多元融合消费场景</w:t>
      </w:r>
      <w:bookmarkEnd w:id="793"/>
      <w:bookmarkEnd w:id="796"/>
      <w:bookmarkEnd w:id="797"/>
      <w:bookmarkEnd w:id="798"/>
      <w:bookmarkEnd w:id="799"/>
      <w:bookmarkEnd w:id="800"/>
      <w:bookmarkEnd w:id="801"/>
      <w:bookmarkEnd w:id="802"/>
      <w:bookmarkEnd w:id="803"/>
      <w:bookmarkEnd w:id="804"/>
      <w:bookmarkEnd w:id="805"/>
      <w:bookmarkEnd w:id="806"/>
      <w:bookmarkEnd w:id="807"/>
    </w:p>
    <w:p w14:paraId="64AF4FB8">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深挖山水人文与城市空间资源，通过场景创新与业态融合，实现</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一场景一特色、一区域一品牌</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，持续培育消费新增长点。</w:t>
      </w:r>
    </w:p>
    <w:p w14:paraId="395EABD0">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08" w:name="_Toc10469"/>
      <w:bookmarkStart w:id="809" w:name="_Toc15013"/>
      <w:bookmarkStart w:id="810" w:name="_Toc5180"/>
      <w:bookmarkStart w:id="811" w:name="_Toc32359"/>
      <w:bookmarkStart w:id="812" w:name="_Toc8936"/>
      <w:bookmarkStart w:id="813" w:name="_Toc26339"/>
      <w:bookmarkStart w:id="814" w:name="_Toc7779"/>
      <w:bookmarkStart w:id="815" w:name="_Toc26100"/>
      <w:bookmarkStart w:id="816" w:name="_Toc7969"/>
      <w:bookmarkStart w:id="817" w:name="_Toc15340"/>
      <w:bookmarkStart w:id="818" w:name="_Toc11287"/>
      <w:bookmarkStart w:id="819" w:name="_Toc20042"/>
      <w:bookmarkStart w:id="820" w:name="_Toc22629"/>
      <w:bookmarkStart w:id="821" w:name="_Toc30539"/>
      <w:r>
        <w:rPr>
          <w:rFonts w:hint="default" w:ascii="Times New Roman" w:hAnsi="Times New Roman" w:eastAsia="方正楷体_GBK" w:cs="Times New Roman"/>
          <w:color w:val="auto"/>
          <w:kern w:val="2"/>
          <w:sz w:val="32"/>
          <w:szCs w:val="32"/>
          <w:highlight w:val="none"/>
          <w:u w:val="none" w:color="auto"/>
          <w:lang w:val="en-US" w:eastAsia="zh-CN" w:bidi="ar-SA"/>
        </w:rPr>
        <w:t xml:space="preserve">第一节 </w:t>
      </w:r>
      <w:bookmarkEnd w:id="808"/>
      <w:r>
        <w:rPr>
          <w:rFonts w:hint="default" w:ascii="Times New Roman" w:hAnsi="Times New Roman" w:eastAsia="方正楷体_GBK" w:cs="Times New Roman"/>
          <w:color w:val="auto"/>
          <w:sz w:val="32"/>
          <w:szCs w:val="32"/>
          <w:highlight w:val="none"/>
          <w:u w:val="none" w:color="auto"/>
          <w:lang w:val="en-US" w:eastAsia="zh-CN"/>
        </w:rPr>
        <w:t>强化</w:t>
      </w:r>
      <w:r>
        <w:rPr>
          <w:rFonts w:hint="default" w:ascii="Times New Roman" w:hAnsi="Times New Roman" w:eastAsia="方正楷体_GBK" w:cs="Times New Roman"/>
          <w:color w:val="auto"/>
          <w:sz w:val="32"/>
          <w:szCs w:val="32"/>
          <w:highlight w:val="none"/>
          <w:u w:val="none" w:color="auto"/>
        </w:rPr>
        <w:t>地标</w:t>
      </w:r>
      <w:r>
        <w:rPr>
          <w:rFonts w:hint="default" w:ascii="Times New Roman" w:hAnsi="Times New Roman" w:eastAsia="方正楷体_GBK" w:cs="Times New Roman"/>
          <w:color w:val="auto"/>
          <w:sz w:val="32"/>
          <w:szCs w:val="32"/>
          <w:highlight w:val="none"/>
          <w:u w:val="none" w:color="auto"/>
          <w:lang w:val="en-US" w:eastAsia="zh-CN"/>
        </w:rPr>
        <w:t>商圈</w:t>
      </w:r>
      <w:r>
        <w:rPr>
          <w:rFonts w:hint="default" w:ascii="Times New Roman" w:hAnsi="Times New Roman" w:eastAsia="方正楷体_GBK" w:cs="Times New Roman"/>
          <w:color w:val="auto"/>
          <w:sz w:val="32"/>
          <w:szCs w:val="32"/>
          <w:highlight w:val="none"/>
          <w:u w:val="none" w:color="auto"/>
        </w:rPr>
        <w:t>场景引领</w:t>
      </w:r>
      <w:bookmarkEnd w:id="809"/>
      <w:bookmarkEnd w:id="810"/>
      <w:bookmarkEnd w:id="811"/>
      <w:bookmarkEnd w:id="812"/>
      <w:bookmarkEnd w:id="813"/>
      <w:bookmarkEnd w:id="814"/>
      <w:bookmarkEnd w:id="815"/>
      <w:bookmarkEnd w:id="816"/>
      <w:bookmarkEnd w:id="817"/>
      <w:bookmarkEnd w:id="818"/>
      <w:bookmarkEnd w:id="819"/>
      <w:bookmarkEnd w:id="820"/>
    </w:p>
    <w:p w14:paraId="51294ADD">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提升解放碑世界知名商圈消费能级，聚焦</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国际品质消费、多元文化体验</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sz w:val="32"/>
          <w:szCs w:val="32"/>
          <w:highlight w:val="none"/>
          <w:u w:val="none" w:color="auto"/>
        </w:rPr>
        <w:t>加快</w:t>
      </w:r>
      <w:r>
        <w:rPr>
          <w:rFonts w:hint="default" w:ascii="Times New Roman" w:hAnsi="Times New Roman" w:eastAsia="方正仿宋_GBK" w:cs="Times New Roman"/>
          <w:color w:val="auto"/>
          <w:kern w:val="2"/>
          <w:sz w:val="32"/>
          <w:szCs w:val="32"/>
          <w:highlight w:val="none"/>
          <w:u w:val="none" w:color="auto"/>
          <w:lang w:val="en-US" w:eastAsia="zh-CN" w:bidi="ar-SA"/>
        </w:rPr>
        <w:t>提升楼宇形象品质，优化步行轴线，打造空中连廊，</w:t>
      </w:r>
      <w:r>
        <w:rPr>
          <w:rFonts w:hint="default" w:ascii="Times New Roman" w:hAnsi="Times New Roman" w:eastAsia="方正仿宋_GBK" w:cs="Times New Roman"/>
          <w:color w:val="auto"/>
          <w:sz w:val="32"/>
          <w:szCs w:val="32"/>
          <w:highlight w:val="none"/>
          <w:u w:val="none" w:color="auto"/>
        </w:rPr>
        <w:t>推进商圈场景更新、业态升级</w:t>
      </w:r>
      <w:r>
        <w:rPr>
          <w:rFonts w:hint="default" w:ascii="Times New Roman" w:hAnsi="Times New Roman" w:eastAsia="方正仿宋_GBK" w:cs="Times New Roman"/>
          <w:color w:val="auto"/>
          <w:kern w:val="2"/>
          <w:sz w:val="32"/>
          <w:szCs w:val="32"/>
          <w:highlight w:val="none"/>
          <w:u w:val="none" w:color="auto"/>
          <w:lang w:val="en-US" w:eastAsia="zh-CN" w:bidi="ar-SA"/>
        </w:rPr>
        <w:t>，社会消费品零售总额突破1500亿元。推动大坪潮流商圈提质扩容，聚焦</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年轻新潮活力、品质生活消费</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0"/>
          <w:sz w:val="32"/>
          <w:szCs w:val="32"/>
          <w:highlight w:val="none"/>
          <w:u w:val="none" w:color="auto"/>
          <w:lang w:val="en-US" w:eastAsia="zh-CN" w:bidi="ar-SA"/>
        </w:rPr>
        <w:t>持续焕新</w:t>
      </w:r>
      <w:r>
        <w:rPr>
          <w:rFonts w:hint="eastAsia" w:ascii="Times New Roman" w:hAnsi="Times New Roman" w:eastAsia="方正仿宋_GBK" w:cs="方正仿宋_GBK"/>
          <w:color w:val="auto"/>
          <w:kern w:val="0"/>
          <w:sz w:val="32"/>
          <w:szCs w:val="32"/>
          <w:highlight w:val="none"/>
          <w:u w:val="none" w:color="auto"/>
          <w:lang w:val="en-US" w:eastAsia="zh-CN" w:bidi="ar-SA"/>
        </w:rPr>
        <w:t>“</w:t>
      </w:r>
      <w:r>
        <w:rPr>
          <w:rFonts w:hint="default" w:ascii="Times New Roman" w:hAnsi="Times New Roman" w:eastAsia="方正仿宋_GBK" w:cs="Times New Roman"/>
          <w:color w:val="auto"/>
          <w:kern w:val="0"/>
          <w:sz w:val="32"/>
          <w:szCs w:val="32"/>
          <w:highlight w:val="none"/>
          <w:u w:val="none" w:color="auto"/>
          <w:lang w:val="en-US" w:eastAsia="zh-CN" w:bidi="ar-SA"/>
        </w:rPr>
        <w:t>5馆+5街区+2空间+2广场+2公园</w:t>
      </w:r>
      <w:r>
        <w:rPr>
          <w:rFonts w:hint="eastAsia" w:ascii="Times New Roman" w:hAnsi="Times New Roman" w:eastAsia="方正仿宋_GBK" w:cs="方正仿宋_GBK"/>
          <w:color w:val="auto"/>
          <w:kern w:val="0"/>
          <w:sz w:val="32"/>
          <w:szCs w:val="32"/>
          <w:highlight w:val="none"/>
          <w:u w:val="none" w:color="auto"/>
          <w:lang w:val="en-US" w:eastAsia="zh-CN" w:bidi="ar-SA"/>
        </w:rPr>
        <w:t>”</w:t>
      </w:r>
      <w:r>
        <w:rPr>
          <w:rFonts w:hint="default" w:ascii="Times New Roman" w:hAnsi="Times New Roman" w:eastAsia="方正仿宋_GBK" w:cs="Times New Roman"/>
          <w:color w:val="auto"/>
          <w:kern w:val="0"/>
          <w:sz w:val="32"/>
          <w:szCs w:val="32"/>
          <w:highlight w:val="none"/>
          <w:u w:val="none" w:color="auto"/>
          <w:lang w:val="en-US" w:eastAsia="zh-CN" w:bidi="ar-SA"/>
        </w:rPr>
        <w:t>超级消费场景，</w:t>
      </w:r>
      <w:r>
        <w:rPr>
          <w:rFonts w:hint="default" w:ascii="Times New Roman" w:hAnsi="Times New Roman" w:eastAsia="方正仿宋_GBK" w:cs="Times New Roman"/>
          <w:color w:val="auto"/>
          <w:kern w:val="2"/>
          <w:sz w:val="32"/>
          <w:szCs w:val="32"/>
          <w:highlight w:val="none"/>
          <w:u w:val="none" w:color="auto"/>
          <w:lang w:val="en-US" w:eastAsia="zh-CN" w:bidi="ar-SA"/>
        </w:rPr>
        <w:t>建设新世代年轻力潮流生活圈，社会消费品零售总额突破240亿元。推动化龙桥新兴商圈创新发展，聚焦</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精致社交生活、商务休闲消费</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，推动印象城、嘉陵中心、重庆天地等核心载体业态优化升级，营造沉浸式滨江消费新场景，打造生活消费新地标，培育百亿商圈新增长极。</w:t>
      </w:r>
    </w:p>
    <w:bookmarkEnd w:id="821"/>
    <w:p w14:paraId="7F5D1D59">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22" w:name="_Toc7616"/>
      <w:bookmarkStart w:id="823" w:name="_Toc28631"/>
      <w:bookmarkStart w:id="824" w:name="_Toc29781"/>
      <w:bookmarkStart w:id="825" w:name="_Toc6550"/>
      <w:bookmarkStart w:id="826" w:name="_Toc12484"/>
      <w:bookmarkStart w:id="827" w:name="_Toc30110"/>
      <w:bookmarkStart w:id="828" w:name="_Toc8193"/>
      <w:bookmarkStart w:id="829" w:name="_Toc28592"/>
      <w:bookmarkStart w:id="830" w:name="_Toc4045"/>
      <w:bookmarkStart w:id="831" w:name="_Toc13127"/>
      <w:bookmarkStart w:id="832" w:name="_Toc28493"/>
      <w:bookmarkStart w:id="833" w:name="_Toc29542"/>
      <w:bookmarkStart w:id="834" w:name="_Toc861"/>
      <w:r>
        <w:rPr>
          <w:rFonts w:hint="default" w:ascii="Times New Roman" w:hAnsi="Times New Roman" w:eastAsia="方正楷体_GBK" w:cs="Times New Roman"/>
          <w:color w:val="auto"/>
          <w:kern w:val="2"/>
          <w:sz w:val="32"/>
          <w:szCs w:val="32"/>
          <w:highlight w:val="none"/>
          <w:u w:val="none" w:color="auto"/>
          <w:lang w:val="en-US" w:eastAsia="zh-CN" w:bidi="ar-SA"/>
        </w:rPr>
        <w:t>第二节 促进消费场景多元融合</w:t>
      </w:r>
      <w:bookmarkEnd w:id="822"/>
      <w:bookmarkEnd w:id="823"/>
      <w:bookmarkEnd w:id="824"/>
      <w:bookmarkEnd w:id="825"/>
      <w:bookmarkEnd w:id="826"/>
      <w:bookmarkEnd w:id="827"/>
      <w:bookmarkEnd w:id="828"/>
      <w:bookmarkEnd w:id="829"/>
      <w:bookmarkEnd w:id="830"/>
      <w:bookmarkEnd w:id="831"/>
      <w:bookmarkEnd w:id="832"/>
      <w:bookmarkEnd w:id="833"/>
    </w:p>
    <w:p w14:paraId="216802F0">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提质打造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江崖街洞天</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核心场景，提升十八梯、山城巷、妙街、鲁祖庙等特色街区名片，落地湖广会馆周边、茶亭北路等后街新场景，促进来福士探索舱云端乐园等云端天台场景功能业态升级。做优惬意江岸、崖壁步道、防空洞穴场景，依托滨江岸线、山城步道等发展滨江酒吧、轻食外摆、休闲咖啡、落日餐吧等慢生活业态，提速南区路、北区路、中山二路沿线防空洞改造，重点培育特色餐饮、文化演艺、科技体验等主题业态。创新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园厂区</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消费场景，拓展城市公园、文创园区、社区商业、特色建筑等非标新兴场景，注入</w:t>
      </w:r>
      <w:r>
        <w:rPr>
          <w:rFonts w:hint="default" w:ascii="Times New Roman" w:hAnsi="Times New Roman" w:eastAsia="方正仿宋_GBK" w:cs="Times New Roman"/>
          <w:color w:val="auto"/>
          <w:sz w:val="32"/>
          <w:szCs w:val="32"/>
          <w:highlight w:val="none"/>
          <w:u w:val="none" w:color="auto"/>
          <w:lang w:val="en-US" w:eastAsia="zh-CN"/>
        </w:rPr>
        <w:t>摄影摄像、</w:t>
      </w:r>
      <w:r>
        <w:rPr>
          <w:rFonts w:hint="default" w:ascii="Times New Roman" w:hAnsi="Times New Roman" w:eastAsia="方正仿宋_GBK" w:cs="Times New Roman"/>
          <w:color w:val="auto"/>
          <w:kern w:val="2"/>
          <w:sz w:val="32"/>
          <w:szCs w:val="32"/>
          <w:highlight w:val="none"/>
          <w:u w:val="none" w:color="auto"/>
          <w:lang w:val="en-US" w:eastAsia="zh-CN" w:bidi="ar-SA"/>
        </w:rPr>
        <w:t>轻运动、快闪艺术、社区文化等活力元素，打造西南非标商业策源地。</w:t>
      </w:r>
    </w:p>
    <w:p w14:paraId="3A0DD053">
      <w:pPr>
        <w:keepNext w:val="0"/>
        <w:keepLines w:val="0"/>
        <w:pageBreakBefore w:val="0"/>
        <w:widowControl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835" w:name="_Toc27849"/>
      <w:bookmarkStart w:id="836" w:name="_Toc4672"/>
      <w:bookmarkStart w:id="837" w:name="_Toc22144"/>
      <w:bookmarkStart w:id="838" w:name="_Toc30345"/>
      <w:bookmarkStart w:id="839" w:name="_Toc5770"/>
      <w:bookmarkStart w:id="840" w:name="_Toc4673"/>
      <w:bookmarkStart w:id="841" w:name="_Toc20427"/>
      <w:bookmarkStart w:id="842" w:name="_Toc30561"/>
      <w:bookmarkStart w:id="843" w:name="_Toc10342"/>
      <w:bookmarkStart w:id="844" w:name="_Toc14341"/>
      <w:bookmarkStart w:id="845" w:name="_Toc13913"/>
      <w:bookmarkStart w:id="846" w:name="_Toc28615"/>
      <w:r>
        <w:rPr>
          <w:rFonts w:hint="default" w:ascii="Times New Roman" w:hAnsi="Times New Roman" w:eastAsia="方正黑体_GBK" w:cs="Times New Roman"/>
          <w:color w:val="auto"/>
          <w:kern w:val="2"/>
          <w:sz w:val="32"/>
          <w:szCs w:val="32"/>
          <w:highlight w:val="none"/>
          <w:u w:val="none" w:color="auto"/>
          <w:lang w:val="en-US" w:eastAsia="zh-CN" w:bidi="ar-SA"/>
        </w:rPr>
        <w:t>第二十章 激发重点群体消费活力</w:t>
      </w:r>
      <w:bookmarkEnd w:id="834"/>
      <w:bookmarkEnd w:id="835"/>
      <w:bookmarkEnd w:id="836"/>
      <w:bookmarkEnd w:id="837"/>
      <w:bookmarkEnd w:id="838"/>
      <w:bookmarkEnd w:id="839"/>
      <w:bookmarkEnd w:id="840"/>
      <w:bookmarkEnd w:id="841"/>
      <w:bookmarkEnd w:id="842"/>
      <w:bookmarkEnd w:id="843"/>
      <w:bookmarkEnd w:id="844"/>
      <w:bookmarkEnd w:id="845"/>
      <w:bookmarkEnd w:id="846"/>
    </w:p>
    <w:p w14:paraId="0D595D41">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围绕女性、儿童、青年、老年等重点群体消费需求，优化细分领域供给与服务，精准施策释放消费潜力，拓宽消费增长空间。</w:t>
      </w:r>
    </w:p>
    <w:p w14:paraId="6A66DD67">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47" w:name="_Toc14715"/>
      <w:bookmarkStart w:id="848" w:name="_Toc21768"/>
      <w:bookmarkStart w:id="849" w:name="_Toc25390"/>
      <w:bookmarkStart w:id="850" w:name="_Toc7073"/>
      <w:bookmarkStart w:id="851" w:name="_Toc12686"/>
      <w:bookmarkStart w:id="852" w:name="_Toc14824"/>
      <w:bookmarkStart w:id="853" w:name="_Toc20195"/>
      <w:bookmarkStart w:id="854" w:name="_Toc5111"/>
      <w:bookmarkStart w:id="855" w:name="_Toc5742"/>
      <w:bookmarkStart w:id="856" w:name="_Toc4961"/>
      <w:bookmarkStart w:id="857" w:name="_Toc2449"/>
      <w:bookmarkStart w:id="858" w:name="_Toc2901"/>
      <w:bookmarkStart w:id="859" w:name="_Toc25699"/>
      <w:r>
        <w:rPr>
          <w:rFonts w:hint="default" w:ascii="Times New Roman" w:hAnsi="Times New Roman" w:eastAsia="方正楷体_GBK" w:cs="Times New Roman"/>
          <w:color w:val="auto"/>
          <w:kern w:val="2"/>
          <w:sz w:val="32"/>
          <w:szCs w:val="32"/>
          <w:highlight w:val="none"/>
          <w:u w:val="none" w:color="auto"/>
          <w:lang w:val="en-US" w:eastAsia="zh-CN" w:bidi="ar-SA"/>
        </w:rPr>
        <w:t>第一节 大力发展美丽消费</w:t>
      </w:r>
      <w:bookmarkEnd w:id="847"/>
      <w:bookmarkEnd w:id="848"/>
      <w:bookmarkEnd w:id="849"/>
      <w:bookmarkEnd w:id="850"/>
      <w:bookmarkEnd w:id="851"/>
      <w:bookmarkEnd w:id="852"/>
      <w:bookmarkEnd w:id="853"/>
      <w:bookmarkEnd w:id="854"/>
      <w:bookmarkEnd w:id="855"/>
      <w:bookmarkEnd w:id="856"/>
      <w:bookmarkEnd w:id="857"/>
      <w:bookmarkEnd w:id="858"/>
      <w:bookmarkEnd w:id="859"/>
    </w:p>
    <w:p w14:paraId="3AEE477D">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楷体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布局高端医美诊所、特色美妆集合店与时尚造型工作室，</w:t>
      </w:r>
      <w:bookmarkStart w:id="860" w:name="OLE_LINK19"/>
      <w:r>
        <w:rPr>
          <w:rFonts w:hint="default" w:ascii="Times New Roman" w:hAnsi="Times New Roman" w:eastAsia="方正仿宋_GBK" w:cs="Times New Roman"/>
          <w:color w:val="auto"/>
          <w:kern w:val="2"/>
          <w:sz w:val="32"/>
          <w:szCs w:val="32"/>
          <w:highlight w:val="none"/>
          <w:u w:val="none" w:color="auto"/>
          <w:lang w:val="en-US" w:eastAsia="zh-CN" w:bidi="ar-SA"/>
        </w:rPr>
        <w:t>不断壮大医美、美妆、服饰、健康管理等悦己消费规模</w:t>
      </w:r>
      <w:bookmarkEnd w:id="860"/>
      <w:r>
        <w:rPr>
          <w:rFonts w:hint="default" w:ascii="Times New Roman" w:hAnsi="Times New Roman" w:eastAsia="方正仿宋_GBK" w:cs="Times New Roman"/>
          <w:color w:val="auto"/>
          <w:kern w:val="2"/>
          <w:sz w:val="32"/>
          <w:szCs w:val="32"/>
          <w:highlight w:val="none"/>
          <w:u w:val="none" w:color="auto"/>
          <w:lang w:val="en-US" w:eastAsia="zh-CN" w:bidi="ar-SA"/>
        </w:rPr>
        <w:t>。培育</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医美+旅游</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美妆+直播</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模式，推动</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时尚+艺术</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时尚+科技</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等业态创新，塑造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渝中美丽消费</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区域特色品牌。举办女性主题论坛、展览展会，打造一批女性主题复合功能型消费集聚区和高人气女性主题网红打卡地。联动医美机构、美妆品牌与大型购物中心互设折扣券、互享会员权益，实现跨业态客流互导。</w:t>
      </w:r>
      <w:bookmarkStart w:id="861" w:name="_Toc8531"/>
    </w:p>
    <w:p w14:paraId="6DFD81AD">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62" w:name="_Toc3792"/>
      <w:bookmarkStart w:id="863" w:name="_Toc16447"/>
      <w:bookmarkStart w:id="864" w:name="_Toc3728"/>
      <w:bookmarkStart w:id="865" w:name="_Toc7762"/>
      <w:bookmarkStart w:id="866" w:name="_Toc6301"/>
      <w:bookmarkStart w:id="867" w:name="_Toc23512"/>
      <w:bookmarkStart w:id="868" w:name="_Toc22590"/>
      <w:bookmarkStart w:id="869" w:name="_Toc29308"/>
      <w:bookmarkStart w:id="870" w:name="_Toc29635"/>
      <w:bookmarkStart w:id="871" w:name="_Toc16126"/>
      <w:bookmarkStart w:id="872" w:name="_Toc5370"/>
      <w:bookmarkStart w:id="873" w:name="_Toc14344"/>
      <w:r>
        <w:rPr>
          <w:rFonts w:hint="default" w:ascii="Times New Roman" w:hAnsi="Times New Roman" w:eastAsia="方正楷体_GBK" w:cs="Times New Roman"/>
          <w:color w:val="auto"/>
          <w:kern w:val="2"/>
          <w:sz w:val="32"/>
          <w:szCs w:val="32"/>
          <w:highlight w:val="none"/>
          <w:u w:val="none" w:color="auto"/>
          <w:lang w:val="en-US" w:eastAsia="zh-CN" w:bidi="ar-SA"/>
        </w:rPr>
        <w:t>第二节 积极发展育幼消费</w:t>
      </w:r>
      <w:bookmarkEnd w:id="861"/>
      <w:bookmarkEnd w:id="862"/>
      <w:bookmarkEnd w:id="863"/>
      <w:bookmarkEnd w:id="864"/>
      <w:bookmarkEnd w:id="865"/>
      <w:bookmarkEnd w:id="866"/>
      <w:bookmarkEnd w:id="867"/>
      <w:bookmarkEnd w:id="868"/>
      <w:bookmarkEnd w:id="869"/>
      <w:bookmarkEnd w:id="870"/>
      <w:bookmarkEnd w:id="871"/>
      <w:bookmarkEnd w:id="872"/>
      <w:bookmarkEnd w:id="873"/>
    </w:p>
    <w:p w14:paraId="07D8B6D8">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丰富婴童产品供给，推动婴童产品向精细化、品质化、智能化升级，重点推广喂养护理、出行装备、教育玩耍等品类。遴选推广婴童优品，鼓励核心商圈门店设立专属专区，</w:t>
      </w:r>
      <w:r>
        <w:rPr>
          <w:rFonts w:hint="default" w:ascii="Times New Roman" w:hAnsi="Times New Roman" w:eastAsia="方正仿宋_GBK" w:cs="Times New Roman"/>
          <w:b w:val="0"/>
          <w:bCs w:val="0"/>
          <w:i w:val="0"/>
          <w:caps w:val="0"/>
          <w:color w:val="auto"/>
          <w:spacing w:val="0"/>
          <w:kern w:val="2"/>
          <w:sz w:val="32"/>
          <w:szCs w:val="32"/>
          <w:highlight w:val="none"/>
          <w:u w:val="none" w:color="auto"/>
          <w:shd w:val="clear" w:fill="FFFFFF"/>
          <w:lang w:val="en-US" w:eastAsia="zh-CN" w:bidi="ar-SA"/>
        </w:rPr>
        <w:t>打造集零售、体验、服务于一体的亲子消费综合体，</w:t>
      </w:r>
      <w:r>
        <w:rPr>
          <w:rFonts w:hint="default" w:ascii="Times New Roman" w:hAnsi="Times New Roman" w:eastAsia="方正仿宋_GBK" w:cs="Times New Roman"/>
          <w:color w:val="auto"/>
          <w:kern w:val="2"/>
          <w:sz w:val="32"/>
          <w:szCs w:val="32"/>
          <w:highlight w:val="none"/>
          <w:u w:val="none" w:color="auto"/>
          <w:lang w:val="en-US" w:eastAsia="zh-CN" w:bidi="ar-SA"/>
        </w:rPr>
        <w:t>保障高品质育儿消费需求。发展孕期健康管理、早教入户指导等前置服务，鼓励发展高端全日托、亲子主题营等市场化服务。依托山城步道、文博场馆等特色空间嵌入社区托育、亲子研学、博物探索等消费业态。</w:t>
      </w:r>
    </w:p>
    <w:p w14:paraId="370FC114">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74" w:name="_Toc1809"/>
      <w:bookmarkStart w:id="875" w:name="_Toc6396"/>
      <w:bookmarkStart w:id="876" w:name="_Toc3503"/>
      <w:bookmarkStart w:id="877" w:name="_Toc6604"/>
      <w:bookmarkStart w:id="878" w:name="_Toc2467"/>
      <w:bookmarkStart w:id="879" w:name="_Toc21884"/>
      <w:bookmarkStart w:id="880" w:name="_Toc2895"/>
      <w:bookmarkStart w:id="881" w:name="_Toc29619"/>
      <w:bookmarkStart w:id="882" w:name="_Toc13405"/>
      <w:bookmarkStart w:id="883" w:name="_Toc21148"/>
      <w:bookmarkStart w:id="884" w:name="_Toc19320"/>
      <w:bookmarkStart w:id="885" w:name="_Toc31703"/>
      <w:bookmarkStart w:id="886" w:name="_Toc19097"/>
      <w:r>
        <w:rPr>
          <w:rFonts w:hint="default" w:ascii="Times New Roman" w:hAnsi="Times New Roman" w:eastAsia="方正楷体_GBK" w:cs="Times New Roman"/>
          <w:color w:val="auto"/>
          <w:kern w:val="2"/>
          <w:sz w:val="32"/>
          <w:szCs w:val="32"/>
          <w:highlight w:val="none"/>
          <w:u w:val="none" w:color="auto"/>
          <w:lang w:val="en-US" w:eastAsia="zh-CN" w:bidi="ar-SA"/>
        </w:rPr>
        <w:t>第三节 加快发展情绪消费</w:t>
      </w:r>
      <w:bookmarkEnd w:id="874"/>
      <w:bookmarkEnd w:id="875"/>
      <w:bookmarkEnd w:id="876"/>
      <w:bookmarkEnd w:id="877"/>
      <w:bookmarkEnd w:id="878"/>
      <w:bookmarkEnd w:id="879"/>
      <w:bookmarkEnd w:id="880"/>
      <w:bookmarkEnd w:id="881"/>
      <w:bookmarkEnd w:id="882"/>
      <w:bookmarkEnd w:id="883"/>
      <w:bookmarkEnd w:id="884"/>
      <w:bookmarkEnd w:id="885"/>
      <w:bookmarkEnd w:id="886"/>
    </w:p>
    <w:p w14:paraId="652A3BB1">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聚焦舒压疗愈、情感共鸣、自我表达等领域，布局沉浸式音疗馆、香氛冥想室、主题共鸣展、减压体验馆、创意书坊、情绪释放工作坊等特色场景，打造情感链接消费新业态。</w:t>
      </w:r>
      <w:r>
        <w:rPr>
          <w:rFonts w:hint="default" w:ascii="Times New Roman" w:hAnsi="Times New Roman" w:eastAsia="方正仿宋_GBK" w:cs="Times New Roman"/>
          <w:color w:val="auto"/>
          <w:sz w:val="32"/>
          <w:szCs w:val="32"/>
          <w:highlight w:val="none"/>
          <w:u w:val="none" w:color="auto"/>
          <w:lang w:eastAsia="zh-CN"/>
        </w:rPr>
        <w:t>大力</w:t>
      </w:r>
      <w:r>
        <w:rPr>
          <w:rFonts w:hint="default" w:ascii="Times New Roman" w:hAnsi="Times New Roman" w:eastAsia="方正仿宋_GBK" w:cs="Times New Roman"/>
          <w:color w:val="auto"/>
          <w:kern w:val="2"/>
          <w:sz w:val="32"/>
          <w:szCs w:val="32"/>
          <w:highlight w:val="none"/>
          <w:u w:val="none" w:color="auto"/>
          <w:lang w:val="en-US" w:eastAsia="zh-CN" w:bidi="ar-SA"/>
        </w:rPr>
        <w:t>发展</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谷子经济</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甜蜜经济</w:t>
      </w:r>
      <w:bookmarkStart w:id="887" w:name="_Toc21890"/>
      <w:r>
        <w:rPr>
          <w:rFonts w:hint="eastAsia" w:ascii="Times New Roman" w:hAnsi="Times New Roman" w:eastAsia="方正仿宋_GBK" w:cs="方正仿宋_GBK"/>
          <w:color w:val="auto"/>
          <w:kern w:val="2"/>
          <w:sz w:val="32"/>
          <w:szCs w:val="32"/>
          <w:highlight w:val="none"/>
          <w:u w:val="none" w:color="auto"/>
          <w:lang w:val="en-US" w:eastAsia="zh-CN" w:bidi="ar-SA"/>
        </w:rPr>
        <w:t>”“单身经济”</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面向Z世代、α世代，提质发展</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2077赛博城市</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S.95超次元中心</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等二次元消费新空间，大力引进潮玩、二次元等领域主题店、旗舰店，常态化举办次元漫游节、动漫嘉年华、电竞赛事等特色活动。合理布局小众潮牌、电竞体</w:t>
      </w:r>
      <w:r>
        <w:rPr>
          <w:rFonts w:hint="default" w:ascii="Times New Roman" w:hAnsi="Times New Roman" w:eastAsia="方正仿宋_GBK" w:cs="Times New Roman"/>
          <w:color w:val="auto"/>
          <w:spacing w:val="-6"/>
          <w:kern w:val="2"/>
          <w:sz w:val="32"/>
          <w:szCs w:val="32"/>
          <w:highlight w:val="none"/>
          <w:u w:val="none" w:color="auto"/>
          <w:lang w:val="en-US" w:eastAsia="zh-CN" w:bidi="ar-SA"/>
        </w:rPr>
        <w:t>验馆、主题文化项目，打造具有渝中辨识度的潮玩商圈、潮流街区。</w:t>
      </w:r>
    </w:p>
    <w:p w14:paraId="3E07DA38">
      <w:pPr>
        <w:keepNext w:val="0"/>
        <w:keepLines w:val="0"/>
        <w:pageBreakBefore w:val="0"/>
        <w:widowControl w:val="0"/>
        <w:tabs>
          <w:tab w:val="right" w:leader="dot" w:pos="8844"/>
        </w:tabs>
        <w:kinsoku/>
        <w:wordWrap/>
        <w:topLinePunct w:val="0"/>
        <w:autoSpaceDE/>
        <w:autoSpaceDN/>
        <w:bidi w:val="0"/>
        <w:spacing w:line="600" w:lineRule="exact"/>
        <w:ind w:left="0" w:leftChars="0"/>
        <w:jc w:val="center"/>
        <w:outlineLvl w:val="2"/>
        <w:rPr>
          <w:rFonts w:hint="default" w:ascii="Times New Roman" w:hAnsi="Times New Roman" w:eastAsia="方正楷体_GBK" w:cs="Times New Roman"/>
          <w:color w:val="auto"/>
          <w:kern w:val="2"/>
          <w:sz w:val="32"/>
          <w:szCs w:val="32"/>
          <w:highlight w:val="none"/>
          <w:u w:val="none" w:color="auto"/>
          <w:lang w:val="en-US" w:eastAsia="zh-CN" w:bidi="ar-SA"/>
        </w:rPr>
      </w:pPr>
      <w:bookmarkStart w:id="888" w:name="_Toc24666"/>
      <w:bookmarkStart w:id="889" w:name="_Toc20223"/>
      <w:bookmarkStart w:id="890" w:name="_Toc29743"/>
      <w:bookmarkStart w:id="891" w:name="_Toc7147"/>
      <w:bookmarkStart w:id="892" w:name="_Toc20152"/>
      <w:bookmarkStart w:id="893" w:name="_Toc22758"/>
      <w:bookmarkStart w:id="894" w:name="_Toc9496"/>
      <w:bookmarkStart w:id="895" w:name="_Toc15795"/>
      <w:bookmarkStart w:id="896" w:name="_Toc9434"/>
      <w:bookmarkStart w:id="897" w:name="_Toc20605"/>
      <w:bookmarkStart w:id="898" w:name="_Toc19857"/>
      <w:bookmarkStart w:id="899" w:name="_Toc19575"/>
      <w:r>
        <w:rPr>
          <w:rFonts w:hint="default" w:ascii="Times New Roman" w:hAnsi="Times New Roman" w:eastAsia="方正楷体_GBK" w:cs="Times New Roman"/>
          <w:color w:val="auto"/>
          <w:kern w:val="2"/>
          <w:sz w:val="32"/>
          <w:szCs w:val="32"/>
          <w:highlight w:val="none"/>
          <w:u w:val="none" w:color="auto"/>
          <w:lang w:val="en-US" w:eastAsia="zh-CN" w:bidi="ar-SA"/>
        </w:rPr>
        <w:t>第四节 支持拓展银发消费</w:t>
      </w:r>
      <w:bookmarkEnd w:id="887"/>
      <w:bookmarkEnd w:id="888"/>
      <w:bookmarkEnd w:id="889"/>
      <w:bookmarkEnd w:id="890"/>
      <w:bookmarkEnd w:id="891"/>
      <w:bookmarkEnd w:id="892"/>
      <w:bookmarkEnd w:id="893"/>
      <w:bookmarkEnd w:id="894"/>
      <w:bookmarkEnd w:id="895"/>
      <w:bookmarkEnd w:id="896"/>
      <w:bookmarkEnd w:id="897"/>
      <w:bookmarkEnd w:id="898"/>
      <w:bookmarkEnd w:id="899"/>
    </w:p>
    <w:p w14:paraId="665CE1E6">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引导商业体设立银发消费专区并实现功能转型，鼓励电商平台、商超等设立银发消费版面或专区，集成老年用品零售、老年教育、康养体验等多重服务。加强适老化产品研发设计，大力推广养老服务机器人、多功能护理床、健康监测设备等智能产品，丰富老年鞋服、营养食品、功能日化、康复辅具等多元产品供给，更好满足老年人品质生活需要。在社区养老服务中心及服务站嵌入康复辅具租赁、老年助餐、老年教育、银发旅游、宠物陪伴等养老消费新业态，打造社区银发经济微载体。开展</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孝老爱老</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购物节等主题消费活动，打造老人无感消费新场景。</w:t>
      </w:r>
    </w:p>
    <w:p w14:paraId="0EDCF41E">
      <w:pPr>
        <w:keepNext w:val="0"/>
        <w:keepLines w:val="0"/>
        <w:pageBreakBefore w:val="0"/>
        <w:widowControl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900" w:name="_Toc6091"/>
      <w:bookmarkStart w:id="901" w:name="_Toc25746"/>
      <w:bookmarkStart w:id="902" w:name="_Toc9497"/>
      <w:bookmarkStart w:id="903" w:name="_Toc9039"/>
      <w:bookmarkStart w:id="904" w:name="_Toc7774"/>
      <w:bookmarkStart w:id="905" w:name="_Toc28546"/>
      <w:bookmarkStart w:id="906" w:name="_Toc15587"/>
      <w:bookmarkStart w:id="907" w:name="_Toc13301"/>
      <w:bookmarkStart w:id="908" w:name="_Toc31085"/>
      <w:bookmarkStart w:id="909" w:name="_Toc12669"/>
      <w:bookmarkStart w:id="910" w:name="_Toc21633"/>
      <w:bookmarkStart w:id="911" w:name="_Toc5123"/>
      <w:bookmarkStart w:id="912" w:name="_Toc7531"/>
      <w:r>
        <w:rPr>
          <w:rFonts w:hint="default" w:ascii="Times New Roman" w:hAnsi="Times New Roman" w:eastAsia="方正黑体_GBK" w:cs="Times New Roman"/>
          <w:color w:val="auto"/>
          <w:kern w:val="2"/>
          <w:sz w:val="32"/>
          <w:szCs w:val="32"/>
          <w:highlight w:val="none"/>
          <w:u w:val="none" w:color="auto"/>
          <w:lang w:val="en-US" w:eastAsia="zh-CN" w:bidi="ar-SA"/>
        </w:rPr>
        <w:t xml:space="preserve">第二十一章 </w:t>
      </w:r>
      <w:bookmarkStart w:id="913" w:name="OLE_LINK6"/>
      <w:r>
        <w:rPr>
          <w:rFonts w:hint="default" w:ascii="Times New Roman" w:hAnsi="Times New Roman" w:eastAsia="方正黑体_GBK" w:cs="Times New Roman"/>
          <w:color w:val="auto"/>
          <w:kern w:val="2"/>
          <w:sz w:val="32"/>
          <w:szCs w:val="32"/>
          <w:highlight w:val="none"/>
          <w:u w:val="none" w:color="auto"/>
          <w:lang w:val="en-US" w:eastAsia="zh-CN" w:bidi="ar-SA"/>
        </w:rPr>
        <w:t>完善消费升级支撑体系</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6363C0DD">
      <w:pPr>
        <w:keepNext w:val="0"/>
        <w:keepLines w:val="0"/>
        <w:pageBreakBefore w:val="0"/>
        <w:widowControl w:val="0"/>
        <w:tabs>
          <w:tab w:val="right" w:leader="dot" w:pos="8844"/>
        </w:tabs>
        <w:kinsoku/>
        <w:wordWrap/>
        <w:topLinePunct w:val="0"/>
        <w:autoSpaceDE/>
        <w:autoSpaceDN/>
        <w:bidi w:val="0"/>
        <w:spacing w:line="600" w:lineRule="exact"/>
        <w:ind w:left="0" w:leftChars="0" w:firstLine="640" w:firstLineChars="200"/>
        <w:jc w:val="both"/>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加大直达消费者的普惠政策力度，切实减轻居民养育、就医养老等负担，增强消费能力和意愿。完善促进消费制度机制，清理汽车、住房、文体等消费领域不合理限制性措施，做好消费新业态新模式新场景管理。</w:t>
      </w:r>
      <w:r>
        <w:rPr>
          <w:rFonts w:hint="default" w:ascii="Times New Roman" w:hAnsi="Times New Roman" w:eastAsia="方正仿宋_GBK" w:cs="Times New Roman"/>
          <w:color w:val="auto"/>
          <w:kern w:val="2"/>
          <w:sz w:val="32"/>
          <w:szCs w:val="40"/>
          <w:highlight w:val="none"/>
          <w:u w:val="none" w:color="auto"/>
          <w:lang w:val="en-US" w:eastAsia="zh-CN" w:bidi="ar-SA"/>
        </w:rPr>
        <w:t>优化消费争议多元化解机制，依法打击假冒伪劣行为，加强消费者权益保护。</w:t>
      </w:r>
      <w:r>
        <w:rPr>
          <w:rFonts w:hint="default" w:ascii="Times New Roman" w:hAnsi="Times New Roman" w:eastAsia="方正仿宋_GBK" w:cs="Times New Roman"/>
          <w:color w:val="auto"/>
          <w:kern w:val="2"/>
          <w:sz w:val="32"/>
          <w:szCs w:val="32"/>
          <w:highlight w:val="none"/>
          <w:u w:val="none" w:color="auto"/>
          <w:lang w:val="en-US" w:eastAsia="zh-CN" w:bidi="ar-SA"/>
        </w:rPr>
        <w:t>落实带薪错峰休假，打造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假日经济</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升级版。</w:t>
      </w:r>
    </w:p>
    <w:p w14:paraId="0AC88EA8">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专栏7  国家消费中心城市核心区建设重点项目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033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4" w:hRule="atLeast"/>
          <w:jc w:val="center"/>
        </w:trPr>
        <w:tc>
          <w:tcPr>
            <w:tcW w:w="8522" w:type="dxa"/>
          </w:tcPr>
          <w:p w14:paraId="7ACCD792">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1.商业载体新建与提档升级。</w:t>
            </w:r>
            <w:r>
              <w:rPr>
                <w:rFonts w:hint="default" w:ascii="Times New Roman" w:hAnsi="Times New Roman" w:eastAsia="方正仿宋_GBK" w:cs="Times New Roman"/>
                <w:color w:val="auto"/>
                <w:sz w:val="24"/>
                <w:szCs w:val="24"/>
                <w:highlight w:val="none"/>
                <w:u w:val="none" w:color="auto"/>
                <w:vertAlign w:val="baseline"/>
                <w:lang w:val="en-US" w:eastAsia="zh-CN"/>
              </w:rPr>
              <w:t>建成投用新华时尚城等项目；实施商业大厦、重百大楼、时代广场、解放碑新世纪百货等楼宇外立面改造；提升重庆印象城、重庆天地、嘉陵中心等商业体品质；盘活世贸中心、国贸中心、瑞富广场、恒大解放碑中心等闲置楼宇。</w:t>
            </w:r>
          </w:p>
          <w:p w14:paraId="044AE37D">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2.精品节会。</w:t>
            </w:r>
            <w:r>
              <w:rPr>
                <w:rFonts w:hint="default" w:ascii="Times New Roman" w:hAnsi="Times New Roman" w:eastAsia="方正仿宋_GBK" w:cs="Times New Roman"/>
                <w:color w:val="auto"/>
                <w:sz w:val="24"/>
                <w:szCs w:val="24"/>
                <w:highlight w:val="none"/>
                <w:u w:val="none" w:color="auto"/>
                <w:vertAlign w:val="baseline"/>
                <w:lang w:val="en-US" w:eastAsia="zh-CN"/>
              </w:rPr>
              <w:t>高质量办好中国国际精品消费月、不夜重庆生活节、都市文化旅游节暨城际旅游交易会等大型国家、市级重要节会；升级打造重庆国际咖啡节、半岛喜剧节、解放碑国际消费节等一批原创节会特色品牌；策划时尚潮玩节、国际美食文化消费节等创新活动；探索打造</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渝中首发节</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62BC8F08">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3.老字号品牌。</w:t>
            </w:r>
            <w:r>
              <w:rPr>
                <w:rFonts w:hint="default" w:ascii="Times New Roman" w:hAnsi="Times New Roman" w:eastAsia="方正仿宋_GBK" w:cs="Times New Roman"/>
                <w:color w:val="auto"/>
                <w:sz w:val="24"/>
                <w:szCs w:val="24"/>
                <w:highlight w:val="none"/>
                <w:u w:val="none" w:color="auto"/>
                <w:vertAlign w:val="baseline"/>
                <w:lang w:val="en-US" w:eastAsia="zh-CN"/>
              </w:rPr>
              <w:t>重点培育德元、王鸭子、九园、老四川枸杞牛尾汤等一批老字号特色品牌，市场化发展蜀绣台灯、烙画文创等非遗产品。</w:t>
            </w:r>
          </w:p>
          <w:p w14:paraId="45EB32E9">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4.特色消费场景。</w:t>
            </w:r>
            <w:r>
              <w:rPr>
                <w:rFonts w:hint="default" w:ascii="Times New Roman" w:hAnsi="Times New Roman" w:eastAsia="方正仿宋_GBK" w:cs="Times New Roman"/>
                <w:color w:val="auto"/>
                <w:sz w:val="24"/>
                <w:szCs w:val="24"/>
                <w:highlight w:val="none"/>
                <w:u w:val="none" w:color="auto"/>
                <w:vertAlign w:val="baseline"/>
                <w:lang w:val="en-US" w:eastAsia="zh-CN"/>
              </w:rPr>
              <w:t>深化打造世贸天台131、WFC会仙楼、云端之眼观景台、黄桷树空中花园、大融汇</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朝天观风</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天台等云端天台场景，加快亮相新华中心云端会客厅等重点项目。推进南区路、北区路、中山二路沿线防空洞改造，重点培育特色餐饮、文化演艺、休闲娱乐、科技体验等主题业态。</w:t>
            </w:r>
          </w:p>
        </w:tc>
      </w:tr>
    </w:tbl>
    <w:p w14:paraId="7B8A07A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914" w:name="_Toc21674"/>
      <w:bookmarkStart w:id="915" w:name="_Toc15878"/>
      <w:bookmarkStart w:id="916" w:name="_Toc16435"/>
      <w:bookmarkStart w:id="917" w:name="_Toc30717"/>
      <w:bookmarkStart w:id="918" w:name="_Toc14805"/>
      <w:bookmarkStart w:id="919" w:name="_Toc23649"/>
      <w:bookmarkStart w:id="920" w:name="_Toc1738"/>
      <w:bookmarkStart w:id="921" w:name="_Toc6203"/>
      <w:bookmarkStart w:id="922" w:name="_Toc20340"/>
      <w:bookmarkStart w:id="923" w:name="_Toc29286"/>
      <w:bookmarkStart w:id="924" w:name="_Toc20659"/>
      <w:bookmarkStart w:id="925" w:name="_Toc24906"/>
      <w:r>
        <w:rPr>
          <w:rFonts w:hint="default" w:ascii="Times New Roman" w:hAnsi="Times New Roman" w:eastAsia="方正黑体_GBK" w:cs="Times New Roman"/>
          <w:color w:val="auto"/>
          <w:sz w:val="32"/>
          <w:szCs w:val="32"/>
          <w:highlight w:val="none"/>
          <w:u w:val="none" w:color="auto"/>
          <w:lang w:val="en-US" w:eastAsia="zh-CN"/>
        </w:rPr>
        <w:t>第二十二章 全面提升投资效益</w:t>
      </w:r>
      <w:bookmarkEnd w:id="914"/>
      <w:bookmarkEnd w:id="915"/>
      <w:bookmarkEnd w:id="916"/>
      <w:bookmarkEnd w:id="917"/>
      <w:bookmarkEnd w:id="918"/>
      <w:bookmarkEnd w:id="919"/>
      <w:bookmarkEnd w:id="920"/>
      <w:bookmarkEnd w:id="921"/>
      <w:bookmarkEnd w:id="922"/>
      <w:bookmarkEnd w:id="923"/>
      <w:bookmarkEnd w:id="924"/>
      <w:bookmarkEnd w:id="925"/>
    </w:p>
    <w:p w14:paraId="252130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6"/>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稳定重点领域投资基本盘，积极承接国家重大战略实施和重</w:t>
      </w:r>
      <w:r>
        <w:rPr>
          <w:rFonts w:hint="default" w:ascii="Times New Roman" w:hAnsi="Times New Roman" w:eastAsia="方正仿宋_GBK" w:cs="Times New Roman"/>
          <w:color w:val="auto"/>
          <w:spacing w:val="-6"/>
          <w:sz w:val="32"/>
          <w:szCs w:val="32"/>
          <w:highlight w:val="none"/>
          <w:u w:val="none" w:color="auto"/>
          <w:lang w:val="en-US" w:eastAsia="zh-CN"/>
        </w:rPr>
        <w:t>点领域安全能力项目建设，持续优化投资结构，保持投资合理增长。</w:t>
      </w:r>
    </w:p>
    <w:p w14:paraId="73A1F612">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kern w:val="2"/>
          <w:sz w:val="32"/>
          <w:szCs w:val="32"/>
          <w:highlight w:val="none"/>
          <w:u w:val="none" w:color="auto"/>
          <w:lang w:val="en-US" w:eastAsia="zh-CN" w:bidi="ar-SA"/>
        </w:rPr>
      </w:pPr>
      <w:bookmarkStart w:id="926" w:name="_Toc13125"/>
      <w:bookmarkStart w:id="927" w:name="_Toc22378"/>
      <w:bookmarkStart w:id="928" w:name="_Toc11730"/>
      <w:bookmarkStart w:id="929" w:name="_Toc14482"/>
      <w:bookmarkStart w:id="930" w:name="_Toc414"/>
      <w:bookmarkStart w:id="931" w:name="_Toc11543"/>
      <w:bookmarkStart w:id="932" w:name="_Toc3957"/>
      <w:bookmarkStart w:id="933" w:name="_Toc28690"/>
      <w:bookmarkStart w:id="934" w:name="_Toc32"/>
      <w:bookmarkStart w:id="935" w:name="_Toc17160"/>
      <w:bookmarkStart w:id="936" w:name="_Toc8012"/>
      <w:bookmarkStart w:id="937" w:name="_Toc19154"/>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第一节 加大力度投资于人</w:t>
      </w:r>
      <w:bookmarkEnd w:id="926"/>
      <w:bookmarkEnd w:id="927"/>
      <w:bookmarkEnd w:id="928"/>
      <w:bookmarkEnd w:id="929"/>
      <w:bookmarkEnd w:id="930"/>
      <w:bookmarkEnd w:id="931"/>
      <w:bookmarkEnd w:id="932"/>
      <w:bookmarkEnd w:id="933"/>
      <w:bookmarkEnd w:id="934"/>
      <w:bookmarkEnd w:id="935"/>
      <w:bookmarkEnd w:id="936"/>
      <w:bookmarkEnd w:id="937"/>
    </w:p>
    <w:p w14:paraId="0D0372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优化公共服务供给激发民生消费活力，加大对教育医疗、普惠养老、生育养育、职业培训、文化体育等领域的公共投入。做优全民终身学习的品质教育服务，健全优质资源共享的医疗健康服务，健全养老服务网络。完善生育关怀服务，推出母婴护理、亲子互动、家庭教育指导、女性职业赋能等特色服务包。围绕数字经济、健康养老、绿色低碳、现代服务等领域，推行</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岗位需求+技能培训+技能评价+就业服务</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四位一体培训模式，新建区级高技能人才培训基地2个。在楼宇改造、公共空间</w:t>
      </w:r>
      <w:r>
        <w:rPr>
          <w:rFonts w:hint="eastAsia" w:ascii="Times New Roman" w:hAnsi="Times New Roman" w:eastAsia="方正仿宋_GBK" w:cs="Times New Roman"/>
          <w:b w:val="0"/>
          <w:bCs w:val="0"/>
          <w:color w:val="auto"/>
          <w:sz w:val="32"/>
          <w:szCs w:val="32"/>
          <w:highlight w:val="none"/>
          <w:u w:val="none" w:color="auto"/>
          <w:lang w:val="en-US" w:eastAsia="zh-CN"/>
        </w:rPr>
        <w:t>品质</w:t>
      </w:r>
      <w:r>
        <w:rPr>
          <w:rFonts w:hint="default" w:ascii="Times New Roman" w:hAnsi="Times New Roman" w:eastAsia="方正仿宋_GBK" w:cs="Times New Roman"/>
          <w:b w:val="0"/>
          <w:bCs w:val="0"/>
          <w:color w:val="auto"/>
          <w:sz w:val="32"/>
          <w:szCs w:val="32"/>
          <w:highlight w:val="none"/>
          <w:u w:val="none" w:color="auto"/>
          <w:lang w:val="en-US" w:eastAsia="zh-CN"/>
        </w:rPr>
        <w:t>提升等城市更新项目中植入文化活动中心、创新实验室、共享办公空间等服务设施，提升居民生活品质和社会交往活力，在服务消费、旅游消费等配套基础设施领域实施一批重点项目。建立健全投资于人的长效机制，优化财政支出责任和财力配置，完善考核激励机制和相关统计制度。</w:t>
      </w:r>
    </w:p>
    <w:p w14:paraId="2504DA7E">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kern w:val="2"/>
          <w:sz w:val="32"/>
          <w:szCs w:val="32"/>
          <w:highlight w:val="none"/>
          <w:u w:val="none" w:color="auto"/>
          <w:lang w:val="en-US" w:eastAsia="zh-CN" w:bidi="ar-SA"/>
        </w:rPr>
      </w:pPr>
      <w:bookmarkStart w:id="938" w:name="_Toc18128"/>
      <w:bookmarkStart w:id="939" w:name="_Toc5777"/>
      <w:bookmarkStart w:id="940" w:name="_Toc3033"/>
      <w:bookmarkStart w:id="941" w:name="_Toc11194"/>
      <w:bookmarkStart w:id="942" w:name="_Toc13525"/>
      <w:bookmarkStart w:id="943" w:name="_Toc3662"/>
      <w:bookmarkStart w:id="944" w:name="_Toc26875"/>
      <w:bookmarkStart w:id="945" w:name="_Toc4631"/>
      <w:bookmarkStart w:id="946" w:name="_Toc19456"/>
      <w:bookmarkStart w:id="947" w:name="_Toc24010"/>
      <w:bookmarkStart w:id="948" w:name="_Toc6404"/>
      <w:bookmarkStart w:id="949" w:name="_Toc29415"/>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第二节 创新市场主导的有效投资内生增长机制</w:t>
      </w:r>
      <w:bookmarkEnd w:id="938"/>
      <w:bookmarkEnd w:id="939"/>
      <w:bookmarkEnd w:id="940"/>
      <w:bookmarkEnd w:id="941"/>
      <w:bookmarkEnd w:id="942"/>
      <w:bookmarkEnd w:id="943"/>
      <w:bookmarkEnd w:id="944"/>
      <w:bookmarkEnd w:id="945"/>
      <w:bookmarkEnd w:id="946"/>
      <w:bookmarkEnd w:id="947"/>
      <w:bookmarkEnd w:id="948"/>
      <w:bookmarkEnd w:id="949"/>
    </w:p>
    <w:p w14:paraId="71E0F4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推动</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政策—项目—资金—资源</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等要素精准对接。强化投资项目可行性及效益研究论证，精准编制全口径政府投资计划，聚焦项目全生命周期，围绕片区功能互补、特色彰显、产城融合、创新要素植入、民生保障等方向，系统充实五年项目储备库和三年滚动计划。</w:t>
      </w:r>
      <w:r>
        <w:rPr>
          <w:rFonts w:hint="eastAsia" w:ascii="Times New Roman" w:hAnsi="Times New Roman" w:eastAsia="方正仿宋_GBK" w:cs="Times New Roman"/>
          <w:b w:val="0"/>
          <w:bCs w:val="0"/>
          <w:color w:val="auto"/>
          <w:sz w:val="32"/>
          <w:szCs w:val="32"/>
          <w:highlight w:val="none"/>
          <w:u w:val="none" w:color="auto"/>
          <w:lang w:val="en-US" w:eastAsia="zh-CN"/>
        </w:rPr>
        <w:t>充分</w:t>
      </w:r>
      <w:r>
        <w:rPr>
          <w:rFonts w:hint="default" w:ascii="Times New Roman" w:hAnsi="Times New Roman" w:eastAsia="方正仿宋_GBK" w:cs="Times New Roman"/>
          <w:b w:val="0"/>
          <w:bCs w:val="0"/>
          <w:color w:val="auto"/>
          <w:sz w:val="32"/>
          <w:szCs w:val="32"/>
          <w:highlight w:val="none"/>
          <w:u w:val="none" w:color="auto"/>
          <w:lang w:val="en-US" w:eastAsia="zh-CN"/>
        </w:rPr>
        <w:t>发挥产业发展母基金撬动作用，谋划实施引领性科技项目，着力推进高增长高活力高回报产业项目。深化投资审批制度改革，形成政府投资多跨协同监管机制。激励民间资本积极承担国家重大战略设施和重点领域安全能力项目建设，完善投资机会清单发布机制，推广应用特许经营权出让、REITs等市场化</w:t>
      </w:r>
      <w:r>
        <w:rPr>
          <w:rFonts w:hint="eastAsia" w:ascii="Times New Roman" w:hAnsi="Times New Roman" w:eastAsia="方正仿宋_GBK" w:cs="Times New Roman"/>
          <w:b w:val="0"/>
          <w:bCs w:val="0"/>
          <w:color w:val="auto"/>
          <w:sz w:val="32"/>
          <w:szCs w:val="32"/>
          <w:highlight w:val="none"/>
          <w:u w:val="none" w:color="auto"/>
          <w:lang w:val="en-US" w:eastAsia="zh-CN"/>
        </w:rPr>
        <w:t>投</w:t>
      </w:r>
      <w:r>
        <w:rPr>
          <w:rFonts w:hint="default" w:ascii="Times New Roman" w:hAnsi="Times New Roman" w:eastAsia="方正仿宋_GBK" w:cs="Times New Roman"/>
          <w:b w:val="0"/>
          <w:bCs w:val="0"/>
          <w:color w:val="auto"/>
          <w:sz w:val="32"/>
          <w:szCs w:val="32"/>
          <w:highlight w:val="none"/>
          <w:u w:val="none" w:color="auto"/>
          <w:lang w:val="en-US" w:eastAsia="zh-CN"/>
        </w:rPr>
        <w:t>融资模式。发挥中央预算内投资、超长期特别国债、专项债等资金撬动作用，更大力度拓宽社会资本。加强投资全过程管理和绩效评价，推动财政资金分配与项目储备、实物工作量</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双挂钩</w:t>
      </w:r>
      <w:r>
        <w:rPr>
          <w:rFonts w:hint="eastAsia"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w:t>
      </w:r>
    </w:p>
    <w:p w14:paraId="5D5019A6">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950" w:name="_Toc10582"/>
      <w:bookmarkStart w:id="951" w:name="_Toc12941"/>
      <w:bookmarkStart w:id="952" w:name="_Toc5922"/>
      <w:bookmarkStart w:id="953" w:name="_Toc14291"/>
      <w:bookmarkStart w:id="954" w:name="_Toc13501"/>
      <w:bookmarkStart w:id="955" w:name="_Toc5101"/>
      <w:bookmarkStart w:id="956" w:name="_Toc8615"/>
      <w:bookmarkStart w:id="957" w:name="_Toc6275"/>
      <w:bookmarkStart w:id="958" w:name="_Toc18050"/>
      <w:bookmarkStart w:id="959" w:name="_Toc747"/>
      <w:bookmarkStart w:id="960" w:name="_Toc5134"/>
      <w:bookmarkStart w:id="961" w:name="_Toc0"/>
      <w:r>
        <w:rPr>
          <w:rFonts w:hint="default" w:ascii="Times New Roman" w:hAnsi="Times New Roman" w:eastAsia="方正黑体_GBK" w:cs="Times New Roman"/>
          <w:color w:val="auto"/>
          <w:kern w:val="2"/>
          <w:sz w:val="32"/>
          <w:szCs w:val="32"/>
          <w:highlight w:val="none"/>
          <w:u w:val="none" w:color="auto"/>
          <w:lang w:val="en-US" w:eastAsia="zh-CN" w:bidi="ar-SA"/>
        </w:rPr>
        <w:t>第二十三章 深度融入全国统一大市场建设</w:t>
      </w:r>
      <w:bookmarkEnd w:id="950"/>
      <w:bookmarkEnd w:id="951"/>
      <w:bookmarkEnd w:id="952"/>
      <w:bookmarkEnd w:id="953"/>
      <w:bookmarkEnd w:id="954"/>
      <w:bookmarkEnd w:id="955"/>
      <w:bookmarkEnd w:id="956"/>
      <w:bookmarkEnd w:id="957"/>
      <w:bookmarkEnd w:id="958"/>
      <w:bookmarkEnd w:id="959"/>
      <w:bookmarkEnd w:id="960"/>
      <w:bookmarkEnd w:id="961"/>
    </w:p>
    <w:p w14:paraId="411E983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u w:val="none" w:color="auto"/>
          <w:shd w:val="clear" w:color="auto" w:fill="FFFFFF"/>
          <w:lang w:eastAsia="zh-CN"/>
        </w:rPr>
      </w:pPr>
      <w:r>
        <w:rPr>
          <w:rFonts w:hint="default" w:ascii="Times New Roman" w:hAnsi="Times New Roman" w:eastAsia="方正仿宋_GBK" w:cs="Times New Roman"/>
          <w:color w:val="auto"/>
          <w:spacing w:val="0"/>
          <w:sz w:val="32"/>
          <w:szCs w:val="32"/>
          <w:highlight w:val="none"/>
          <w:u w:val="none" w:color="auto"/>
          <w:lang w:val="en-US" w:eastAsia="zh-CN"/>
        </w:rPr>
        <w:t>严格执行公平竞争审查制度，保障各类经营者依法平等使用生产要素、公平参与市场竞争。坚决破除阻碍全国统一大市场建设卡点堵点，严格落实产权保护、市场准入、信息披露、社会信用、兼并重组、市场退出等制度。统一市场监管执法，加强质量监管，强化反不正当竞争执法司法。认真落实有利于统一大市场建设的统计、财税等相关制度。</w:t>
      </w:r>
    </w:p>
    <w:p w14:paraId="10CE69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5ABA862A">
      <w:pPr>
        <w:keepNext w:val="0"/>
        <w:keepLines w:val="0"/>
        <w:pageBreakBefore w:val="0"/>
        <w:kinsoku/>
        <w:wordWrap/>
        <w:topLinePunct w:val="0"/>
        <w:autoSpaceDE/>
        <w:autoSpaceDN/>
        <w:bidi w:val="0"/>
        <w:spacing w:line="600" w:lineRule="exact"/>
        <w:jc w:val="center"/>
        <w:outlineLvl w:val="0"/>
        <w:rPr>
          <w:rFonts w:hint="default" w:ascii="Times New Roman" w:hAnsi="Times New Roman" w:eastAsia="方正黑体_GBK" w:cs="Times New Roman"/>
          <w:color w:val="auto"/>
          <w:spacing w:val="-11"/>
          <w:kern w:val="44"/>
          <w:sz w:val="32"/>
          <w:szCs w:val="32"/>
          <w:highlight w:val="none"/>
          <w:u w:val="none" w:color="auto"/>
        </w:rPr>
      </w:pPr>
      <w:bookmarkStart w:id="962" w:name="_Toc28473"/>
      <w:bookmarkStart w:id="963" w:name="_Toc14660"/>
      <w:bookmarkStart w:id="964" w:name="_Toc27575"/>
      <w:bookmarkStart w:id="965" w:name="_Toc8221"/>
      <w:bookmarkStart w:id="966" w:name="_Toc27351"/>
      <w:bookmarkStart w:id="967" w:name="_Toc8882"/>
      <w:bookmarkStart w:id="968" w:name="_Toc9089"/>
      <w:bookmarkStart w:id="969" w:name="_Toc4825"/>
      <w:bookmarkStart w:id="970" w:name="_Toc14326"/>
      <w:bookmarkStart w:id="971" w:name="_Toc26916"/>
      <w:bookmarkStart w:id="972" w:name="_Toc22286"/>
      <w:bookmarkStart w:id="973" w:name="_Toc14485"/>
      <w:r>
        <w:rPr>
          <w:rFonts w:hint="default" w:ascii="Times New Roman" w:hAnsi="Times New Roman" w:eastAsia="方正黑体_GBK" w:cs="Times New Roman"/>
          <w:color w:val="auto"/>
          <w:spacing w:val="-11"/>
          <w:kern w:val="44"/>
          <w:sz w:val="32"/>
          <w:szCs w:val="32"/>
          <w:highlight w:val="none"/>
          <w:u w:val="none" w:color="auto"/>
        </w:rPr>
        <w:t>第</w:t>
      </w:r>
      <w:r>
        <w:rPr>
          <w:rFonts w:hint="default" w:ascii="Times New Roman" w:hAnsi="Times New Roman" w:eastAsia="方正黑体_GBK" w:cs="Times New Roman"/>
          <w:color w:val="auto"/>
          <w:spacing w:val="-11"/>
          <w:kern w:val="44"/>
          <w:sz w:val="32"/>
          <w:szCs w:val="32"/>
          <w:highlight w:val="none"/>
          <w:u w:val="none" w:color="auto"/>
          <w:lang w:val="en-US" w:eastAsia="zh-CN"/>
        </w:rPr>
        <w:t>七</w:t>
      </w:r>
      <w:r>
        <w:rPr>
          <w:rFonts w:hint="default" w:ascii="Times New Roman" w:hAnsi="Times New Roman" w:eastAsia="方正黑体_GBK" w:cs="Times New Roman"/>
          <w:color w:val="auto"/>
          <w:spacing w:val="-11"/>
          <w:kern w:val="44"/>
          <w:sz w:val="32"/>
          <w:szCs w:val="32"/>
          <w:highlight w:val="none"/>
          <w:u w:val="none" w:color="auto"/>
        </w:rPr>
        <w:t>篇 发挥经济体制改革牵引作用</w:t>
      </w:r>
      <w:r>
        <w:rPr>
          <w:rFonts w:hint="default" w:ascii="Times New Roman" w:hAnsi="Times New Roman" w:eastAsia="方正黑体_GBK" w:cs="Times New Roman"/>
          <w:color w:val="auto"/>
          <w:spacing w:val="-11"/>
          <w:kern w:val="44"/>
          <w:sz w:val="32"/>
          <w:szCs w:val="32"/>
          <w:highlight w:val="none"/>
          <w:u w:val="none" w:color="auto"/>
          <w:lang w:eastAsia="zh-CN"/>
        </w:rPr>
        <w:t xml:space="preserve"> </w:t>
      </w:r>
      <w:r>
        <w:rPr>
          <w:rFonts w:hint="default" w:ascii="Times New Roman" w:hAnsi="Times New Roman" w:eastAsia="方正黑体_GBK" w:cs="Times New Roman"/>
          <w:color w:val="auto"/>
          <w:spacing w:val="-11"/>
          <w:kern w:val="44"/>
          <w:sz w:val="32"/>
          <w:szCs w:val="32"/>
          <w:highlight w:val="none"/>
          <w:u w:val="none" w:color="auto"/>
        </w:rPr>
        <w:t>激发内生动力和发展活力</w:t>
      </w:r>
      <w:bookmarkEnd w:id="962"/>
      <w:bookmarkEnd w:id="963"/>
      <w:bookmarkEnd w:id="964"/>
      <w:bookmarkEnd w:id="965"/>
      <w:bookmarkEnd w:id="966"/>
      <w:bookmarkEnd w:id="967"/>
      <w:bookmarkEnd w:id="968"/>
      <w:bookmarkEnd w:id="969"/>
      <w:bookmarkEnd w:id="970"/>
      <w:bookmarkEnd w:id="971"/>
      <w:bookmarkEnd w:id="972"/>
      <w:bookmarkEnd w:id="973"/>
    </w:p>
    <w:p w14:paraId="74CD6663">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highlight w:val="none"/>
          <w:u w:val="none" w:color="auto"/>
        </w:rPr>
      </w:pPr>
    </w:p>
    <w:p w14:paraId="52528434">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highlight w:val="none"/>
          <w:u w:val="none" w:color="auto"/>
        </w:rPr>
      </w:pPr>
      <w:r>
        <w:rPr>
          <w:rFonts w:hint="default" w:ascii="Times New Roman" w:hAnsi="Times New Roman" w:eastAsia="方正仿宋_GBK" w:cs="Times New Roman"/>
          <w:color w:val="auto"/>
          <w:sz w:val="32"/>
          <w:highlight w:val="none"/>
          <w:u w:val="none" w:color="auto"/>
        </w:rPr>
        <w:t>坚持以经济体制改革为</w:t>
      </w:r>
      <w:r>
        <w:rPr>
          <w:rFonts w:hint="default" w:ascii="Times New Roman" w:hAnsi="Times New Roman" w:eastAsia="方正仿宋_GBK" w:cs="Times New Roman"/>
          <w:color w:val="auto"/>
          <w:sz w:val="32"/>
          <w:highlight w:val="none"/>
          <w:u w:val="none" w:color="auto"/>
          <w:lang w:val="en-US" w:eastAsia="zh-CN"/>
        </w:rPr>
        <w:t>牵引，</w:t>
      </w:r>
      <w:r>
        <w:rPr>
          <w:rFonts w:hint="default" w:ascii="Times New Roman" w:hAnsi="Times New Roman" w:eastAsia="方正仿宋_GBK" w:cs="Times New Roman"/>
          <w:color w:val="auto"/>
          <w:sz w:val="32"/>
          <w:highlight w:val="none"/>
          <w:u w:val="none" w:color="auto"/>
        </w:rPr>
        <w:t>全面协调推进各方面改革，</w:t>
      </w:r>
      <w:r>
        <w:rPr>
          <w:rFonts w:hint="default" w:ascii="Times New Roman" w:hAnsi="Times New Roman" w:eastAsia="方正仿宋_GBK" w:cs="Times New Roman"/>
          <w:color w:val="auto"/>
          <w:sz w:val="32"/>
          <w:highlight w:val="none"/>
          <w:u w:val="none" w:color="auto"/>
          <w:lang w:val="en-US" w:eastAsia="zh-CN"/>
        </w:rPr>
        <w:t>形成一批</w:t>
      </w:r>
      <w:r>
        <w:rPr>
          <w:rFonts w:hint="default" w:ascii="Times New Roman" w:hAnsi="Times New Roman" w:eastAsia="方正仿宋_GBK" w:cs="Times New Roman"/>
          <w:color w:val="auto"/>
          <w:sz w:val="32"/>
          <w:highlight w:val="none"/>
          <w:u w:val="none" w:color="auto"/>
        </w:rPr>
        <w:t>引领性、首创性、</w:t>
      </w:r>
      <w:r>
        <w:rPr>
          <w:rFonts w:hint="default" w:ascii="Times New Roman" w:hAnsi="Times New Roman" w:eastAsia="方正仿宋_GBK" w:cs="Times New Roman"/>
          <w:color w:val="auto"/>
          <w:sz w:val="32"/>
          <w:highlight w:val="none"/>
          <w:u w:val="none" w:color="auto"/>
          <w:lang w:val="en-US" w:eastAsia="zh-CN"/>
        </w:rPr>
        <w:t>差异化</w:t>
      </w:r>
      <w:r>
        <w:rPr>
          <w:rFonts w:hint="default" w:ascii="Times New Roman" w:hAnsi="Times New Roman" w:eastAsia="方正仿宋_GBK" w:cs="Times New Roman"/>
          <w:color w:val="auto"/>
          <w:sz w:val="32"/>
          <w:highlight w:val="none"/>
          <w:u w:val="none" w:color="auto"/>
        </w:rPr>
        <w:t>标志性</w:t>
      </w:r>
      <w:r>
        <w:rPr>
          <w:rFonts w:hint="default" w:ascii="Times New Roman" w:hAnsi="Times New Roman" w:eastAsia="方正仿宋_GBK" w:cs="Times New Roman"/>
          <w:color w:val="auto"/>
          <w:sz w:val="32"/>
          <w:highlight w:val="none"/>
          <w:u w:val="none" w:color="auto"/>
          <w:lang w:val="en-US" w:eastAsia="zh-CN"/>
        </w:rPr>
        <w:t>成果</w:t>
      </w:r>
      <w:r>
        <w:rPr>
          <w:rFonts w:hint="default" w:ascii="Times New Roman" w:hAnsi="Times New Roman" w:eastAsia="方正仿宋_GBK" w:cs="Times New Roman"/>
          <w:color w:val="auto"/>
          <w:sz w:val="32"/>
          <w:highlight w:val="none"/>
          <w:u w:val="none" w:color="auto"/>
        </w:rPr>
        <w:t>，营造长期稳定可预期的制度环境、更加公平更有活力的市场环境</w:t>
      </w:r>
      <w:r>
        <w:rPr>
          <w:rFonts w:hint="default" w:ascii="Times New Roman" w:hAnsi="Times New Roman" w:eastAsia="方正仿宋_GBK" w:cs="Times New Roman"/>
          <w:color w:val="auto"/>
          <w:sz w:val="32"/>
          <w:highlight w:val="none"/>
          <w:u w:val="none" w:color="auto"/>
          <w:lang w:eastAsia="zh-CN"/>
        </w:rPr>
        <w:t>，</w:t>
      </w:r>
      <w:r>
        <w:rPr>
          <w:rFonts w:hint="default" w:ascii="Times New Roman" w:hAnsi="Times New Roman" w:eastAsia="方正仿宋_GBK" w:cs="Times New Roman"/>
          <w:color w:val="auto"/>
          <w:sz w:val="32"/>
          <w:highlight w:val="none"/>
          <w:u w:val="none" w:color="auto"/>
          <w:lang w:val="en-US" w:eastAsia="zh-CN"/>
        </w:rPr>
        <w:t>推动高质量发展行稳致远</w:t>
      </w:r>
      <w:r>
        <w:rPr>
          <w:rFonts w:hint="default" w:ascii="Times New Roman" w:hAnsi="Times New Roman" w:eastAsia="方正仿宋_GBK" w:cs="Times New Roman"/>
          <w:color w:val="auto"/>
          <w:sz w:val="32"/>
          <w:highlight w:val="none"/>
          <w:u w:val="none" w:color="auto"/>
        </w:rPr>
        <w:t>。</w:t>
      </w:r>
    </w:p>
    <w:p w14:paraId="40A7BD95">
      <w:pPr>
        <w:keepNext w:val="0"/>
        <w:keepLines w:val="0"/>
        <w:pageBreakBefore w:val="0"/>
        <w:tabs>
          <w:tab w:val="right" w:leader="dot" w:pos="8844"/>
        </w:tabs>
        <w:kinsoku/>
        <w:wordWrap/>
        <w:topLinePunct w:val="0"/>
        <w:autoSpaceDE/>
        <w:autoSpaceDN/>
        <w:bidi w:val="0"/>
        <w:spacing w:line="600" w:lineRule="exact"/>
        <w:jc w:val="center"/>
        <w:outlineLvl w:val="1"/>
        <w:rPr>
          <w:rFonts w:hint="default" w:ascii="Times New Roman" w:hAnsi="Times New Roman" w:eastAsia="方正黑体_GBK" w:cs="Times New Roman"/>
          <w:color w:val="auto"/>
          <w:sz w:val="32"/>
          <w:szCs w:val="32"/>
          <w:highlight w:val="none"/>
          <w:u w:val="none" w:color="auto"/>
        </w:rPr>
      </w:pPr>
      <w:bookmarkStart w:id="974" w:name="_Toc24766"/>
      <w:bookmarkStart w:id="975" w:name="_Toc1967"/>
      <w:bookmarkStart w:id="976" w:name="_Toc12679"/>
      <w:bookmarkStart w:id="977" w:name="_Toc21213"/>
      <w:bookmarkStart w:id="978" w:name="_Toc3125"/>
      <w:bookmarkStart w:id="979" w:name="_Toc28801"/>
      <w:bookmarkStart w:id="980" w:name="_Toc22548"/>
      <w:bookmarkStart w:id="981" w:name="_Toc27952"/>
      <w:bookmarkStart w:id="982" w:name="_Toc8848"/>
      <w:bookmarkStart w:id="983" w:name="_Toc27954"/>
      <w:bookmarkStart w:id="984" w:name="_Toc25207"/>
      <w:bookmarkStart w:id="985" w:name="_Toc23972"/>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四</w:t>
      </w:r>
      <w:r>
        <w:rPr>
          <w:rFonts w:hint="default" w:ascii="Times New Roman" w:hAnsi="Times New Roman" w:eastAsia="方正黑体_GBK" w:cs="Times New Roman"/>
          <w:color w:val="auto"/>
          <w:sz w:val="32"/>
          <w:szCs w:val="32"/>
          <w:highlight w:val="none"/>
          <w:u w:val="none" w:color="auto"/>
        </w:rPr>
        <w:t>章 充分激发各类经营主体活力</w:t>
      </w:r>
      <w:bookmarkEnd w:id="974"/>
      <w:bookmarkEnd w:id="975"/>
      <w:bookmarkEnd w:id="976"/>
      <w:bookmarkEnd w:id="977"/>
      <w:bookmarkEnd w:id="978"/>
      <w:bookmarkEnd w:id="979"/>
      <w:bookmarkEnd w:id="980"/>
      <w:bookmarkEnd w:id="981"/>
      <w:bookmarkEnd w:id="982"/>
      <w:bookmarkEnd w:id="983"/>
      <w:bookmarkEnd w:id="984"/>
      <w:bookmarkEnd w:id="985"/>
    </w:p>
    <w:p w14:paraId="3459A006">
      <w:pPr>
        <w:keepNext w:val="0"/>
        <w:keepLines w:val="0"/>
        <w:pageBreakBefore w:val="0"/>
        <w:kinsoku/>
        <w:wordWrap/>
        <w:topLinePunct w:val="0"/>
        <w:autoSpaceDE/>
        <w:autoSpaceDN/>
        <w:bidi w:val="0"/>
        <w:spacing w:line="600" w:lineRule="exact"/>
        <w:ind w:firstLine="640" w:firstLineChars="200"/>
        <w:jc w:val="left"/>
        <w:outlineLvl w:val="9"/>
        <w:rPr>
          <w:rFonts w:hint="default" w:ascii="Times New Roman" w:hAnsi="Times New Roman" w:eastAsia="方正仿宋_GBK" w:cs="Times New Roman"/>
          <w:color w:val="auto"/>
          <w:sz w:val="32"/>
          <w:szCs w:val="24"/>
          <w:highlight w:val="none"/>
          <w:u w:val="none" w:color="auto"/>
          <w:lang w:val="en-US" w:eastAsia="zh-CN"/>
        </w:rPr>
      </w:pPr>
      <w:r>
        <w:rPr>
          <w:rFonts w:hint="default" w:ascii="Times New Roman" w:hAnsi="Times New Roman" w:eastAsia="方正仿宋_GBK" w:cs="Times New Roman"/>
          <w:color w:val="auto"/>
          <w:sz w:val="32"/>
          <w:szCs w:val="24"/>
          <w:highlight w:val="none"/>
          <w:u w:val="none" w:color="auto"/>
          <w:lang w:val="en-US" w:eastAsia="zh-CN"/>
        </w:rPr>
        <w:t>坚持和落实</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两个毫不动摇</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，全面增强国企核心功能、提升核心竞争力，发展壮大民营经济，促进各种所有制经济优势互补、共同发展。</w:t>
      </w:r>
    </w:p>
    <w:p w14:paraId="4F4ACA7F">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986" w:name="_Toc25112"/>
      <w:bookmarkStart w:id="987" w:name="_Toc25075"/>
      <w:bookmarkStart w:id="988" w:name="_Toc26079"/>
      <w:bookmarkStart w:id="989" w:name="_Toc15088"/>
      <w:bookmarkStart w:id="990" w:name="_Toc5598"/>
      <w:bookmarkStart w:id="991" w:name="_Toc28892"/>
      <w:bookmarkStart w:id="992" w:name="_Toc26144"/>
      <w:bookmarkStart w:id="993" w:name="_Toc2405"/>
      <w:bookmarkStart w:id="994" w:name="_Toc14265"/>
      <w:bookmarkStart w:id="995" w:name="_Toc14271"/>
      <w:bookmarkStart w:id="996" w:name="_Toc931"/>
      <w:bookmarkStart w:id="997" w:name="_Toc19212"/>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_Toc25002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第一节 推动国资国企改革</w:t>
      </w:r>
      <w:r>
        <w:rPr>
          <w:rFonts w:hint="default" w:ascii="Times New Roman" w:hAnsi="Times New Roman" w:eastAsia="方正楷体_GBK" w:cs="Times New Roman"/>
          <w:color w:val="auto"/>
          <w:sz w:val="32"/>
          <w:szCs w:val="32"/>
          <w:highlight w:val="none"/>
          <w:u w:val="none" w:color="auto"/>
        </w:rPr>
        <w:fldChar w:fldCharType="end"/>
      </w:r>
      <w:r>
        <w:rPr>
          <w:rFonts w:hint="default" w:ascii="Times New Roman" w:hAnsi="Times New Roman" w:eastAsia="方正楷体_GBK" w:cs="Times New Roman"/>
          <w:color w:val="auto"/>
          <w:sz w:val="32"/>
          <w:szCs w:val="32"/>
          <w:highlight w:val="none"/>
          <w:u w:val="none" w:color="auto"/>
        </w:rPr>
        <w:t>纵深发展</w:t>
      </w:r>
      <w:bookmarkEnd w:id="986"/>
      <w:bookmarkEnd w:id="987"/>
      <w:bookmarkEnd w:id="988"/>
      <w:bookmarkEnd w:id="989"/>
      <w:bookmarkEnd w:id="990"/>
      <w:bookmarkEnd w:id="991"/>
      <w:bookmarkEnd w:id="992"/>
      <w:bookmarkEnd w:id="993"/>
      <w:bookmarkEnd w:id="994"/>
      <w:bookmarkEnd w:id="995"/>
      <w:bookmarkEnd w:id="996"/>
      <w:bookmarkEnd w:id="997"/>
    </w:p>
    <w:p w14:paraId="151608BF">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z w:val="32"/>
          <w:szCs w:val="40"/>
          <w:highlight w:val="none"/>
          <w:u w:val="none" w:color="auto"/>
        </w:rPr>
      </w:pPr>
      <w:r>
        <w:rPr>
          <w:rFonts w:hint="default" w:ascii="Times New Roman" w:hAnsi="Times New Roman" w:eastAsia="方正仿宋_GBK" w:cs="Times New Roman"/>
          <w:color w:val="auto"/>
          <w:sz w:val="32"/>
          <w:szCs w:val="40"/>
          <w:highlight w:val="none"/>
          <w:u w:val="none" w:color="auto"/>
        </w:rPr>
        <w:t>优化国有</w:t>
      </w:r>
      <w:r>
        <w:rPr>
          <w:rFonts w:hint="default" w:ascii="Times New Roman" w:hAnsi="Times New Roman" w:eastAsia="方正仿宋_GBK" w:cs="Times New Roman"/>
          <w:color w:val="auto"/>
          <w:sz w:val="32"/>
          <w:szCs w:val="40"/>
          <w:highlight w:val="none"/>
          <w:u w:val="none" w:color="auto"/>
          <w:lang w:val="en-US" w:eastAsia="zh-CN"/>
        </w:rPr>
        <w:t>资本</w:t>
      </w:r>
      <w:r>
        <w:rPr>
          <w:rFonts w:hint="default" w:ascii="Times New Roman" w:hAnsi="Times New Roman" w:eastAsia="方正仿宋_GBK" w:cs="Times New Roman"/>
          <w:color w:val="auto"/>
          <w:sz w:val="32"/>
          <w:szCs w:val="40"/>
          <w:highlight w:val="none"/>
          <w:u w:val="none" w:color="auto"/>
        </w:rPr>
        <w:t>布局，集中优势资源向</w:t>
      </w:r>
      <w:r>
        <w:rPr>
          <w:rFonts w:hint="default" w:ascii="Times New Roman" w:hAnsi="Times New Roman" w:eastAsia="方正仿宋_GBK" w:cs="Times New Roman"/>
          <w:color w:val="auto"/>
          <w:sz w:val="32"/>
          <w:szCs w:val="40"/>
          <w:highlight w:val="none"/>
          <w:u w:val="none" w:color="auto"/>
          <w:lang w:val="en-US" w:eastAsia="zh-CN"/>
        </w:rPr>
        <w:t>战略性新兴产业、文旅运营、城市更新、现代商贸等重点领域</w:t>
      </w:r>
      <w:r>
        <w:rPr>
          <w:rFonts w:hint="default" w:ascii="Times New Roman" w:hAnsi="Times New Roman" w:eastAsia="方正仿宋_GBK" w:cs="Times New Roman"/>
          <w:color w:val="auto"/>
          <w:sz w:val="32"/>
          <w:szCs w:val="40"/>
          <w:highlight w:val="none"/>
          <w:u w:val="none" w:color="auto"/>
        </w:rPr>
        <w:t>上下游延伸、向高价值发力</w:t>
      </w:r>
      <w:r>
        <w:rPr>
          <w:rFonts w:hint="default" w:ascii="Times New Roman" w:hAnsi="Times New Roman" w:eastAsia="方正仿宋_GBK" w:cs="Times New Roman"/>
          <w:color w:val="auto"/>
          <w:sz w:val="32"/>
          <w:szCs w:val="40"/>
          <w:highlight w:val="none"/>
          <w:u w:val="none" w:color="auto"/>
          <w:lang w:val="en-US" w:eastAsia="zh-CN"/>
        </w:rPr>
        <w:t>，打造主业清晰、创新驱动、市场竞争力强的一流企业</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国有企业资产总额突破900亿元</w:t>
      </w:r>
      <w:r>
        <w:rPr>
          <w:rFonts w:hint="default" w:ascii="Times New Roman" w:hAnsi="Times New Roman" w:eastAsia="方正仿宋_GBK" w:cs="Times New Roman"/>
          <w:color w:val="auto"/>
          <w:sz w:val="32"/>
          <w:szCs w:val="40"/>
          <w:highlight w:val="none"/>
          <w:u w:val="none" w:color="auto"/>
        </w:rPr>
        <w:t>。全面巩固拓展瘦身、止损、盘活综合成果，</w:t>
      </w:r>
      <w:r>
        <w:rPr>
          <w:rFonts w:hint="default" w:ascii="Times New Roman" w:hAnsi="Times New Roman" w:eastAsia="方正仿宋_GBK" w:cs="Times New Roman"/>
          <w:color w:val="auto"/>
          <w:sz w:val="32"/>
          <w:szCs w:val="32"/>
          <w:highlight w:val="none"/>
          <w:u w:val="none" w:color="auto"/>
        </w:rPr>
        <w:t>探索运用政策性金融工具、资产证券化、股权收益质押等多元融资模式，</w:t>
      </w:r>
      <w:r>
        <w:rPr>
          <w:rFonts w:hint="default" w:ascii="Times New Roman" w:hAnsi="Times New Roman" w:eastAsia="方正仿宋_GBK" w:cs="Times New Roman"/>
          <w:color w:val="auto"/>
          <w:sz w:val="32"/>
          <w:szCs w:val="32"/>
          <w:highlight w:val="none"/>
          <w:u w:val="none" w:color="auto"/>
          <w:lang w:val="en-US" w:eastAsia="zh-CN"/>
        </w:rPr>
        <w:t>多渠道拓宽增值路径</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40"/>
          <w:highlight w:val="none"/>
          <w:u w:val="none" w:color="auto"/>
          <w:lang w:val="en-US" w:eastAsia="zh-CN"/>
        </w:rPr>
        <w:t>推动与</w:t>
      </w:r>
      <w:r>
        <w:rPr>
          <w:rFonts w:hint="default" w:ascii="Times New Roman" w:hAnsi="Times New Roman" w:eastAsia="方正仿宋_GBK" w:cs="Times New Roman"/>
          <w:color w:val="auto"/>
          <w:sz w:val="32"/>
          <w:szCs w:val="40"/>
          <w:highlight w:val="none"/>
          <w:u w:val="none" w:color="auto"/>
        </w:rPr>
        <w:t>更多央企、民企、</w:t>
      </w:r>
      <w:r>
        <w:rPr>
          <w:rFonts w:hint="default" w:ascii="Times New Roman" w:hAnsi="Times New Roman" w:eastAsia="方正仿宋_GBK" w:cs="Times New Roman"/>
          <w:color w:val="auto"/>
          <w:sz w:val="32"/>
          <w:szCs w:val="40"/>
          <w:highlight w:val="none"/>
          <w:u w:val="none" w:color="auto"/>
          <w:lang w:val="en-US" w:eastAsia="zh-CN"/>
        </w:rPr>
        <w:t>外资</w:t>
      </w:r>
      <w:r>
        <w:rPr>
          <w:rFonts w:hint="default" w:ascii="Times New Roman" w:hAnsi="Times New Roman" w:eastAsia="方正仿宋_GBK" w:cs="Times New Roman"/>
          <w:color w:val="auto"/>
          <w:sz w:val="32"/>
          <w:szCs w:val="40"/>
          <w:highlight w:val="none"/>
          <w:u w:val="none" w:color="auto"/>
        </w:rPr>
        <w:t>外企</w:t>
      </w:r>
      <w:r>
        <w:rPr>
          <w:rFonts w:hint="default" w:ascii="Times New Roman" w:hAnsi="Times New Roman" w:eastAsia="方正仿宋_GBK" w:cs="Times New Roman"/>
          <w:color w:val="auto"/>
          <w:sz w:val="32"/>
          <w:szCs w:val="40"/>
          <w:highlight w:val="none"/>
          <w:u w:val="none" w:color="auto"/>
          <w:lang w:val="en-US" w:eastAsia="zh-CN"/>
        </w:rPr>
        <w:t>高水平合作，争取更多央企总部落户</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提升企业现代化治理水平</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40"/>
          <w:highlight w:val="none"/>
          <w:u w:val="none" w:color="auto"/>
          <w:lang w:val="en-US" w:eastAsia="zh-CN"/>
        </w:rPr>
        <w:t>建立健全权责清单动态调整机制，完善国企薪酬管理和激励约束机制，完善国企战略使命评价和考核评价体系</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增强国资数字化穿透监管实战实效</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动态排查处置重大经营风险，</w:t>
      </w:r>
      <w:r>
        <w:rPr>
          <w:rFonts w:hint="default" w:ascii="Times New Roman" w:hAnsi="Times New Roman" w:eastAsia="方正仿宋_GBK" w:cs="Times New Roman"/>
          <w:color w:val="auto"/>
          <w:sz w:val="32"/>
          <w:szCs w:val="32"/>
          <w:highlight w:val="none"/>
          <w:u w:val="none" w:color="auto"/>
        </w:rPr>
        <w:t>建立健全人员</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财务、资产、项目管理</w:t>
      </w:r>
      <w:r>
        <w:rPr>
          <w:rFonts w:hint="default" w:ascii="Times New Roman" w:hAnsi="Times New Roman" w:eastAsia="方正仿宋_GBK" w:cs="Times New Roman"/>
          <w:color w:val="auto"/>
          <w:sz w:val="32"/>
          <w:szCs w:val="32"/>
          <w:highlight w:val="none"/>
          <w:u w:val="none" w:color="auto"/>
        </w:rPr>
        <w:t>等</w:t>
      </w:r>
      <w:r>
        <w:rPr>
          <w:rFonts w:hint="default" w:ascii="Times New Roman" w:hAnsi="Times New Roman" w:eastAsia="方正仿宋_GBK" w:cs="Times New Roman"/>
          <w:color w:val="auto"/>
          <w:sz w:val="32"/>
          <w:szCs w:val="32"/>
          <w:highlight w:val="none"/>
          <w:u w:val="none" w:color="auto"/>
          <w:lang w:val="en-US" w:eastAsia="zh-CN"/>
        </w:rPr>
        <w:t>内控</w:t>
      </w:r>
      <w:r>
        <w:rPr>
          <w:rFonts w:hint="default" w:ascii="Times New Roman" w:hAnsi="Times New Roman" w:eastAsia="方正仿宋_GBK" w:cs="Times New Roman"/>
          <w:color w:val="auto"/>
          <w:sz w:val="32"/>
          <w:szCs w:val="32"/>
          <w:highlight w:val="none"/>
          <w:u w:val="none" w:color="auto"/>
        </w:rPr>
        <w:t>机制</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实现</w:t>
      </w:r>
      <w:r>
        <w:rPr>
          <w:rFonts w:hint="default" w:ascii="Times New Roman" w:hAnsi="Times New Roman" w:eastAsia="方正仿宋_GBK" w:cs="Times New Roman"/>
          <w:color w:val="auto"/>
          <w:sz w:val="32"/>
          <w:szCs w:val="40"/>
          <w:highlight w:val="none"/>
          <w:u w:val="none" w:color="auto"/>
        </w:rPr>
        <w:t>经营性风险100%动态监测处置。</w:t>
      </w:r>
    </w:p>
    <w:p w14:paraId="4E0391F9">
      <w:pPr>
        <w:keepNext w:val="0"/>
        <w:keepLines w:val="0"/>
        <w:pageBreakBefore w:val="0"/>
        <w:tabs>
          <w:tab w:val="right" w:leader="dot" w:pos="8844"/>
        </w:tabs>
        <w:kinsoku/>
        <w:wordWrap/>
        <w:topLinePunct w:val="0"/>
        <w:autoSpaceDE/>
        <w:autoSpaceDN/>
        <w:bidi w:val="0"/>
        <w:spacing w:line="600" w:lineRule="exact"/>
        <w:jc w:val="center"/>
        <w:outlineLvl w:val="2"/>
        <w:rPr>
          <w:rFonts w:hint="default" w:ascii="Times New Roman" w:hAnsi="Times New Roman" w:eastAsia="方正楷体_GBK" w:cs="Times New Roman"/>
          <w:color w:val="auto"/>
          <w:sz w:val="32"/>
          <w:szCs w:val="32"/>
          <w:highlight w:val="none"/>
          <w:u w:val="none" w:color="auto"/>
        </w:rPr>
      </w:pPr>
      <w:bookmarkStart w:id="998" w:name="_Toc25858"/>
      <w:bookmarkStart w:id="999" w:name="_Toc25834"/>
      <w:bookmarkStart w:id="1000" w:name="_Toc25900"/>
      <w:bookmarkStart w:id="1001" w:name="_Toc19022"/>
      <w:bookmarkStart w:id="1002" w:name="_Toc4953"/>
      <w:bookmarkStart w:id="1003" w:name="_Toc31858"/>
      <w:bookmarkStart w:id="1004" w:name="_Toc6937"/>
      <w:bookmarkStart w:id="1005" w:name="_Toc29122"/>
      <w:bookmarkStart w:id="1006" w:name="_Toc19795"/>
      <w:bookmarkStart w:id="1007" w:name="_Toc7218"/>
      <w:bookmarkStart w:id="1008" w:name="_Toc23280"/>
      <w:bookmarkStart w:id="1009" w:name="_Toc8387"/>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_Toc26172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 xml:space="preserve">第二节 </w:t>
      </w:r>
      <w:r>
        <w:rPr>
          <w:rFonts w:hint="default" w:ascii="Times New Roman" w:hAnsi="Times New Roman" w:eastAsia="方正楷体_GBK" w:cs="Times New Roman"/>
          <w:color w:val="auto"/>
          <w:sz w:val="32"/>
          <w:szCs w:val="32"/>
          <w:highlight w:val="none"/>
          <w:u w:val="none" w:color="auto"/>
        </w:rPr>
        <w:fldChar w:fldCharType="end"/>
      </w:r>
      <w:r>
        <w:rPr>
          <w:rFonts w:hint="default" w:ascii="Times New Roman" w:hAnsi="Times New Roman" w:eastAsia="方正楷体_GBK" w:cs="Times New Roman"/>
          <w:color w:val="auto"/>
          <w:sz w:val="32"/>
          <w:szCs w:val="32"/>
          <w:highlight w:val="none"/>
          <w:u w:val="none" w:color="auto"/>
        </w:rPr>
        <w:t>促进民营经济高质量发展</w:t>
      </w:r>
      <w:bookmarkEnd w:id="998"/>
      <w:bookmarkEnd w:id="999"/>
      <w:bookmarkEnd w:id="1000"/>
      <w:bookmarkEnd w:id="1001"/>
      <w:bookmarkEnd w:id="1002"/>
      <w:bookmarkEnd w:id="1003"/>
      <w:bookmarkEnd w:id="1004"/>
      <w:bookmarkEnd w:id="1005"/>
      <w:bookmarkEnd w:id="1006"/>
      <w:bookmarkEnd w:id="1007"/>
      <w:bookmarkEnd w:id="1008"/>
      <w:bookmarkEnd w:id="1009"/>
    </w:p>
    <w:p w14:paraId="35019CD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u w:val="none" w:color="auto"/>
        </w:rPr>
        <w:t>落实民营经济促进法，</w:t>
      </w:r>
      <w:r>
        <w:rPr>
          <w:rFonts w:hint="default" w:ascii="Times New Roman" w:hAnsi="Times New Roman" w:eastAsia="方正仿宋_GBK" w:cs="Times New Roman"/>
          <w:color w:val="auto"/>
          <w:sz w:val="32"/>
          <w:szCs w:val="32"/>
          <w:highlight w:val="none"/>
          <w:u w:val="none" w:color="auto"/>
          <w:lang w:val="en-US" w:eastAsia="zh-CN"/>
        </w:rPr>
        <w:t>深化实施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宜商渝中·惠企护航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集中服务行动，切实解决市场准入、要素获取、公平执法、权益保护等方面突出问题，</w:t>
      </w:r>
      <w:r>
        <w:rPr>
          <w:rFonts w:hint="default" w:ascii="Times New Roman" w:hAnsi="Times New Roman" w:eastAsia="方正仿宋_GBK" w:cs="Times New Roman"/>
          <w:color w:val="auto"/>
          <w:sz w:val="32"/>
          <w:szCs w:val="32"/>
          <w:highlight w:val="none"/>
          <w:u w:val="none" w:color="auto"/>
        </w:rPr>
        <w:t>依法保护民营企业和企业家合法权益</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民营经济增加值达到880亿元</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以新时代渝商培养计划为牵引，激发民营企业创新创业活力，弘扬企业家精神，支持民营企业建立完善现代企业制度，大力培养年轻一代企业家。强化数智赋能，引育更多链主企业、总部企业、百年企业。开展民营经济活力提升计划，推动大中小企业协同融通发展，开展专精特新夯基提质行动，深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名特优新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个体工商户分型分类发展，民营企业数量达到6.3万户。常态化开展政银企对接</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金桥行动</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，健全民营中小企业增信机制，满足民营企业融资需要</w:t>
      </w:r>
      <w:r>
        <w:rPr>
          <w:rFonts w:hint="default" w:ascii="Times New Roman" w:hAnsi="Times New Roman" w:eastAsia="方正仿宋_GBK" w:cs="Times New Roman"/>
          <w:color w:val="auto"/>
          <w:sz w:val="32"/>
          <w:szCs w:val="32"/>
          <w:highlight w:val="none"/>
          <w:lang w:eastAsia="zh-CN"/>
        </w:rPr>
        <w:t>。</w:t>
      </w:r>
    </w:p>
    <w:p w14:paraId="2D0FEFE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010" w:name="_Toc23107"/>
      <w:bookmarkStart w:id="1011" w:name="_Toc26037"/>
      <w:bookmarkStart w:id="1012" w:name="_Toc4718"/>
      <w:bookmarkStart w:id="1013" w:name="_Toc13923"/>
      <w:r>
        <w:rPr>
          <w:rFonts w:hint="default" w:ascii="Times New Roman" w:hAnsi="Times New Roman" w:eastAsia="方正楷体_GBK" w:cs="Times New Roman"/>
          <w:color w:val="auto"/>
          <w:sz w:val="32"/>
          <w:szCs w:val="32"/>
          <w:highlight w:val="none"/>
          <w:u w:val="none" w:color="auto"/>
        </w:rPr>
        <w:t xml:space="preserve">第三节 </w:t>
      </w:r>
      <w:r>
        <w:rPr>
          <w:rFonts w:hint="default" w:ascii="Times New Roman" w:hAnsi="Times New Roman" w:eastAsia="方正楷体_GBK" w:cs="Times New Roman"/>
          <w:color w:val="auto"/>
          <w:sz w:val="32"/>
          <w:szCs w:val="32"/>
          <w:highlight w:val="none"/>
          <w:u w:val="none" w:color="auto"/>
          <w:lang w:val="en-US" w:eastAsia="zh-CN"/>
        </w:rPr>
        <w:t>完善外资企业全流程服务体系</w:t>
      </w:r>
      <w:bookmarkEnd w:id="1010"/>
      <w:bookmarkEnd w:id="1011"/>
      <w:bookmarkEnd w:id="1012"/>
      <w:bookmarkEnd w:id="1013"/>
    </w:p>
    <w:p w14:paraId="62930F64">
      <w:pPr>
        <w:pStyle w:val="16"/>
        <w:keepNext w:val="0"/>
        <w:keepLines w:val="0"/>
        <w:pageBreakBefore w:val="0"/>
        <w:widowControl w:val="0"/>
        <w:tabs>
          <w:tab w:val="right" w:leader="dot" w:pos="8844"/>
        </w:tabs>
        <w:kinsoku/>
        <w:wordWrap/>
        <w:overflowPunct/>
        <w:topLinePunct w:val="0"/>
        <w:autoSpaceDE/>
        <w:autoSpaceDN/>
        <w:bidi w:val="0"/>
        <w:adjustRightInd/>
        <w:snapToGrid/>
        <w:spacing w:line="610" w:lineRule="exact"/>
        <w:ind w:left="0" w:leftChars="0" w:firstLine="640" w:firstLineChars="200"/>
        <w:jc w:val="left"/>
        <w:textAlignment w:val="auto"/>
        <w:outlineLvl w:val="9"/>
        <w:rPr>
          <w:rFonts w:hint="default" w:ascii="Times New Roman" w:hAnsi="Times New Roman" w:cs="Times New Roman" w:eastAsiaTheme="minorEastAsia"/>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完善准入、促进、管理、保护多位一体的外商投资服务体系，落实外资准入前国民待遇加负面清单管理制度，</w:t>
      </w:r>
      <w:r>
        <w:rPr>
          <w:rFonts w:hint="default" w:ascii="Times New Roman" w:hAnsi="Times New Roman" w:eastAsia="方正仿宋_GBK" w:cs="Times New Roman"/>
          <w:color w:val="auto"/>
          <w:sz w:val="32"/>
          <w:szCs w:val="32"/>
          <w:highlight w:val="none"/>
          <w:u w:val="none" w:color="auto"/>
        </w:rPr>
        <w:t>全面清理外商投资各类显性隐性壁垒，</w:t>
      </w:r>
      <w:r>
        <w:rPr>
          <w:rFonts w:hint="default" w:ascii="Times New Roman" w:hAnsi="Times New Roman" w:eastAsia="方正仿宋_GBK" w:cs="Times New Roman"/>
          <w:color w:val="auto"/>
          <w:sz w:val="32"/>
          <w:szCs w:val="32"/>
          <w:highlight w:val="none"/>
          <w:u w:val="none" w:color="auto"/>
          <w:lang w:val="en-US" w:eastAsia="zh-CN"/>
        </w:rPr>
        <w:t>依法保障内外资企业平等享受政策、使用资源要素、公平参与竞争，</w:t>
      </w:r>
      <w:r>
        <w:rPr>
          <w:rFonts w:hint="default" w:ascii="Times New Roman" w:hAnsi="Times New Roman" w:eastAsia="方正仿宋_GBK" w:cs="Times New Roman"/>
          <w:color w:val="auto"/>
          <w:sz w:val="32"/>
          <w:szCs w:val="32"/>
          <w:highlight w:val="none"/>
          <w:u w:val="none" w:color="auto"/>
        </w:rPr>
        <w:t>擦亮</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投资渝中</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品牌</w:t>
      </w:r>
      <w:r>
        <w:rPr>
          <w:rFonts w:hint="default" w:ascii="Times New Roman" w:hAnsi="Times New Roman" w:eastAsia="方正仿宋_GBK" w:cs="Times New Roman"/>
          <w:color w:val="auto"/>
          <w:sz w:val="32"/>
          <w:szCs w:val="32"/>
          <w:highlight w:val="none"/>
          <w:u w:val="none" w:color="auto"/>
          <w:lang w:val="en-US" w:eastAsia="zh-CN"/>
        </w:rPr>
        <w:t>。实施外资提质增效计划，推动存量外企增资扩产，鼓励外商投资企业再投资。健全完善重大外资项目</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直通车</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制度，聚焦现代服务业，重点面向新加坡、香港地区引进一批重大外资项目。</w:t>
      </w:r>
      <w:r>
        <w:rPr>
          <w:rFonts w:hint="default" w:ascii="Times New Roman" w:hAnsi="Times New Roman" w:eastAsia="方正仿宋_GBK" w:cs="Times New Roman"/>
          <w:color w:val="auto"/>
          <w:sz w:val="32"/>
          <w:szCs w:val="32"/>
          <w:highlight w:val="none"/>
          <w:u w:val="none" w:color="auto"/>
        </w:rPr>
        <w:t>深化双向投资，引导外资投向新兴金融、研发设计等领域，支持企业加大海外合作，助力拓展东盟及</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一带一路</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市场。</w:t>
      </w:r>
      <w:r>
        <w:rPr>
          <w:rFonts w:hint="default" w:ascii="Times New Roman" w:hAnsi="Times New Roman" w:eastAsia="方正仿宋_GBK" w:cs="Times New Roman"/>
          <w:color w:val="auto"/>
          <w:sz w:val="32"/>
          <w:szCs w:val="32"/>
          <w:highlight w:val="none"/>
          <w:u w:val="none" w:color="auto"/>
          <w:lang w:val="en-US" w:eastAsia="zh-CN"/>
        </w:rPr>
        <w:t>完善服务保障体系，推动外资项目尽快建成投产，发挥投资效益。</w:t>
      </w:r>
    </w:p>
    <w:p w14:paraId="0F01E14F">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center"/>
        <w:textAlignment w:val="auto"/>
        <w:outlineLvl w:val="2"/>
        <w:rPr>
          <w:rFonts w:hint="default" w:ascii="Times New Roman" w:hAnsi="Times New Roman" w:eastAsia="方正楷体_GBK" w:cs="Times New Roman"/>
          <w:color w:val="auto"/>
          <w:sz w:val="32"/>
          <w:szCs w:val="32"/>
          <w:highlight w:val="none"/>
        </w:rPr>
      </w:pPr>
      <w:bookmarkStart w:id="1014" w:name="_Toc1811"/>
      <w:bookmarkStart w:id="1015" w:name="_Toc7915"/>
      <w:bookmarkStart w:id="1016" w:name="_Toc24869"/>
      <w:bookmarkStart w:id="1017" w:name="_Toc6242"/>
      <w:bookmarkStart w:id="1018" w:name="_Toc14386"/>
      <w:bookmarkStart w:id="1019" w:name="_Toc10112"/>
      <w:bookmarkStart w:id="1020" w:name="_Toc8918"/>
      <w:bookmarkStart w:id="1021" w:name="_Toc15456"/>
      <w:bookmarkStart w:id="1022" w:name="_Toc28401"/>
      <w:bookmarkStart w:id="1023" w:name="_Toc10962"/>
      <w:bookmarkStart w:id="1024" w:name="_Toc32221"/>
      <w:bookmarkStart w:id="1025" w:name="_Toc13864"/>
      <w:r>
        <w:rPr>
          <w:rFonts w:hint="default" w:ascii="Times New Roman" w:hAnsi="Times New Roman" w:eastAsia="方正楷体_GBK" w:cs="Times New Roman"/>
          <w:color w:val="auto"/>
          <w:sz w:val="32"/>
          <w:szCs w:val="32"/>
          <w:highlight w:val="none"/>
        </w:rPr>
        <w:fldChar w:fldCharType="begin"/>
      </w:r>
      <w:r>
        <w:rPr>
          <w:rFonts w:hint="default" w:ascii="Times New Roman" w:hAnsi="Times New Roman" w:eastAsia="方正楷体_GBK" w:cs="Times New Roman"/>
          <w:color w:val="auto"/>
          <w:sz w:val="32"/>
          <w:szCs w:val="32"/>
          <w:highlight w:val="none"/>
        </w:rPr>
        <w:instrText xml:space="preserve"> HYPERLINK \l _Toc15659 </w:instrText>
      </w:r>
      <w:r>
        <w:rPr>
          <w:rFonts w:hint="default" w:ascii="Times New Roman" w:hAnsi="Times New Roman" w:eastAsia="方正楷体_GBK" w:cs="Times New Roman"/>
          <w:color w:val="auto"/>
          <w:sz w:val="32"/>
          <w:szCs w:val="32"/>
          <w:highlight w:val="none"/>
        </w:rPr>
        <w:fldChar w:fldCharType="separate"/>
      </w:r>
      <w:r>
        <w:rPr>
          <w:rFonts w:hint="default" w:ascii="Times New Roman" w:hAnsi="Times New Roman" w:eastAsia="方正楷体_GBK" w:cs="Times New Roman"/>
          <w:color w:val="auto"/>
          <w:sz w:val="32"/>
          <w:szCs w:val="32"/>
          <w:highlight w:val="none"/>
        </w:rPr>
        <w:t>第</w:t>
      </w:r>
      <w:r>
        <w:rPr>
          <w:rFonts w:hint="default" w:ascii="Times New Roman" w:hAnsi="Times New Roman" w:eastAsia="方正楷体_GBK" w:cs="Times New Roman"/>
          <w:color w:val="auto"/>
          <w:sz w:val="32"/>
          <w:szCs w:val="32"/>
          <w:highlight w:val="none"/>
          <w:lang w:eastAsia="zh-CN"/>
        </w:rPr>
        <w:t>四</w:t>
      </w:r>
      <w:r>
        <w:rPr>
          <w:rFonts w:hint="default" w:ascii="Times New Roman" w:hAnsi="Times New Roman" w:eastAsia="方正楷体_GBK" w:cs="Times New Roman"/>
          <w:color w:val="auto"/>
          <w:sz w:val="32"/>
          <w:szCs w:val="32"/>
          <w:highlight w:val="none"/>
        </w:rPr>
        <w:t>节 深化</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楷体_GBK" w:cs="Times New Roman"/>
          <w:color w:val="auto"/>
          <w:sz w:val="32"/>
          <w:szCs w:val="32"/>
          <w:highlight w:val="none"/>
        </w:rPr>
        <w:t>楼均论英雄</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楷体_GBK" w:cs="Times New Roman"/>
          <w:color w:val="auto"/>
          <w:sz w:val="32"/>
          <w:szCs w:val="32"/>
          <w:highlight w:val="none"/>
        </w:rPr>
        <w:t>改革</w:t>
      </w:r>
      <w:r>
        <w:rPr>
          <w:rFonts w:hint="default" w:ascii="Times New Roman" w:hAnsi="Times New Roman" w:eastAsia="方正楷体_GBK" w:cs="Times New Roman"/>
          <w:color w:val="auto"/>
          <w:sz w:val="32"/>
          <w:szCs w:val="32"/>
          <w:highlight w:val="none"/>
        </w:rPr>
        <w:fldChar w:fldCharType="end"/>
      </w:r>
      <w:bookmarkEnd w:id="1014"/>
      <w:bookmarkEnd w:id="1015"/>
      <w:bookmarkEnd w:id="1016"/>
      <w:bookmarkEnd w:id="1017"/>
      <w:bookmarkEnd w:id="1018"/>
      <w:bookmarkEnd w:id="1019"/>
      <w:bookmarkEnd w:id="1020"/>
      <w:bookmarkEnd w:id="1021"/>
      <w:bookmarkEnd w:id="1022"/>
      <w:bookmarkEnd w:id="1023"/>
      <w:bookmarkEnd w:id="1024"/>
      <w:bookmarkEnd w:id="1025"/>
    </w:p>
    <w:p w14:paraId="52D933E4">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default" w:ascii="Times New Roman" w:hAnsi="Times New Roman" w:cs="Times New Roman"/>
          <w:color w:val="auto"/>
          <w:highlight w:val="none"/>
        </w:rPr>
      </w:pPr>
      <w:r>
        <w:rPr>
          <w:rFonts w:hint="default" w:ascii="Times New Roman" w:hAnsi="Times New Roman" w:eastAsia="方正仿宋_GBK" w:cs="Times New Roman"/>
          <w:color w:val="auto"/>
          <w:sz w:val="32"/>
          <w:szCs w:val="32"/>
          <w:highlight w:val="none"/>
          <w:lang w:val="en-US" w:eastAsia="zh-CN"/>
        </w:rPr>
        <w:t>优化楼宇空间布局，明确各区域重点楼宇功能定位</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构建</w:t>
      </w:r>
      <w:r>
        <w:rPr>
          <w:rFonts w:hint="default" w:ascii="Times New Roman" w:hAnsi="Times New Roman" w:eastAsia="方正仿宋_GBK" w:cs="Times New Roman"/>
          <w:color w:val="auto"/>
          <w:sz w:val="32"/>
          <w:szCs w:val="32"/>
          <w:highlight w:val="none"/>
        </w:rPr>
        <w:t>区域集中、创新集约、产业集聚、企业集群、要素集成</w:t>
      </w:r>
      <w:r>
        <w:rPr>
          <w:rFonts w:hint="default" w:ascii="Times New Roman" w:hAnsi="Times New Roman" w:eastAsia="方正仿宋_GBK" w:cs="Times New Roman"/>
          <w:color w:val="auto"/>
          <w:sz w:val="32"/>
          <w:szCs w:val="32"/>
          <w:highlight w:val="none"/>
          <w:lang w:val="en-US" w:eastAsia="zh-CN"/>
        </w:rPr>
        <w:t>的</w:t>
      </w:r>
      <w:r>
        <w:rPr>
          <w:rFonts w:hint="default" w:ascii="Times New Roman" w:hAnsi="Times New Roman" w:eastAsia="方正仿宋_GBK" w:cs="Times New Roman"/>
          <w:color w:val="auto"/>
          <w:sz w:val="32"/>
          <w:szCs w:val="32"/>
          <w:highlight w:val="none"/>
        </w:rPr>
        <w:t>楼宇生态</w:t>
      </w:r>
      <w:r>
        <w:rPr>
          <w:rFonts w:hint="default"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eastAsia="zh-CN"/>
        </w:rPr>
        <w:t>楼均</w:t>
      </w:r>
      <w:r>
        <w:rPr>
          <w:rFonts w:hint="default" w:ascii="Times New Roman" w:hAnsi="Times New Roman" w:eastAsia="方正仿宋_GBK" w:cs="Times New Roman"/>
          <w:color w:val="auto"/>
          <w:sz w:val="32"/>
          <w:szCs w:val="32"/>
          <w:highlight w:val="none"/>
          <w:lang w:val="en-US" w:eastAsia="zh-CN"/>
        </w:rPr>
        <w:t>GDP产出达</w:t>
      </w:r>
      <w:r>
        <w:rPr>
          <w:rFonts w:hint="eastAsia" w:ascii="Times New Roman" w:hAnsi="Times New Roman" w:eastAsia="方正仿宋_GBK" w:cs="Times New Roman"/>
          <w:color w:val="auto"/>
          <w:sz w:val="32"/>
          <w:szCs w:val="32"/>
          <w:highlight w:val="none"/>
          <w:lang w:val="en-US" w:eastAsia="zh-CN"/>
        </w:rPr>
        <w:t>1.56</w:t>
      </w:r>
      <w:r>
        <w:rPr>
          <w:rFonts w:hint="default" w:ascii="Times New Roman" w:hAnsi="Times New Roman" w:eastAsia="方正仿宋_GBK" w:cs="Times New Roman"/>
          <w:color w:val="auto"/>
          <w:sz w:val="32"/>
          <w:szCs w:val="32"/>
          <w:highlight w:val="none"/>
          <w:lang w:val="en-US" w:eastAsia="zh-CN"/>
        </w:rPr>
        <w:t>万元/平方</w:t>
      </w:r>
      <w:r>
        <w:rPr>
          <w:rFonts w:hint="default" w:ascii="Times New Roman" w:hAnsi="Times New Roman" w:eastAsia="方正仿宋_GBK" w:cs="Times New Roman"/>
          <w:color w:val="auto"/>
          <w:sz w:val="32"/>
          <w:szCs w:val="32"/>
          <w:highlight w:val="none"/>
          <w:u w:val="none" w:color="auto"/>
          <w:lang w:val="en-US" w:eastAsia="zh-CN" w:bidi="ar"/>
        </w:rPr>
        <w:t>米，提质打造楼宇经济3.0</w:t>
      </w:r>
      <w:r>
        <w:rPr>
          <w:rFonts w:hint="default" w:ascii="Times New Roman" w:hAnsi="Times New Roman" w:eastAsia="方正仿宋_GBK" w:cs="Times New Roman"/>
          <w:color w:val="auto"/>
          <w:sz w:val="32"/>
          <w:szCs w:val="32"/>
          <w:highlight w:val="none"/>
          <w:u w:val="none" w:color="auto"/>
          <w:lang w:eastAsia="zh-CN" w:bidi="ar"/>
        </w:rPr>
        <w:t>。</w:t>
      </w:r>
      <w:r>
        <w:rPr>
          <w:rFonts w:hint="default" w:ascii="Times New Roman" w:hAnsi="Times New Roman" w:eastAsia="方正仿宋_GBK" w:cs="Times New Roman"/>
          <w:color w:val="auto"/>
          <w:sz w:val="32"/>
          <w:szCs w:val="32"/>
          <w:highlight w:val="none"/>
          <w:u w:val="none" w:color="auto"/>
          <w:lang w:val="en-US" w:eastAsia="zh-CN" w:bidi="ar"/>
        </w:rPr>
        <w:t>加快</w:t>
      </w:r>
      <w:r>
        <w:rPr>
          <w:rFonts w:hint="default" w:ascii="Times New Roman" w:hAnsi="Times New Roman" w:eastAsia="方正仿宋_GBK" w:cs="Times New Roman"/>
          <w:color w:val="auto"/>
          <w:sz w:val="32"/>
          <w:szCs w:val="32"/>
          <w:highlight w:val="none"/>
          <w:lang w:val="en-US" w:eastAsia="zh-CN"/>
        </w:rPr>
        <w:t>建设重庆长滨、黄花园现代服务业产业园等200万平方米高品质载体。</w:t>
      </w:r>
      <w:r>
        <w:rPr>
          <w:rFonts w:hint="default" w:ascii="Times New Roman" w:hAnsi="Times New Roman" w:eastAsia="方正仿宋_GBK" w:cs="Times New Roman"/>
          <w:color w:val="auto"/>
          <w:sz w:val="32"/>
          <w:szCs w:val="32"/>
          <w:highlight w:val="none"/>
          <w:u w:val="none" w:color="auto"/>
        </w:rPr>
        <w:t>培育壮大一批</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亿元楼宇</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千万级楼宇</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，全区</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亿元楼宇</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数量达到50栋。</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一楼一业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多楼一业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引导楼宇专业化特色化发展，推动环球金融中心打造涉外功能大楼、大都会打造渝港合作示范项目，推进</w:t>
      </w:r>
      <w:r>
        <w:rPr>
          <w:rFonts w:hint="default" w:ascii="Times New Roman" w:hAnsi="Times New Roman" w:eastAsia="方正仿宋_GBK" w:cs="Times New Roman"/>
          <w:color w:val="auto"/>
          <w:sz w:val="32"/>
          <w:szCs w:val="32"/>
          <w:highlight w:val="none"/>
          <w:lang w:val="en-US" w:eastAsia="zh-CN"/>
        </w:rPr>
        <w:t>金鹰财富中心等打造高端商业地标楼宇，新培育特色楼宇10栋。动态更新老旧楼宇改造清单，</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一楼一策</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推动楼宇焕新升级，推动低效闲置楼宇经济产业化、集群化发展，改造盘活楼宇15栋以上</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持续完善楼宇服务配套功能，迭代升级</w:t>
      </w:r>
      <w:r>
        <w:rPr>
          <w:rFonts w:hint="default" w:ascii="Times New Roman" w:hAnsi="Times New Roman" w:eastAsia="方正仿宋_GBK" w:cs="Times New Roman"/>
          <w:color w:val="auto"/>
          <w:sz w:val="32"/>
          <w:szCs w:val="32"/>
          <w:highlight w:val="none"/>
        </w:rPr>
        <w:t>楼宇经济高质量发展</w:t>
      </w:r>
      <w:r>
        <w:rPr>
          <w:rFonts w:hint="default" w:ascii="Times New Roman" w:hAnsi="Times New Roman" w:eastAsia="方正仿宋_GBK" w:cs="Times New Roman"/>
          <w:color w:val="auto"/>
          <w:sz w:val="32"/>
          <w:szCs w:val="32"/>
          <w:highlight w:val="none"/>
          <w:lang w:val="en-US" w:eastAsia="zh-CN"/>
        </w:rPr>
        <w:t>若干</w:t>
      </w:r>
      <w:r>
        <w:rPr>
          <w:rFonts w:hint="default" w:ascii="Times New Roman" w:hAnsi="Times New Roman" w:eastAsia="方正仿宋_GBK" w:cs="Times New Roman"/>
          <w:color w:val="auto"/>
          <w:sz w:val="32"/>
          <w:szCs w:val="32"/>
          <w:highlight w:val="none"/>
        </w:rPr>
        <w:t>政策</w:t>
      </w:r>
      <w:r>
        <w:rPr>
          <w:rFonts w:hint="default" w:ascii="Times New Roman" w:hAnsi="Times New Roman" w:eastAsia="方正仿宋_GBK" w:cs="Times New Roman"/>
          <w:color w:val="auto"/>
          <w:sz w:val="32"/>
          <w:szCs w:val="32"/>
          <w:highlight w:val="none"/>
          <w:lang w:val="en-US" w:eastAsia="zh-CN"/>
        </w:rPr>
        <w:t>。</w:t>
      </w:r>
    </w:p>
    <w:p w14:paraId="02C7AED8">
      <w:pPr>
        <w:bidi w:val="0"/>
        <w:jc w:val="center"/>
        <w:rPr>
          <w:rFonts w:hint="default" w:ascii="Times New Roman" w:hAnsi="Times New Roman" w:eastAsia="方正黑体_GBK" w:cs="Times New Roman"/>
          <w:color w:val="auto"/>
          <w:sz w:val="28"/>
          <w:szCs w:val="28"/>
          <w:highlight w:val="none"/>
          <w:lang w:val="en-US" w:eastAsia="zh-CN"/>
        </w:rPr>
      </w:pPr>
      <w:bookmarkStart w:id="1026" w:name="_Toc26772"/>
      <w:bookmarkStart w:id="1027" w:name="_Toc4162"/>
      <w:bookmarkStart w:id="1028" w:name="_Toc18213"/>
      <w:bookmarkStart w:id="1029" w:name="_Toc7859"/>
      <w:bookmarkStart w:id="1030" w:name="_Toc8960"/>
      <w:r>
        <w:rPr>
          <w:rFonts w:hint="default" w:ascii="Times New Roman" w:hAnsi="Times New Roman" w:eastAsia="方正黑体_GBK" w:cs="Times New Roman"/>
          <w:color w:val="auto"/>
          <w:sz w:val="28"/>
          <w:szCs w:val="28"/>
          <w:highlight w:val="none"/>
          <w:lang w:val="en-US" w:eastAsia="zh-CN"/>
        </w:rPr>
        <w:t>专栏8  重点楼宇焕新升级</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E6F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74D42E2">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1.老旧楼宇改造。</w:t>
            </w:r>
            <w:r>
              <w:rPr>
                <w:rFonts w:hint="default" w:ascii="Times New Roman" w:hAnsi="Times New Roman" w:eastAsia="方正仿宋_GBK" w:cs="Times New Roman"/>
                <w:color w:val="auto"/>
                <w:sz w:val="24"/>
                <w:highlight w:val="none"/>
              </w:rPr>
              <w:t>商业大厦楼宇改造</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sz w:val="24"/>
                <w:highlight w:val="none"/>
              </w:rPr>
              <w:t>新华国际重庆书城装饰改造</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sz w:val="24"/>
                <w:highlight w:val="none"/>
              </w:rPr>
              <w:t>金鹰财富中心楼宇改造</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sz w:val="24"/>
                <w:highlight w:val="none"/>
              </w:rPr>
              <w:t>赛格尔大厦裙楼改造</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sz w:val="24"/>
                <w:highlight w:val="none"/>
              </w:rPr>
              <w:t>鑫安商务大厦更新改造</w:t>
            </w:r>
            <w:r>
              <w:rPr>
                <w:rFonts w:hint="default" w:ascii="Times New Roman" w:hAnsi="Times New Roman" w:eastAsia="方正仿宋_GBK" w:cs="Times New Roman"/>
                <w:color w:val="auto"/>
                <w:sz w:val="24"/>
                <w:highlight w:val="none"/>
                <w:lang w:eastAsia="zh-CN"/>
              </w:rPr>
              <w:t>、</w:t>
            </w:r>
            <w:r>
              <w:rPr>
                <w:rFonts w:hint="default" w:ascii="Times New Roman" w:hAnsi="Times New Roman" w:eastAsia="方正仿宋_GBK" w:cs="Times New Roman"/>
                <w:color w:val="auto"/>
                <w:sz w:val="24"/>
                <w:highlight w:val="none"/>
              </w:rPr>
              <w:t>外滩商城调改</w:t>
            </w:r>
            <w:r>
              <w:rPr>
                <w:rFonts w:hint="default" w:ascii="Times New Roman" w:hAnsi="Times New Roman" w:eastAsia="方正仿宋_GBK" w:cs="Times New Roman"/>
                <w:color w:val="auto"/>
                <w:sz w:val="24"/>
                <w:highlight w:val="none"/>
                <w:lang w:val="en-US" w:eastAsia="zh-CN"/>
              </w:rPr>
              <w:t>等。</w:t>
            </w:r>
          </w:p>
          <w:p w14:paraId="297C2733">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vertAlign w:val="baseline"/>
                <w:lang w:val="en-US" w:eastAsia="zh-CN"/>
              </w:rPr>
            </w:pPr>
            <w:r>
              <w:rPr>
                <w:rFonts w:hint="default" w:ascii="Times New Roman" w:hAnsi="Times New Roman" w:eastAsia="方正黑体_GBK" w:cs="Times New Roman"/>
                <w:color w:val="auto"/>
                <w:sz w:val="24"/>
                <w:szCs w:val="24"/>
                <w:highlight w:val="none"/>
                <w:vertAlign w:val="baseline"/>
                <w:lang w:val="en-US" w:eastAsia="zh-CN"/>
              </w:rPr>
              <w:t>2.特色</w:t>
            </w:r>
            <w:r>
              <w:rPr>
                <w:rFonts w:hint="eastAsia" w:ascii="Times New Roman" w:hAnsi="Times New Roman" w:eastAsia="方正仿宋_GBK" w:cs="方正仿宋_GBK"/>
                <w:color w:val="auto"/>
                <w:sz w:val="24"/>
                <w:szCs w:val="24"/>
                <w:highlight w:val="none"/>
                <w:vertAlign w:val="baseline"/>
                <w:lang w:val="en-US" w:eastAsia="zh-CN"/>
              </w:rPr>
              <w:t>“</w:t>
            </w:r>
            <w:r>
              <w:rPr>
                <w:rFonts w:hint="default" w:ascii="Times New Roman" w:hAnsi="Times New Roman" w:eastAsia="方正黑体_GBK" w:cs="Times New Roman"/>
                <w:color w:val="auto"/>
                <w:sz w:val="24"/>
                <w:szCs w:val="24"/>
                <w:highlight w:val="none"/>
                <w:vertAlign w:val="baseline"/>
                <w:lang w:val="en-US" w:eastAsia="zh-CN"/>
              </w:rPr>
              <w:t>星级</w:t>
            </w:r>
            <w:r>
              <w:rPr>
                <w:rFonts w:hint="eastAsia" w:ascii="Times New Roman" w:hAnsi="Times New Roman" w:eastAsia="方正仿宋_GBK" w:cs="方正仿宋_GBK"/>
                <w:color w:val="auto"/>
                <w:sz w:val="24"/>
                <w:szCs w:val="24"/>
                <w:highlight w:val="none"/>
                <w:vertAlign w:val="baseline"/>
                <w:lang w:val="en-US" w:eastAsia="zh-CN"/>
              </w:rPr>
              <w:t>”</w:t>
            </w:r>
            <w:r>
              <w:rPr>
                <w:rFonts w:hint="default" w:ascii="Times New Roman" w:hAnsi="Times New Roman" w:eastAsia="方正黑体_GBK" w:cs="Times New Roman"/>
                <w:color w:val="auto"/>
                <w:sz w:val="24"/>
                <w:szCs w:val="24"/>
                <w:highlight w:val="none"/>
                <w:vertAlign w:val="baseline"/>
                <w:lang w:val="en-US" w:eastAsia="zh-CN"/>
              </w:rPr>
              <w:t>楼宇打造。</w:t>
            </w:r>
            <w:r>
              <w:rPr>
                <w:rFonts w:hint="default" w:ascii="Times New Roman" w:hAnsi="Times New Roman" w:eastAsia="方正仿宋_GBK" w:cs="Times New Roman"/>
                <w:color w:val="auto"/>
                <w:sz w:val="24"/>
                <w:szCs w:val="24"/>
                <w:highlight w:val="none"/>
                <w:vertAlign w:val="baseline"/>
                <w:lang w:val="en-US" w:eastAsia="zh-CN"/>
              </w:rPr>
              <w:t>通远大厦、企业天地8号楼、企业天地7号楼、环球大厦、重庆环球金融中心、凯德来福士广场、大都会东方广场商务大楼、庆隆·希尔顿商务中心、投资大厦等。</w:t>
            </w:r>
          </w:p>
        </w:tc>
      </w:tr>
    </w:tbl>
    <w:p w14:paraId="180E5621">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1"/>
        <w:rPr>
          <w:rFonts w:hint="default" w:ascii="Times New Roman" w:hAnsi="Times New Roman" w:eastAsia="方正黑体_GBK" w:cs="Times New Roman"/>
          <w:color w:val="auto"/>
          <w:sz w:val="32"/>
          <w:szCs w:val="32"/>
          <w:highlight w:val="none"/>
          <w:u w:val="none" w:color="auto"/>
          <w:lang w:val="en-US" w:eastAsia="zh-CN"/>
        </w:rPr>
      </w:pPr>
      <w:bookmarkStart w:id="1031" w:name="_Toc11407"/>
      <w:bookmarkStart w:id="1032" w:name="_Toc17499"/>
      <w:bookmarkStart w:id="1033" w:name="_Toc3121"/>
      <w:bookmarkStart w:id="1034" w:name="_Toc18964"/>
      <w:bookmarkStart w:id="1035" w:name="_Toc21429"/>
      <w:bookmarkStart w:id="1036" w:name="_Toc11615"/>
      <w:bookmarkStart w:id="1037" w:name="_Toc2774"/>
      <w:r>
        <w:rPr>
          <w:rFonts w:hint="default" w:ascii="Times New Roman" w:hAnsi="Times New Roman" w:eastAsia="方正黑体_GBK" w:cs="Times New Roman"/>
          <w:color w:val="auto"/>
          <w:sz w:val="32"/>
          <w:szCs w:val="32"/>
          <w:highlight w:val="none"/>
          <w:u w:val="none" w:color="auto"/>
        </w:rPr>
        <w:fldChar w:fldCharType="begin"/>
      </w:r>
      <w:r>
        <w:rPr>
          <w:rFonts w:hint="default" w:ascii="Times New Roman" w:hAnsi="Times New Roman" w:eastAsia="方正黑体_GBK" w:cs="Times New Roman"/>
          <w:color w:val="auto"/>
          <w:sz w:val="32"/>
          <w:szCs w:val="32"/>
          <w:highlight w:val="none"/>
          <w:u w:val="none" w:color="auto"/>
        </w:rPr>
        <w:instrText xml:space="preserve"> HYPERLINK \l _Toc14712 </w:instrText>
      </w:r>
      <w:r>
        <w:rPr>
          <w:rFonts w:hint="default" w:ascii="Times New Roman" w:hAnsi="Times New Roman" w:eastAsia="方正黑体_GBK" w:cs="Times New Roman"/>
          <w:color w:val="auto"/>
          <w:sz w:val="32"/>
          <w:szCs w:val="32"/>
          <w:highlight w:val="none"/>
          <w:u w:val="none" w:color="auto"/>
        </w:rPr>
        <w:fldChar w:fldCharType="separate"/>
      </w:r>
      <w:r>
        <w:rPr>
          <w:rFonts w:hint="default" w:ascii="Times New Roman" w:hAnsi="Times New Roman" w:eastAsia="方正黑体_GBK" w:cs="Times New Roman"/>
          <w:color w:val="auto"/>
          <w:sz w:val="32"/>
          <w:szCs w:val="32"/>
          <w:highlight w:val="none"/>
          <w:u w:val="none" w:color="auto"/>
        </w:rPr>
        <w:fldChar w:fldCharType="begin"/>
      </w:r>
      <w:r>
        <w:rPr>
          <w:rFonts w:hint="default" w:ascii="Times New Roman" w:hAnsi="Times New Roman" w:eastAsia="方正黑体_GBK" w:cs="Times New Roman"/>
          <w:color w:val="auto"/>
          <w:sz w:val="32"/>
          <w:szCs w:val="32"/>
          <w:highlight w:val="none"/>
          <w:u w:val="none" w:color="auto"/>
        </w:rPr>
        <w:instrText xml:space="preserve"> HYPERLINK \l _Toc14712 </w:instrText>
      </w:r>
      <w:r>
        <w:rPr>
          <w:rFonts w:hint="default" w:ascii="Times New Roman" w:hAnsi="Times New Roman" w:eastAsia="方正黑体_GBK" w:cs="Times New Roman"/>
          <w:color w:val="auto"/>
          <w:sz w:val="32"/>
          <w:szCs w:val="32"/>
          <w:highlight w:val="none"/>
          <w:u w:val="none" w:color="auto"/>
        </w:rPr>
        <w:fldChar w:fldCharType="separate"/>
      </w:r>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五</w:t>
      </w:r>
      <w:r>
        <w:rPr>
          <w:rFonts w:hint="default" w:ascii="Times New Roman" w:hAnsi="Times New Roman" w:eastAsia="方正黑体_GBK" w:cs="Times New Roman"/>
          <w:color w:val="auto"/>
          <w:sz w:val="32"/>
          <w:szCs w:val="32"/>
          <w:highlight w:val="none"/>
          <w:u w:val="none" w:color="auto"/>
        </w:rPr>
        <w:t>章 扎实推进全域要素市场化配置综合改革试点</w:t>
      </w:r>
      <w:bookmarkEnd w:id="1026"/>
      <w:bookmarkEnd w:id="1027"/>
      <w:bookmarkEnd w:id="1028"/>
      <w:bookmarkEnd w:id="1029"/>
      <w:bookmarkEnd w:id="1030"/>
      <w:bookmarkEnd w:id="1031"/>
      <w:bookmarkEnd w:id="1032"/>
      <w:bookmarkEnd w:id="1033"/>
      <w:bookmarkEnd w:id="1034"/>
      <w:bookmarkEnd w:id="1035"/>
      <w:bookmarkEnd w:id="1036"/>
      <w:bookmarkEnd w:id="1037"/>
    </w:p>
    <w:p w14:paraId="6B6D02EE">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宋体" w:cs="Times New Roman"/>
          <w:color w:val="auto"/>
          <w:highlight w:val="none"/>
          <w:u w:val="none" w:color="auto"/>
        </w:rPr>
      </w:pPr>
      <w:r>
        <w:rPr>
          <w:rFonts w:hint="default" w:ascii="Times New Roman" w:hAnsi="Times New Roman" w:eastAsia="方正仿宋_GBK" w:cs="Times New Roman"/>
          <w:color w:val="auto"/>
          <w:kern w:val="2"/>
          <w:sz w:val="32"/>
          <w:szCs w:val="40"/>
          <w:highlight w:val="none"/>
          <w:u w:val="none" w:color="auto"/>
          <w:lang w:val="en-US" w:eastAsia="zh-CN" w:bidi="ar-SA"/>
        </w:rPr>
        <w:t>积极融入全国统一大市场建设，</w:t>
      </w:r>
      <w:r>
        <w:rPr>
          <w:rFonts w:hint="default" w:ascii="Times New Roman" w:hAnsi="Times New Roman" w:eastAsia="方正仿宋_GBK" w:cs="Times New Roman"/>
          <w:color w:val="auto"/>
          <w:sz w:val="32"/>
          <w:szCs w:val="40"/>
          <w:highlight w:val="none"/>
          <w:u w:val="none" w:color="auto"/>
        </w:rPr>
        <w:t>着力破除要素自由流动和高效配置的堵点卡点，构建更加完善的要素市场化机制，提高要素配置效率。</w:t>
      </w:r>
    </w:p>
    <w:p w14:paraId="2387D74B">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2"/>
        <w:rPr>
          <w:rFonts w:hint="default" w:ascii="Times New Roman" w:hAnsi="Times New Roman" w:eastAsia="方正楷体_GBK" w:cs="Times New Roman"/>
          <w:color w:val="auto"/>
          <w:sz w:val="32"/>
          <w:szCs w:val="32"/>
          <w:highlight w:val="none"/>
          <w:u w:val="none" w:color="auto"/>
        </w:rPr>
      </w:pPr>
      <w:bookmarkStart w:id="1038" w:name="_Toc9784"/>
      <w:bookmarkStart w:id="1039" w:name="_Toc7091"/>
      <w:bookmarkStart w:id="1040" w:name="_Toc1099"/>
      <w:bookmarkStart w:id="1041" w:name="_Toc15701"/>
      <w:bookmarkStart w:id="1042" w:name="_Toc16599"/>
      <w:bookmarkStart w:id="1043" w:name="_Toc19594"/>
      <w:bookmarkStart w:id="1044" w:name="_Toc23113"/>
      <w:bookmarkStart w:id="1045" w:name="_Toc8358"/>
      <w:bookmarkStart w:id="1046" w:name="_Toc31149"/>
      <w:bookmarkStart w:id="1047" w:name="_Toc4431"/>
      <w:bookmarkStart w:id="1048" w:name="_Toc16929"/>
      <w:bookmarkStart w:id="1049" w:name="_Toc14629"/>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_Toc25002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第一节 深化传统要素市场化配置改革</w:t>
      </w:r>
      <w:r>
        <w:rPr>
          <w:rFonts w:hint="default" w:ascii="Times New Roman" w:hAnsi="Times New Roman" w:eastAsia="方正楷体_GBK" w:cs="Times New Roman"/>
          <w:color w:val="auto"/>
          <w:sz w:val="32"/>
          <w:szCs w:val="32"/>
          <w:highlight w:val="none"/>
          <w:u w:val="none" w:color="auto"/>
        </w:rPr>
        <w:fldChar w:fldCharType="end"/>
      </w:r>
      <w:bookmarkEnd w:id="1038"/>
      <w:bookmarkEnd w:id="1039"/>
      <w:bookmarkEnd w:id="1040"/>
      <w:bookmarkEnd w:id="1041"/>
      <w:bookmarkEnd w:id="1042"/>
      <w:bookmarkEnd w:id="1043"/>
      <w:bookmarkEnd w:id="1044"/>
      <w:bookmarkEnd w:id="1045"/>
      <w:bookmarkEnd w:id="1046"/>
      <w:bookmarkEnd w:id="1047"/>
      <w:bookmarkEnd w:id="1048"/>
      <w:bookmarkEnd w:id="1049"/>
    </w:p>
    <w:p w14:paraId="196150B2">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z w:val="32"/>
          <w:szCs w:val="40"/>
          <w:highlight w:val="none"/>
          <w:u w:val="none" w:color="auto"/>
          <w:lang w:val="en-US" w:eastAsia="zh-CN"/>
        </w:rPr>
      </w:pPr>
      <w:r>
        <w:rPr>
          <w:rFonts w:hint="default" w:ascii="Times New Roman" w:hAnsi="Times New Roman" w:eastAsia="方正仿宋_GBK" w:cs="Times New Roman"/>
          <w:color w:val="auto"/>
          <w:sz w:val="32"/>
          <w:szCs w:val="40"/>
          <w:highlight w:val="none"/>
          <w:u w:val="none" w:color="auto"/>
        </w:rPr>
        <w:t>完善创新主体主导的科技创新资源配置方式</w:t>
      </w:r>
      <w:r>
        <w:rPr>
          <w:rFonts w:hint="default" w:ascii="Times New Roman" w:hAnsi="Times New Roman" w:eastAsia="方正仿宋_GBK" w:cs="Times New Roman"/>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建立</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企业出题、企业出资、企业牵头、企业评价验收</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的产学研协同攻关机制。</w:t>
      </w:r>
      <w:r>
        <w:rPr>
          <w:rFonts w:hint="default" w:ascii="Times New Roman" w:hAnsi="Times New Roman" w:eastAsia="方正仿宋_GBK" w:cs="Times New Roman"/>
          <w:color w:val="auto"/>
          <w:sz w:val="32"/>
          <w:szCs w:val="40"/>
          <w:highlight w:val="none"/>
          <w:u w:val="none" w:color="auto"/>
          <w:lang w:val="en-US" w:eastAsia="zh-CN"/>
        </w:rPr>
        <w:t>开展低效用地摸底调查评估，提升土地资源市场化配置效率。开展</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认股权+</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业务模式创新，推动上市公司并购重组和再融资</w:t>
      </w:r>
      <w:r>
        <w:rPr>
          <w:rFonts w:hint="default" w:ascii="Times New Roman" w:hAnsi="Times New Roman" w:eastAsia="方正仿宋_GBK" w:cs="Times New Roman"/>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健全金融有效服务实体经济长效机制</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40"/>
          <w:highlight w:val="none"/>
          <w:u w:val="none" w:color="auto"/>
          <w:lang w:val="en-US" w:eastAsia="zh-CN"/>
        </w:rPr>
        <w:t>畅通人力资源要素有序流动，健全技能人才评价制度，推进高技能人才与专业人才贯通发展。</w:t>
      </w:r>
    </w:p>
    <w:p w14:paraId="2135F9F1">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2"/>
        <w:rPr>
          <w:rFonts w:hint="default" w:ascii="Times New Roman" w:hAnsi="Times New Roman" w:eastAsia="方正楷体_GBK" w:cs="Times New Roman"/>
          <w:color w:val="auto"/>
          <w:sz w:val="32"/>
          <w:szCs w:val="32"/>
          <w:highlight w:val="none"/>
          <w:u w:val="none" w:color="auto"/>
        </w:rPr>
      </w:pPr>
      <w:bookmarkStart w:id="1050" w:name="_Toc845"/>
      <w:bookmarkStart w:id="1051" w:name="_Toc31040"/>
      <w:bookmarkStart w:id="1052" w:name="_Toc31197"/>
      <w:bookmarkStart w:id="1053" w:name="_Toc5313"/>
      <w:bookmarkStart w:id="1054" w:name="_Toc9255"/>
      <w:bookmarkStart w:id="1055" w:name="_Toc13654"/>
      <w:bookmarkStart w:id="1056" w:name="_Toc7732"/>
      <w:bookmarkStart w:id="1057" w:name="_Toc32685"/>
      <w:bookmarkStart w:id="1058" w:name="_Toc26254"/>
      <w:bookmarkStart w:id="1059" w:name="_Toc24933"/>
      <w:bookmarkStart w:id="1060" w:name="_Toc27388"/>
      <w:bookmarkStart w:id="1061" w:name="_Toc20255"/>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_Toc26172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 xml:space="preserve">第二节 </w:t>
      </w:r>
      <w:r>
        <w:rPr>
          <w:rFonts w:hint="default" w:ascii="Times New Roman" w:hAnsi="Times New Roman" w:eastAsia="方正楷体_GBK" w:cs="Times New Roman"/>
          <w:color w:val="auto"/>
          <w:sz w:val="32"/>
          <w:szCs w:val="32"/>
          <w:highlight w:val="none"/>
          <w:u w:val="none" w:color="auto"/>
        </w:rPr>
        <w:fldChar w:fldCharType="end"/>
      </w:r>
      <w:r>
        <w:rPr>
          <w:rFonts w:hint="default" w:ascii="Times New Roman" w:hAnsi="Times New Roman" w:eastAsia="方正楷体_GBK" w:cs="Times New Roman"/>
          <w:color w:val="auto"/>
          <w:sz w:val="32"/>
          <w:szCs w:val="32"/>
          <w:highlight w:val="none"/>
          <w:u w:val="none" w:color="auto"/>
        </w:rPr>
        <w:t>加快融入新型要素市场体系</w:t>
      </w:r>
      <w:bookmarkEnd w:id="1050"/>
      <w:bookmarkEnd w:id="1051"/>
      <w:bookmarkEnd w:id="1052"/>
      <w:bookmarkEnd w:id="1053"/>
      <w:bookmarkEnd w:id="1054"/>
      <w:bookmarkEnd w:id="1055"/>
      <w:bookmarkEnd w:id="1056"/>
      <w:bookmarkEnd w:id="1057"/>
      <w:bookmarkEnd w:id="1058"/>
      <w:bookmarkEnd w:id="1059"/>
      <w:bookmarkEnd w:id="1060"/>
      <w:bookmarkEnd w:id="1061"/>
    </w:p>
    <w:p w14:paraId="470C6F6E">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z w:val="32"/>
          <w:szCs w:val="40"/>
          <w:highlight w:val="none"/>
          <w:u w:val="none" w:color="auto"/>
          <w:lang w:val="en-US" w:eastAsia="zh-CN"/>
        </w:rPr>
      </w:pPr>
      <w:r>
        <w:rPr>
          <w:rFonts w:hint="default" w:ascii="Times New Roman" w:hAnsi="Times New Roman" w:eastAsia="方正仿宋_GBK" w:cs="Times New Roman"/>
          <w:color w:val="auto"/>
          <w:sz w:val="32"/>
          <w:szCs w:val="40"/>
          <w:highlight w:val="none"/>
          <w:u w:val="none" w:color="auto"/>
          <w:lang w:val="en-US" w:eastAsia="zh-CN"/>
        </w:rPr>
        <w:t>健全运营服务体系，促进技术与资本融合发展，推进技术要素向现实生产力转化，科研人员参与成果转化收益比例不低于70%</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40"/>
          <w:highlight w:val="none"/>
          <w:u w:val="none" w:color="auto"/>
          <w:lang w:val="en-US" w:eastAsia="zh-CN"/>
        </w:rPr>
        <w:t>完善公共数据资源体系，推进数据归集、治理、授权、运营体系建设，深化重点行业领域高质量数据集和可信数据空间建设，发挥数据产品市场价值。</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全面对接</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长江绿融通</w:t>
      </w:r>
      <w:r>
        <w:rPr>
          <w:rStyle w:val="25"/>
          <w:rFonts w:hint="eastAsia" w:ascii="Times New Roman" w:hAnsi="Times New Roman" w:eastAsia="方正仿宋_GBK" w:cs="方正仿宋_GBK"/>
          <w:color w:val="auto"/>
          <w:kern w:val="2"/>
          <w:sz w:val="32"/>
          <w:szCs w:val="22"/>
          <w:highlight w:val="none"/>
          <w:u w:val="none" w:color="auto"/>
          <w:lang w:val="en-US" w:eastAsia="zh-CN" w:bidi="ar-SA"/>
        </w:rPr>
        <w:t>”</w:t>
      </w:r>
      <w:r>
        <w:rPr>
          <w:rStyle w:val="25"/>
          <w:rFonts w:hint="default" w:ascii="Times New Roman" w:hAnsi="Times New Roman" w:eastAsia="方正仿宋_GBK" w:cs="Times New Roman"/>
          <w:color w:val="auto"/>
          <w:kern w:val="2"/>
          <w:sz w:val="32"/>
          <w:szCs w:val="22"/>
          <w:highlight w:val="none"/>
          <w:u w:val="none" w:color="auto"/>
          <w:lang w:val="en-US" w:eastAsia="zh-CN" w:bidi="ar-SA"/>
        </w:rPr>
        <w:t>平台，加快建设碳金融智慧服务平台，鼓励在区金融机构探索开展碳基金、碳资产质押贷款等碳金融服务，绿色债券发行规模超50亿元。</w:t>
      </w:r>
    </w:p>
    <w:p w14:paraId="6214204E">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2"/>
        <w:rPr>
          <w:rFonts w:hint="default" w:ascii="Times New Roman" w:hAnsi="Times New Roman" w:eastAsia="方正楷体_GBK" w:cs="Times New Roman"/>
          <w:color w:val="auto"/>
          <w:sz w:val="32"/>
          <w:szCs w:val="32"/>
          <w:highlight w:val="none"/>
          <w:u w:val="none" w:color="auto"/>
        </w:rPr>
      </w:pPr>
      <w:bookmarkStart w:id="1062" w:name="_Toc25085"/>
      <w:bookmarkStart w:id="1063" w:name="_Toc31608"/>
      <w:bookmarkStart w:id="1064" w:name="_Toc7105"/>
      <w:bookmarkStart w:id="1065" w:name="_Toc8123"/>
      <w:bookmarkStart w:id="1066" w:name="_Toc4884"/>
      <w:bookmarkStart w:id="1067" w:name="_Toc18256"/>
      <w:bookmarkStart w:id="1068" w:name="_Toc3438"/>
      <w:bookmarkStart w:id="1069" w:name="_Toc19777"/>
      <w:bookmarkStart w:id="1070" w:name="_Toc22969"/>
      <w:bookmarkStart w:id="1071" w:name="_Toc5302"/>
      <w:bookmarkStart w:id="1072" w:name="_Toc10466"/>
      <w:bookmarkStart w:id="1073" w:name="_Toc29039"/>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_Toc15659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第三节 全面提升要素协同配置效率</w:t>
      </w:r>
      <w:r>
        <w:rPr>
          <w:rFonts w:hint="default" w:ascii="Times New Roman" w:hAnsi="Times New Roman" w:eastAsia="方正楷体_GBK" w:cs="Times New Roman"/>
          <w:color w:val="auto"/>
          <w:sz w:val="32"/>
          <w:szCs w:val="32"/>
          <w:highlight w:val="none"/>
          <w:u w:val="none" w:color="auto"/>
        </w:rPr>
        <w:fldChar w:fldCharType="end"/>
      </w:r>
      <w:bookmarkEnd w:id="1062"/>
      <w:bookmarkEnd w:id="1063"/>
      <w:bookmarkEnd w:id="1064"/>
      <w:bookmarkEnd w:id="1065"/>
      <w:bookmarkEnd w:id="1066"/>
      <w:bookmarkEnd w:id="1067"/>
      <w:bookmarkEnd w:id="1068"/>
      <w:bookmarkEnd w:id="1069"/>
      <w:bookmarkEnd w:id="1070"/>
      <w:bookmarkEnd w:id="1071"/>
      <w:bookmarkEnd w:id="1072"/>
      <w:bookmarkEnd w:id="1073"/>
    </w:p>
    <w:p w14:paraId="0CC4E12B">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left"/>
        <w:textAlignment w:val="center"/>
        <w:outlineLvl w:val="9"/>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仿宋_GBK" w:cs="Times New Roman"/>
          <w:color w:val="auto"/>
          <w:kern w:val="2"/>
          <w:sz w:val="32"/>
          <w:szCs w:val="40"/>
          <w:highlight w:val="none"/>
          <w:u w:val="none" w:color="auto"/>
          <w:lang w:val="en-US" w:eastAsia="zh-CN" w:bidi="ar-SA"/>
        </w:rPr>
        <w:t>全量摸清要素资源底数，建立要素</w:t>
      </w:r>
      <w:r>
        <w:rPr>
          <w:rFonts w:hint="eastAsia" w:ascii="Times New Roman" w:hAnsi="Times New Roman" w:eastAsia="方正仿宋_GBK" w:cs="方正仿宋_GBK"/>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40"/>
          <w:highlight w:val="none"/>
          <w:u w:val="none" w:color="auto"/>
          <w:lang w:val="en-US" w:eastAsia="zh-CN" w:bidi="ar-SA"/>
        </w:rPr>
        <w:t>一本账</w:t>
      </w:r>
      <w:r>
        <w:rPr>
          <w:rFonts w:hint="eastAsia" w:ascii="Times New Roman" w:hAnsi="Times New Roman" w:eastAsia="方正仿宋_GBK" w:cs="方正仿宋_GBK"/>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40"/>
          <w:highlight w:val="none"/>
          <w:u w:val="none" w:color="auto"/>
          <w:lang w:val="en-US" w:eastAsia="zh-CN" w:bidi="ar-SA"/>
        </w:rPr>
        <w:t>一组库</w:t>
      </w:r>
      <w:r>
        <w:rPr>
          <w:rFonts w:hint="eastAsia" w:ascii="Times New Roman" w:hAnsi="Times New Roman" w:eastAsia="方正仿宋_GBK" w:cs="方正仿宋_GBK"/>
          <w:color w:val="auto"/>
          <w:kern w:val="2"/>
          <w:sz w:val="32"/>
          <w:szCs w:val="40"/>
          <w:highlight w:val="none"/>
          <w:u w:val="none" w:color="auto"/>
          <w:lang w:val="en-US" w:eastAsia="zh-CN" w:bidi="ar-SA"/>
        </w:rPr>
        <w:t>”</w:t>
      </w:r>
      <w:r>
        <w:rPr>
          <w:rFonts w:hint="default" w:ascii="Times New Roman" w:hAnsi="Times New Roman" w:eastAsia="方正仿宋_GBK" w:cs="Times New Roman"/>
          <w:color w:val="auto"/>
          <w:kern w:val="2"/>
          <w:sz w:val="32"/>
          <w:szCs w:val="40"/>
          <w:highlight w:val="none"/>
          <w:u w:val="none" w:color="auto"/>
          <w:lang w:val="en-US" w:eastAsia="zh-CN" w:bidi="ar-SA"/>
        </w:rPr>
        <w:t>。探索构建要素交易规则，发挥好联交所等机构作用。</w:t>
      </w:r>
      <w:r>
        <w:rPr>
          <w:rFonts w:hint="default" w:ascii="Times New Roman" w:hAnsi="Times New Roman" w:eastAsia="方正仿宋_GBK" w:cs="Times New Roman"/>
          <w:color w:val="auto"/>
          <w:sz w:val="32"/>
          <w:szCs w:val="40"/>
          <w:highlight w:val="none"/>
          <w:u w:val="none" w:color="auto"/>
        </w:rPr>
        <w:t>完善要素配置数字化平台，推动各类要素交易平台数字化升级，充分挖掘、迭代上线交易产品，逐步实现全要素市场化集成配置。</w:t>
      </w:r>
      <w:r>
        <w:rPr>
          <w:rFonts w:hint="default" w:ascii="Times New Roman" w:hAnsi="Times New Roman" w:eastAsia="方正仿宋_GBK" w:cs="Times New Roman"/>
          <w:color w:val="auto"/>
          <w:sz w:val="32"/>
          <w:szCs w:val="40"/>
          <w:highlight w:val="none"/>
          <w:u w:val="none" w:color="auto"/>
          <w:lang w:val="en-US" w:eastAsia="zh-CN"/>
        </w:rPr>
        <w:t>聚焦数据、设计、生物医药等优势领域，布局打造一批要素创新性配置新场景。支持要素交易平台与金融机构、专业化中介机构合作，构建产权界定、价格形成、价值评估、信息披露、融资担保等综合服务体系。</w:t>
      </w:r>
      <w:r>
        <w:rPr>
          <w:rFonts w:hint="default" w:ascii="Times New Roman" w:hAnsi="Times New Roman" w:eastAsia="方正仿宋_GBK" w:cs="Times New Roman"/>
          <w:color w:val="auto"/>
          <w:sz w:val="32"/>
          <w:szCs w:val="40"/>
          <w:highlight w:val="none"/>
          <w:u w:val="none" w:color="auto"/>
        </w:rPr>
        <w:t>共同构建制度统一、监管协同、设施联通、执法联动的区域市场一体化制度规则。</w:t>
      </w:r>
      <w:bookmarkStart w:id="1074" w:name="_Toc8624"/>
    </w:p>
    <w:p w14:paraId="6518AC94">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560" w:firstLineChars="200"/>
        <w:contextualSpacing/>
        <w:jc w:val="center"/>
        <w:textAlignment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专栏9 要素市场化配置综合改革试点重点举措</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1DE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024367ED">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1.技术要素。</w:t>
            </w:r>
            <w:r>
              <w:rPr>
                <w:rFonts w:hint="default" w:ascii="Times New Roman" w:hAnsi="Times New Roman" w:eastAsia="方正仿宋_GBK" w:cs="Times New Roman"/>
                <w:color w:val="auto"/>
                <w:sz w:val="24"/>
                <w:szCs w:val="24"/>
                <w:highlight w:val="none"/>
                <w:u w:val="none" w:color="auto"/>
                <w:vertAlign w:val="baseline"/>
                <w:lang w:val="en-US" w:eastAsia="zh-CN"/>
              </w:rPr>
              <w:t>完善科技成果转化市场化机制，打造科技资源统筹平台，技术合同交易登记额超过80亿元，专利转让许可300件以上。</w:t>
            </w:r>
          </w:p>
          <w:p w14:paraId="1F265D18">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highlight w:val="none"/>
                <w:u w:val="none" w:color="auto"/>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2.土地要素。</w:t>
            </w:r>
            <w:r>
              <w:rPr>
                <w:rFonts w:hint="default" w:ascii="Times New Roman" w:hAnsi="Times New Roman" w:eastAsia="方正仿宋_GBK" w:cs="Times New Roman"/>
                <w:color w:val="auto"/>
                <w:sz w:val="24"/>
                <w:szCs w:val="24"/>
                <w:highlight w:val="none"/>
                <w:u w:val="none" w:color="auto"/>
                <w:vertAlign w:val="baseline"/>
                <w:lang w:val="en-US" w:eastAsia="zh-CN"/>
              </w:rPr>
              <w:t>深化土地管理制度改革，</w:t>
            </w:r>
            <w:r>
              <w:rPr>
                <w:rFonts w:hint="default" w:ascii="Times New Roman" w:hAnsi="Times New Roman" w:eastAsia="方正仿宋_GBK" w:cs="Times New Roman"/>
                <w:color w:val="auto"/>
                <w:sz w:val="24"/>
                <w:highlight w:val="none"/>
                <w:u w:val="none" w:color="auto"/>
              </w:rPr>
              <w:t>探索间隙利用存量建设用地，支持停车场、运动场、公共安全、文化创意产业、生产生活服务等项目短期使用存量储备土地。</w:t>
            </w:r>
            <w:r>
              <w:rPr>
                <w:rFonts w:hint="default" w:ascii="Times New Roman" w:hAnsi="Times New Roman" w:eastAsia="方正仿宋_GBK" w:cs="Times New Roman"/>
                <w:color w:val="auto"/>
                <w:sz w:val="24"/>
                <w:szCs w:val="24"/>
                <w:highlight w:val="none"/>
                <w:u w:val="none" w:color="auto"/>
                <w:vertAlign w:val="baseline"/>
                <w:lang w:val="en-US" w:eastAsia="zh-CN"/>
              </w:rPr>
              <w:t>优化地上地下空间综合利用，</w:t>
            </w:r>
            <w:r>
              <w:rPr>
                <w:rFonts w:hint="default" w:ascii="Times New Roman" w:hAnsi="Times New Roman" w:eastAsia="方正仿宋_GBK" w:cs="Times New Roman"/>
                <w:color w:val="auto"/>
                <w:sz w:val="24"/>
                <w:highlight w:val="none"/>
                <w:u w:val="none" w:color="auto"/>
              </w:rPr>
              <w:t>在轨道交通、独立选址停车场等交通设施中适度配建附属经营设施。统筹城市绿色空间一体化治理，优化解决商业、文化风貌、城市更新等项目区域的绿化指标</w:t>
            </w:r>
            <w:r>
              <w:rPr>
                <w:rFonts w:hint="default" w:ascii="Times New Roman" w:hAnsi="Times New Roman" w:eastAsia="方正仿宋_GBK" w:cs="Times New Roman"/>
                <w:color w:val="auto"/>
                <w:sz w:val="24"/>
                <w:highlight w:val="none"/>
                <w:u w:val="none" w:color="auto"/>
                <w:lang w:eastAsia="zh-CN"/>
              </w:rPr>
              <w:t>。</w:t>
            </w:r>
          </w:p>
          <w:p w14:paraId="2DB6B8E1">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3.人力资源要素。</w:t>
            </w:r>
            <w:r>
              <w:rPr>
                <w:rFonts w:hint="default" w:ascii="Times New Roman" w:hAnsi="Times New Roman" w:eastAsia="方正仿宋_GBK" w:cs="Times New Roman"/>
                <w:color w:val="auto"/>
                <w:sz w:val="24"/>
                <w:szCs w:val="24"/>
                <w:highlight w:val="none"/>
                <w:u w:val="none" w:color="auto"/>
                <w:vertAlign w:val="baseline"/>
                <w:lang w:val="en-US" w:eastAsia="zh-CN"/>
              </w:rPr>
              <w:t>编制发布《渝中区急需紧缺人才目录》，加大对</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4311</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现代化产业体系人才引进培育力度，完善职业技能等级机构备案管理制度，构建市场化专业化的就业服务体系，年均人才净流入量8000人以上，其中博士100人以上。</w:t>
            </w:r>
          </w:p>
          <w:p w14:paraId="44FB0042">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4.数据要素。</w:t>
            </w:r>
            <w:r>
              <w:rPr>
                <w:rFonts w:hint="default" w:ascii="Times New Roman" w:hAnsi="Times New Roman" w:eastAsia="方正仿宋_GBK" w:cs="Times New Roman"/>
                <w:color w:val="auto"/>
                <w:sz w:val="24"/>
                <w:szCs w:val="24"/>
                <w:highlight w:val="none"/>
                <w:u w:val="none" w:color="auto"/>
                <w:vertAlign w:val="baseline"/>
                <w:lang w:val="en-US" w:eastAsia="zh-CN"/>
              </w:rPr>
              <w:t>打造渝中特色数据专区，推动数据全域高效流通，赋能超大城市现代化治理与数据要素产业发展。</w:t>
            </w:r>
          </w:p>
          <w:p w14:paraId="543F04E6">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5.资本要素。</w:t>
            </w:r>
            <w:r>
              <w:rPr>
                <w:rFonts w:hint="default" w:ascii="Times New Roman" w:hAnsi="Times New Roman" w:eastAsia="方正仿宋_GBK" w:cs="Times New Roman"/>
                <w:color w:val="auto"/>
                <w:sz w:val="24"/>
                <w:szCs w:val="24"/>
                <w:highlight w:val="none"/>
                <w:u w:val="none" w:color="auto"/>
                <w:vertAlign w:val="baseline"/>
                <w:lang w:val="en-US" w:eastAsia="zh-CN"/>
              </w:rPr>
              <w:t>深化绿色金融改革创新，推动跨境金融赋能高水平开放试点扩容增量，加快普惠金融全域覆盖，绿色融资总规模年均增长20%以上。</w:t>
            </w:r>
          </w:p>
          <w:p w14:paraId="76F03BDE">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6.资源环境要素。</w:t>
            </w:r>
            <w:r>
              <w:rPr>
                <w:rFonts w:hint="default" w:ascii="Times New Roman" w:hAnsi="Times New Roman" w:eastAsia="方正仿宋_GBK" w:cs="Times New Roman"/>
                <w:color w:val="auto"/>
                <w:sz w:val="24"/>
                <w:szCs w:val="24"/>
                <w:highlight w:val="none"/>
                <w:u w:val="none" w:color="auto"/>
                <w:vertAlign w:val="baseline"/>
                <w:lang w:val="en-US" w:eastAsia="zh-CN"/>
              </w:rPr>
              <w:t>运用好全市首批气候通融资试点，鼓励引导在区金融机构探索开展碳基金、碳资产质押贷款等碳金融服务。</w:t>
            </w:r>
          </w:p>
          <w:p w14:paraId="60B8FACA">
            <w:pPr>
              <w:keepNext w:val="0"/>
              <w:keepLines w:val="0"/>
              <w:pageBreakBefore w:val="0"/>
              <w:widowControl/>
              <w:suppressLineNumbers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440" w:lineRule="atLeast"/>
              <w:ind w:firstLine="480" w:firstLineChars="200"/>
              <w:contextualSpacing/>
              <w:jc w:val="both"/>
              <w:textAlignment w:val="center"/>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7.要素市场化交易平台。</w:t>
            </w:r>
            <w:r>
              <w:rPr>
                <w:rFonts w:hint="default" w:ascii="Times New Roman" w:hAnsi="Times New Roman" w:eastAsia="方正仿宋_GBK" w:cs="Times New Roman"/>
                <w:color w:val="auto"/>
                <w:sz w:val="24"/>
                <w:szCs w:val="24"/>
                <w:highlight w:val="none"/>
                <w:u w:val="none" w:color="auto"/>
                <w:vertAlign w:val="baseline"/>
                <w:lang w:val="en-US" w:eastAsia="zh-CN"/>
              </w:rPr>
              <w:t>重庆股权转让中心渝中分中心、重庆电力交易中心、企业碳账户平台等。</w:t>
            </w:r>
          </w:p>
        </w:tc>
      </w:tr>
      <w:bookmarkEnd w:id="1074"/>
    </w:tbl>
    <w:p w14:paraId="0EF88369">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1"/>
        <w:rPr>
          <w:rFonts w:hint="default" w:ascii="Times New Roman" w:hAnsi="Times New Roman" w:eastAsia="方正黑体_GBK" w:cs="Times New Roman"/>
          <w:color w:val="auto"/>
          <w:sz w:val="32"/>
          <w:szCs w:val="32"/>
          <w:highlight w:val="none"/>
          <w:u w:val="none" w:color="auto"/>
        </w:rPr>
      </w:pPr>
      <w:bookmarkStart w:id="1075" w:name="_Toc3816"/>
      <w:bookmarkStart w:id="1076" w:name="_Toc3784"/>
      <w:bookmarkStart w:id="1077" w:name="_Toc9120"/>
      <w:bookmarkStart w:id="1078" w:name="_Toc23078"/>
      <w:bookmarkStart w:id="1079" w:name="_Toc21165"/>
      <w:bookmarkStart w:id="1080" w:name="_Toc7564"/>
      <w:bookmarkStart w:id="1081" w:name="_Toc3395"/>
      <w:bookmarkStart w:id="1082" w:name="_Toc12585"/>
      <w:bookmarkStart w:id="1083" w:name="_Toc4118"/>
      <w:bookmarkStart w:id="1084" w:name="_Toc11596"/>
      <w:bookmarkStart w:id="1085" w:name="_Toc22124"/>
      <w:bookmarkStart w:id="1086" w:name="_Toc18047"/>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六</w:t>
      </w:r>
      <w:r>
        <w:rPr>
          <w:rFonts w:hint="default" w:ascii="Times New Roman" w:hAnsi="Times New Roman" w:eastAsia="方正黑体_GBK" w:cs="Times New Roman"/>
          <w:color w:val="auto"/>
          <w:sz w:val="32"/>
          <w:szCs w:val="32"/>
          <w:highlight w:val="none"/>
          <w:u w:val="none" w:color="auto"/>
        </w:rPr>
        <w:t>章 持续深入打造一流营商环境</w:t>
      </w:r>
      <w:bookmarkEnd w:id="1075"/>
      <w:bookmarkEnd w:id="1076"/>
      <w:bookmarkEnd w:id="1077"/>
      <w:bookmarkEnd w:id="1078"/>
      <w:bookmarkEnd w:id="1079"/>
      <w:bookmarkEnd w:id="1080"/>
      <w:bookmarkEnd w:id="1081"/>
      <w:bookmarkEnd w:id="1082"/>
      <w:bookmarkEnd w:id="1083"/>
      <w:bookmarkEnd w:id="1084"/>
      <w:bookmarkEnd w:id="1085"/>
      <w:bookmarkEnd w:id="1086"/>
    </w:p>
    <w:p w14:paraId="5ACB850F">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z w:val="32"/>
          <w:szCs w:val="40"/>
          <w:highlight w:val="none"/>
          <w:u w:val="none" w:color="auto"/>
        </w:rPr>
      </w:pPr>
      <w:r>
        <w:rPr>
          <w:rFonts w:hint="default" w:ascii="Times New Roman" w:hAnsi="Times New Roman" w:eastAsia="方正仿宋_GBK" w:cs="Times New Roman"/>
          <w:color w:val="auto"/>
          <w:sz w:val="32"/>
          <w:szCs w:val="40"/>
          <w:highlight w:val="none"/>
          <w:u w:val="none" w:color="auto"/>
        </w:rPr>
        <w:t>坚持数字赋能、问题导向、系统集成、精准施策，</w:t>
      </w:r>
      <w:r>
        <w:rPr>
          <w:rFonts w:hint="default" w:ascii="Times New Roman" w:hAnsi="Times New Roman" w:eastAsia="方正仿宋_GBK" w:cs="Times New Roman"/>
          <w:color w:val="auto"/>
          <w:sz w:val="32"/>
          <w:szCs w:val="40"/>
          <w:highlight w:val="none"/>
          <w:u w:val="none" w:color="auto"/>
          <w:lang w:val="en-US" w:eastAsia="zh-CN"/>
        </w:rPr>
        <w:t>持续打造</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宜商渝中</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营商环境品牌，着力营造</w:t>
      </w:r>
      <w:r>
        <w:rPr>
          <w:rFonts w:hint="default" w:ascii="Times New Roman" w:hAnsi="Times New Roman" w:eastAsia="方正仿宋_GBK" w:cs="Times New Roman"/>
          <w:color w:val="auto"/>
          <w:sz w:val="32"/>
          <w:szCs w:val="40"/>
          <w:highlight w:val="none"/>
          <w:u w:val="none" w:color="auto"/>
        </w:rPr>
        <w:t>市场化、法治化、国际化一流营商环境。</w:t>
      </w:r>
    </w:p>
    <w:p w14:paraId="5DFC87FD">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2"/>
        <w:rPr>
          <w:rFonts w:hint="default" w:ascii="Times New Roman" w:hAnsi="Times New Roman" w:eastAsia="方正楷体_GBK" w:cs="Times New Roman"/>
          <w:color w:val="auto"/>
          <w:sz w:val="32"/>
          <w:szCs w:val="32"/>
          <w:highlight w:val="none"/>
          <w:u w:val="none" w:color="auto"/>
        </w:rPr>
      </w:pPr>
      <w:bookmarkStart w:id="1087" w:name="_Toc10524"/>
      <w:bookmarkStart w:id="1088" w:name="_Toc17366"/>
      <w:bookmarkStart w:id="1089" w:name="_Toc27765"/>
      <w:bookmarkStart w:id="1090" w:name="_Toc19561"/>
      <w:bookmarkStart w:id="1091" w:name="_Toc12253"/>
      <w:bookmarkStart w:id="1092" w:name="_Toc23676"/>
      <w:bookmarkStart w:id="1093" w:name="_Toc17298"/>
      <w:bookmarkStart w:id="1094" w:name="_Toc14592"/>
      <w:bookmarkStart w:id="1095" w:name="_Toc13950"/>
      <w:bookmarkStart w:id="1096" w:name="_Toc18742"/>
      <w:bookmarkStart w:id="1097" w:name="_Toc2963"/>
      <w:bookmarkStart w:id="1098" w:name="_Toc25375"/>
      <w:r>
        <w:rPr>
          <w:rFonts w:hint="default" w:ascii="Times New Roman" w:hAnsi="Times New Roman" w:eastAsia="方正楷体_GBK" w:cs="Times New Roman"/>
          <w:color w:val="auto"/>
          <w:sz w:val="32"/>
          <w:szCs w:val="32"/>
          <w:highlight w:val="none"/>
          <w:u w:val="none" w:color="auto"/>
        </w:rPr>
        <w:t>第一节 数字赋能政务服务效能提升</w:t>
      </w:r>
      <w:bookmarkEnd w:id="1087"/>
      <w:bookmarkEnd w:id="1088"/>
      <w:bookmarkEnd w:id="1089"/>
      <w:bookmarkEnd w:id="1090"/>
      <w:bookmarkEnd w:id="1091"/>
      <w:bookmarkEnd w:id="1092"/>
      <w:bookmarkEnd w:id="1093"/>
      <w:bookmarkEnd w:id="1094"/>
      <w:bookmarkEnd w:id="1095"/>
      <w:bookmarkEnd w:id="1096"/>
      <w:bookmarkEnd w:id="1097"/>
      <w:bookmarkEnd w:id="1098"/>
    </w:p>
    <w:p w14:paraId="1344CE03">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pacing w:val="-11"/>
          <w:sz w:val="32"/>
          <w:szCs w:val="40"/>
          <w:highlight w:val="none"/>
          <w:u w:val="none" w:color="auto"/>
        </w:rPr>
      </w:pPr>
      <w:r>
        <w:rPr>
          <w:rFonts w:hint="default" w:ascii="Times New Roman" w:hAnsi="Times New Roman" w:eastAsia="方正仿宋_GBK" w:cs="Times New Roman"/>
          <w:color w:val="auto"/>
          <w:sz w:val="32"/>
          <w:szCs w:val="40"/>
          <w:highlight w:val="none"/>
          <w:u w:val="none" w:color="auto"/>
          <w:lang w:val="en-US" w:eastAsia="zh-CN"/>
        </w:rPr>
        <w:t>全面加强政务服务渠道建设</w:t>
      </w:r>
      <w:r>
        <w:rPr>
          <w:rFonts w:hint="default" w:ascii="Times New Roman" w:hAnsi="Times New Roman" w:eastAsia="方正仿宋_GBK" w:cs="Times New Roman"/>
          <w:color w:val="auto"/>
          <w:sz w:val="32"/>
          <w:szCs w:val="40"/>
          <w:highlight w:val="none"/>
          <w:u w:val="none" w:color="auto"/>
        </w:rPr>
        <w:t>，迭代升级</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一网通办</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服务体系，深化</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一窗综办</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帮办代办</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等</w:t>
      </w:r>
      <w:r>
        <w:rPr>
          <w:rFonts w:hint="default" w:ascii="Times New Roman" w:hAnsi="Times New Roman" w:eastAsia="方正仿宋_GBK" w:cs="Times New Roman"/>
          <w:color w:val="auto"/>
          <w:sz w:val="32"/>
          <w:szCs w:val="40"/>
          <w:highlight w:val="none"/>
          <w:u w:val="none" w:color="auto"/>
        </w:rPr>
        <w:t>改革，创新推出增值服务，</w:t>
      </w:r>
      <w:r>
        <w:rPr>
          <w:rFonts w:hint="default" w:ascii="Times New Roman" w:hAnsi="Times New Roman" w:eastAsia="方正仿宋_GBK" w:cs="Times New Roman"/>
          <w:color w:val="auto"/>
          <w:sz w:val="32"/>
          <w:szCs w:val="40"/>
          <w:highlight w:val="none"/>
          <w:u w:val="none" w:color="auto"/>
          <w:lang w:val="en-US" w:eastAsia="zh-CN"/>
        </w:rPr>
        <w:t>实现</w:t>
      </w:r>
      <w:r>
        <w:rPr>
          <w:rFonts w:hint="default" w:ascii="Times New Roman" w:hAnsi="Times New Roman" w:eastAsia="方正仿宋_GBK" w:cs="Times New Roman"/>
          <w:color w:val="auto"/>
          <w:sz w:val="32"/>
          <w:szCs w:val="40"/>
          <w:highlight w:val="none"/>
          <w:u w:val="none" w:color="auto"/>
        </w:rPr>
        <w:t>企业和群众诉求</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一线应答</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。创新政务服务模式，推行</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高质承诺+容缺办理</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审批模式，探索</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高效办成一件事</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向</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高效办成一类事</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推进，</w:t>
      </w:r>
      <w:r>
        <w:rPr>
          <w:rFonts w:hint="default" w:ascii="Times New Roman" w:hAnsi="Times New Roman" w:eastAsia="方正仿宋_GBK" w:cs="Times New Roman"/>
          <w:color w:val="auto"/>
          <w:sz w:val="32"/>
          <w:szCs w:val="40"/>
          <w:highlight w:val="none"/>
          <w:u w:val="none" w:color="auto"/>
          <w:lang w:val="en-US" w:eastAsia="zh-CN"/>
        </w:rPr>
        <w:t>实现</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一类事</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服务集成化。</w:t>
      </w:r>
      <w:r>
        <w:rPr>
          <w:rFonts w:hint="default" w:ascii="Times New Roman" w:hAnsi="Times New Roman" w:eastAsia="方正仿宋_GBK" w:cs="Times New Roman"/>
          <w:color w:val="auto"/>
          <w:spacing w:val="-11"/>
          <w:sz w:val="32"/>
          <w:szCs w:val="40"/>
          <w:highlight w:val="none"/>
          <w:u w:val="none" w:color="auto"/>
        </w:rPr>
        <w:t>建立个人和企业全生命周期数字档案，深化电子证照数据共享应用。</w:t>
      </w:r>
    </w:p>
    <w:p w14:paraId="04C12282">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center"/>
        <w:textAlignment w:val="center"/>
        <w:outlineLvl w:val="2"/>
        <w:rPr>
          <w:rFonts w:hint="default" w:ascii="Times New Roman" w:hAnsi="Times New Roman" w:eastAsia="方正楷体_GBK" w:cs="Times New Roman"/>
          <w:color w:val="auto"/>
          <w:sz w:val="32"/>
          <w:szCs w:val="32"/>
          <w:highlight w:val="none"/>
          <w:u w:val="none" w:color="auto"/>
          <w:lang w:val="en-US"/>
        </w:rPr>
      </w:pPr>
      <w:bookmarkStart w:id="1099" w:name="_Toc30017"/>
      <w:bookmarkStart w:id="1100" w:name="_Toc10732"/>
      <w:bookmarkStart w:id="1101" w:name="_Toc3291"/>
      <w:bookmarkStart w:id="1102" w:name="_Toc14789"/>
      <w:bookmarkStart w:id="1103" w:name="_Toc14229"/>
      <w:bookmarkStart w:id="1104" w:name="_Toc12688"/>
      <w:bookmarkStart w:id="1105" w:name="_Toc16277"/>
      <w:bookmarkStart w:id="1106" w:name="_Toc20977"/>
      <w:bookmarkStart w:id="1107" w:name="_Toc5072"/>
      <w:bookmarkStart w:id="1108" w:name="_Toc30910"/>
      <w:bookmarkStart w:id="1109" w:name="_Toc5952"/>
      <w:bookmarkStart w:id="1110" w:name="_Toc23791"/>
      <w:r>
        <w:rPr>
          <w:rFonts w:hint="default" w:ascii="Times New Roman" w:hAnsi="Times New Roman" w:eastAsia="方正楷体_GBK" w:cs="Times New Roman"/>
          <w:color w:val="auto"/>
          <w:sz w:val="32"/>
          <w:szCs w:val="32"/>
          <w:highlight w:val="none"/>
          <w:u w:val="none" w:color="auto"/>
        </w:rPr>
        <w:fldChar w:fldCharType="begin"/>
      </w:r>
      <w:r>
        <w:rPr>
          <w:rFonts w:hint="default" w:ascii="Times New Roman" w:hAnsi="Times New Roman" w:eastAsia="方正楷体_GBK" w:cs="Times New Roman"/>
          <w:color w:val="auto"/>
          <w:sz w:val="32"/>
          <w:szCs w:val="32"/>
          <w:highlight w:val="none"/>
          <w:u w:val="none" w:color="auto"/>
        </w:rPr>
        <w:instrText xml:space="preserve"> HYPERLINK \l _Toc26172 </w:instrText>
      </w:r>
      <w:r>
        <w:rPr>
          <w:rFonts w:hint="default" w:ascii="Times New Roman" w:hAnsi="Times New Roman" w:eastAsia="方正楷体_GBK" w:cs="Times New Roman"/>
          <w:color w:val="auto"/>
          <w:sz w:val="32"/>
          <w:szCs w:val="32"/>
          <w:highlight w:val="none"/>
          <w:u w:val="none" w:color="auto"/>
        </w:rPr>
        <w:fldChar w:fldCharType="separate"/>
      </w:r>
      <w:r>
        <w:rPr>
          <w:rFonts w:hint="default" w:ascii="Times New Roman" w:hAnsi="Times New Roman" w:eastAsia="方正楷体_GBK" w:cs="Times New Roman"/>
          <w:color w:val="auto"/>
          <w:sz w:val="32"/>
          <w:szCs w:val="32"/>
          <w:highlight w:val="none"/>
          <w:u w:val="none" w:color="auto"/>
        </w:rPr>
        <w:t xml:space="preserve">第二节 </w:t>
      </w:r>
      <w:r>
        <w:rPr>
          <w:rFonts w:hint="default" w:ascii="Times New Roman" w:hAnsi="Times New Roman" w:eastAsia="方正楷体_GBK" w:cs="Times New Roman"/>
          <w:color w:val="auto"/>
          <w:sz w:val="32"/>
          <w:szCs w:val="32"/>
          <w:highlight w:val="none"/>
          <w:u w:val="none" w:color="auto"/>
        </w:rPr>
        <w:fldChar w:fldCharType="end"/>
      </w:r>
      <w:r>
        <w:rPr>
          <w:rFonts w:hint="default" w:ascii="Times New Roman" w:hAnsi="Times New Roman" w:eastAsia="方正楷体_GBK" w:cs="Times New Roman"/>
          <w:color w:val="auto"/>
          <w:sz w:val="32"/>
          <w:szCs w:val="32"/>
          <w:highlight w:val="none"/>
          <w:u w:val="none" w:color="auto"/>
          <w:lang w:val="en-US" w:eastAsia="zh-CN"/>
        </w:rPr>
        <w:t>创新</w:t>
      </w:r>
      <w:r>
        <w:rPr>
          <w:rFonts w:hint="default" w:ascii="Times New Roman" w:hAnsi="Times New Roman" w:eastAsia="方正楷体_GBK" w:cs="Times New Roman"/>
          <w:color w:val="auto"/>
          <w:sz w:val="32"/>
          <w:szCs w:val="32"/>
          <w:highlight w:val="none"/>
          <w:u w:val="none" w:color="auto"/>
        </w:rPr>
        <w:t>企业</w:t>
      </w:r>
      <w:r>
        <w:rPr>
          <w:rFonts w:hint="default" w:ascii="Times New Roman" w:hAnsi="Times New Roman" w:eastAsia="方正楷体_GBK" w:cs="Times New Roman"/>
          <w:color w:val="auto"/>
          <w:sz w:val="32"/>
          <w:szCs w:val="32"/>
          <w:highlight w:val="none"/>
          <w:u w:val="none" w:color="auto"/>
          <w:lang w:val="en-US" w:eastAsia="zh-CN"/>
        </w:rPr>
        <w:t>主体服务和监管</w:t>
      </w:r>
      <w:bookmarkEnd w:id="1099"/>
      <w:bookmarkEnd w:id="1100"/>
      <w:bookmarkEnd w:id="1101"/>
      <w:bookmarkEnd w:id="1102"/>
      <w:bookmarkEnd w:id="1103"/>
      <w:bookmarkEnd w:id="1104"/>
      <w:bookmarkEnd w:id="1105"/>
      <w:bookmarkEnd w:id="1106"/>
      <w:bookmarkEnd w:id="1107"/>
      <w:bookmarkEnd w:id="1108"/>
      <w:bookmarkEnd w:id="1109"/>
      <w:bookmarkEnd w:id="1110"/>
      <w:r>
        <w:rPr>
          <w:rFonts w:hint="eastAsia" w:ascii="Times New Roman" w:hAnsi="Times New Roman" w:eastAsia="方正楷体_GBK" w:cs="Times New Roman"/>
          <w:color w:val="auto"/>
          <w:sz w:val="32"/>
          <w:szCs w:val="32"/>
          <w:highlight w:val="none"/>
          <w:u w:val="none" w:color="auto"/>
          <w:lang w:val="en-US" w:eastAsia="zh-CN"/>
        </w:rPr>
        <w:t>执法</w:t>
      </w:r>
    </w:p>
    <w:p w14:paraId="28482E46">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jc w:val="both"/>
        <w:textAlignment w:val="center"/>
        <w:outlineLvl w:val="9"/>
        <w:rPr>
          <w:rFonts w:hint="default" w:ascii="Times New Roman" w:hAnsi="Times New Roman" w:eastAsia="方正黑体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40"/>
          <w:highlight w:val="none"/>
          <w:u w:val="none" w:color="auto"/>
          <w:lang w:val="en-US" w:eastAsia="zh-CN"/>
        </w:rPr>
        <w:t>落实重庆深化营商环境创新试点城市建设举措，深化打造</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三同</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两不</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营商环境</w:t>
      </w:r>
      <w:r>
        <w:rPr>
          <w:rFonts w:hint="default" w:ascii="Times New Roman" w:hAnsi="Times New Roman" w:eastAsia="方正仿宋_GBK" w:cs="Times New Roman"/>
          <w:color w:val="auto"/>
          <w:sz w:val="32"/>
          <w:szCs w:val="40"/>
          <w:highlight w:val="none"/>
          <w:u w:val="none" w:color="auto"/>
        </w:rPr>
        <w:t>，着力形成</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渝中标准</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渝中服务</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等制度创新成果</w:t>
      </w:r>
      <w:r>
        <w:rPr>
          <w:rFonts w:hint="default" w:ascii="Times New Roman" w:hAnsi="Times New Roman" w:eastAsia="方正仿宋_GBK" w:cs="Times New Roman"/>
          <w:color w:val="auto"/>
          <w:sz w:val="32"/>
          <w:szCs w:val="40"/>
          <w:highlight w:val="none"/>
          <w:u w:val="none" w:color="auto"/>
          <w:lang w:val="en-US" w:eastAsia="zh-CN"/>
        </w:rPr>
        <w:t>。常态化做好</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三级走访</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企业联系服务机制，深入实施</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服务企业专员制度</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，提升</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AI+企业码上服务</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应用能力，</w:t>
      </w:r>
      <w:r>
        <w:rPr>
          <w:rFonts w:hint="default" w:ascii="Times New Roman" w:hAnsi="Times New Roman" w:eastAsia="方正仿宋_GBK" w:cs="Times New Roman"/>
          <w:color w:val="auto"/>
          <w:sz w:val="32"/>
          <w:szCs w:val="40"/>
          <w:highlight w:val="none"/>
          <w:u w:val="none" w:color="auto"/>
        </w:rPr>
        <w:t>提升惠企政策精准性。高标准对接国际经贸规则，强化外商投资服务，</w:t>
      </w:r>
      <w:r>
        <w:rPr>
          <w:rFonts w:hint="default" w:ascii="Times New Roman" w:hAnsi="Times New Roman" w:eastAsia="方正仿宋_GBK" w:cs="Times New Roman"/>
          <w:color w:val="auto"/>
          <w:sz w:val="32"/>
          <w:szCs w:val="40"/>
          <w:highlight w:val="none"/>
          <w:u w:val="none" w:color="auto"/>
          <w:lang w:val="en-US" w:eastAsia="zh-CN"/>
        </w:rPr>
        <w:t>落实外商投资负面清单，实施</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外资千企服务</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行动，</w:t>
      </w:r>
      <w:r>
        <w:rPr>
          <w:rFonts w:hint="default" w:ascii="Times New Roman" w:hAnsi="Times New Roman" w:eastAsia="方正仿宋_GBK" w:cs="Times New Roman"/>
          <w:color w:val="auto"/>
          <w:sz w:val="32"/>
          <w:szCs w:val="40"/>
          <w:highlight w:val="none"/>
          <w:u w:val="none" w:color="auto"/>
        </w:rPr>
        <w:t>提高投资贸易便利化水平。健全涉企收费长效监管和拖欠企业账款清偿法规制度</w:t>
      </w:r>
      <w:r>
        <w:rPr>
          <w:rFonts w:hint="default" w:ascii="Times New Roman" w:hAnsi="Times New Roman" w:eastAsia="方正仿宋_GBK" w:cs="Times New Roman"/>
          <w:color w:val="auto"/>
          <w:sz w:val="32"/>
          <w:szCs w:val="40"/>
          <w:highlight w:val="none"/>
          <w:u w:val="none" w:color="auto"/>
          <w:lang w:eastAsia="zh-CN"/>
        </w:rPr>
        <w:t>，防范化解拖欠中小企业账款。</w:t>
      </w:r>
      <w:r>
        <w:rPr>
          <w:rFonts w:hint="default" w:ascii="Times New Roman" w:hAnsi="Times New Roman" w:eastAsia="方正仿宋_GBK" w:cs="Times New Roman"/>
          <w:color w:val="auto"/>
          <w:sz w:val="32"/>
          <w:szCs w:val="40"/>
          <w:highlight w:val="none"/>
          <w:u w:val="none" w:color="auto"/>
          <w:lang w:val="en-US" w:eastAsia="zh-CN"/>
        </w:rPr>
        <w:t>健全覆盖六类主体的社会信用体系，持续完善</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信用+商圈</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应用场景，实施信用分级分类监管，</w:t>
      </w:r>
      <w:r>
        <w:rPr>
          <w:rFonts w:hint="default" w:ascii="Times New Roman" w:hAnsi="Times New Roman" w:eastAsia="方正仿宋_GBK" w:cs="Times New Roman"/>
          <w:color w:val="auto"/>
          <w:sz w:val="32"/>
          <w:szCs w:val="40"/>
          <w:highlight w:val="none"/>
          <w:u w:val="none" w:color="auto"/>
        </w:rPr>
        <w:t>打造</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信用</w:t>
      </w:r>
      <w:r>
        <w:rPr>
          <w:rFonts w:hint="default" w:ascii="Times New Roman" w:hAnsi="Times New Roman" w:eastAsia="方正仿宋_GBK" w:cs="Times New Roman"/>
          <w:color w:val="auto"/>
          <w:sz w:val="32"/>
          <w:szCs w:val="40"/>
          <w:highlight w:val="none"/>
          <w:u w:val="none" w:color="auto"/>
          <w:lang w:val="en-US" w:eastAsia="zh-CN"/>
        </w:rPr>
        <w:t>渝中</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升级版</w:t>
      </w:r>
      <w:r>
        <w:rPr>
          <w:rFonts w:hint="default" w:ascii="Times New Roman" w:hAnsi="Times New Roman" w:eastAsia="方正仿宋_GBK" w:cs="Times New Roman"/>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拓展</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无事不扰</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信用+执法</w:t>
      </w:r>
      <w:r>
        <w:rPr>
          <w:rFonts w:hint="eastAsia" w:ascii="Times New Roman" w:hAnsi="Times New Roman" w:eastAsia="方正仿宋_GBK" w:cs="方正仿宋_GBK"/>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rPr>
        <w:t>综合应用场景，推进涉企执法检查减量化、规范化。</w:t>
      </w:r>
      <w:r>
        <w:rPr>
          <w:rFonts w:hint="default" w:ascii="Times New Roman" w:hAnsi="Times New Roman" w:eastAsia="方正仿宋_GBK" w:cs="Times New Roman"/>
          <w:color w:val="auto"/>
          <w:sz w:val="32"/>
          <w:szCs w:val="40"/>
          <w:highlight w:val="none"/>
          <w:u w:val="none" w:color="auto"/>
          <w:lang w:eastAsia="zh-CN"/>
        </w:rPr>
        <w:t>常态化开展损害营商环境的腐败和作风问题整治，</w:t>
      </w:r>
      <w:r>
        <w:rPr>
          <w:rFonts w:hint="default" w:ascii="Times New Roman" w:hAnsi="Times New Roman" w:eastAsia="方正仿宋_GBK" w:cs="Times New Roman"/>
          <w:color w:val="auto"/>
          <w:sz w:val="32"/>
          <w:szCs w:val="32"/>
          <w:highlight w:val="none"/>
          <w:u w:val="none" w:color="auto"/>
          <w:lang w:val="en-US" w:eastAsia="zh-CN"/>
        </w:rPr>
        <w:t>实施安商护企、重点企业品牌保护、防范打击侵害企业合法权益等专项行动，</w:t>
      </w:r>
      <w:r>
        <w:rPr>
          <w:rFonts w:hint="default" w:ascii="Times New Roman" w:hAnsi="Times New Roman" w:eastAsia="方正仿宋_GBK" w:cs="Times New Roman"/>
          <w:color w:val="auto"/>
          <w:sz w:val="32"/>
          <w:szCs w:val="40"/>
          <w:highlight w:val="none"/>
          <w:u w:val="none" w:color="auto"/>
          <w:lang w:eastAsia="zh-CN"/>
        </w:rPr>
        <w:t>保障企业和企业家合法权益</w:t>
      </w:r>
      <w:r>
        <w:rPr>
          <w:rFonts w:hint="default" w:ascii="Times New Roman" w:hAnsi="Times New Roman" w:eastAsia="方正仿宋_GBK" w:cs="Times New Roman"/>
          <w:color w:val="auto"/>
          <w:sz w:val="32"/>
          <w:szCs w:val="40"/>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健全规范涉企执法长效机制，防止和纠正违规异地执法、趋利性执法</w:t>
      </w:r>
      <w:r>
        <w:rPr>
          <w:rFonts w:hint="default" w:ascii="Times New Roman" w:hAnsi="Times New Roman" w:eastAsia="方正仿宋_GBK" w:cs="Times New Roman"/>
          <w:color w:val="auto"/>
          <w:sz w:val="32"/>
          <w:szCs w:val="32"/>
          <w:highlight w:val="none"/>
          <w:u w:val="none" w:color="auto"/>
        </w:rPr>
        <w:t>等突出问题。</w:t>
      </w:r>
      <w:bookmarkStart w:id="1111" w:name="_Toc14089"/>
      <w:r>
        <w:rPr>
          <w:rFonts w:hint="default" w:ascii="Times New Roman" w:hAnsi="Times New Roman" w:eastAsia="方正黑体_GBK" w:cs="Times New Roman"/>
          <w:color w:val="auto"/>
          <w:sz w:val="32"/>
          <w:szCs w:val="32"/>
          <w:highlight w:val="none"/>
          <w:u w:val="none" w:color="auto"/>
        </w:rPr>
        <w:fldChar w:fldCharType="end"/>
      </w:r>
      <w:bookmarkStart w:id="1112" w:name="OLE_LINK16"/>
      <w:r>
        <w:rPr>
          <w:rFonts w:hint="default" w:ascii="Times New Roman" w:hAnsi="Times New Roman" w:eastAsia="方正仿宋_GBK" w:cs="Times New Roman"/>
          <w:color w:val="auto"/>
          <w:sz w:val="32"/>
          <w:szCs w:val="32"/>
          <w:highlight w:val="none"/>
          <w:u w:val="none" w:color="auto"/>
          <w:lang w:val="en-US" w:eastAsia="zh-CN"/>
        </w:rPr>
        <w:t>探索打造一人公司（OPC）西部首选城区，围绕</w:t>
      </w:r>
      <w:r>
        <w:rPr>
          <w:rFonts w:hint="default" w:ascii="Times New Roman" w:hAnsi="Times New Roman" w:eastAsia="方正仿宋_GBK" w:cs="Times New Roman"/>
          <w:color w:val="auto"/>
          <w:sz w:val="32"/>
          <w:szCs w:val="32"/>
          <w:highlight w:val="none"/>
          <w:u w:val="none" w:color="auto"/>
        </w:rPr>
        <w:t>政策</w:t>
      </w:r>
      <w:r>
        <w:rPr>
          <w:rFonts w:hint="default" w:ascii="Times New Roman" w:hAnsi="Times New Roman" w:eastAsia="方正仿宋_GBK" w:cs="Times New Roman"/>
          <w:color w:val="auto"/>
          <w:sz w:val="32"/>
          <w:szCs w:val="32"/>
          <w:highlight w:val="none"/>
          <w:u w:val="none" w:color="auto"/>
          <w:lang w:val="en-US" w:eastAsia="zh-CN"/>
        </w:rPr>
        <w:t>支持</w:t>
      </w:r>
      <w:r>
        <w:rPr>
          <w:rFonts w:hint="default" w:ascii="Times New Roman" w:hAnsi="Times New Roman" w:eastAsia="方正仿宋_GBK" w:cs="Times New Roman"/>
          <w:color w:val="auto"/>
          <w:sz w:val="32"/>
          <w:szCs w:val="32"/>
          <w:highlight w:val="none"/>
          <w:u w:val="none" w:color="auto"/>
        </w:rPr>
        <w:t>、服务优化、生态构建等方面为</w:t>
      </w:r>
      <w:r>
        <w:rPr>
          <w:rFonts w:hint="default" w:ascii="Times New Roman" w:hAnsi="Times New Roman" w:eastAsia="方正仿宋_GBK" w:cs="Times New Roman"/>
          <w:color w:val="auto"/>
          <w:sz w:val="32"/>
          <w:szCs w:val="32"/>
          <w:highlight w:val="none"/>
          <w:u w:val="none" w:color="auto"/>
          <w:lang w:val="en-US" w:eastAsia="zh-CN"/>
        </w:rPr>
        <w:t>个人</w:t>
      </w:r>
      <w:r>
        <w:rPr>
          <w:rFonts w:hint="default" w:ascii="Times New Roman" w:hAnsi="Times New Roman" w:eastAsia="方正仿宋_GBK" w:cs="Times New Roman"/>
          <w:color w:val="auto"/>
          <w:sz w:val="32"/>
          <w:szCs w:val="32"/>
          <w:highlight w:val="none"/>
          <w:u w:val="none" w:color="auto"/>
        </w:rPr>
        <w:t>创业投资提供全方位支持</w:t>
      </w:r>
      <w:r>
        <w:rPr>
          <w:rFonts w:hint="default" w:ascii="Times New Roman" w:hAnsi="Times New Roman" w:eastAsia="方正黑体_GBK" w:cs="Times New Roman"/>
          <w:color w:val="auto"/>
          <w:sz w:val="32"/>
          <w:szCs w:val="32"/>
          <w:highlight w:val="none"/>
          <w:u w:val="none" w:color="auto"/>
          <w:lang w:val="en-US" w:eastAsia="zh-CN"/>
        </w:rPr>
        <w:t>。</w:t>
      </w:r>
    </w:p>
    <w:bookmarkEnd w:id="1112"/>
    <w:p w14:paraId="1A8D3316">
      <w:pPr>
        <w:keepNext w:val="0"/>
        <w:keepLines w:val="0"/>
        <w:pageBreakBefore w:val="0"/>
        <w:widowControl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0" w:firstLineChars="0"/>
        <w:contextualSpacing/>
        <w:jc w:val="center"/>
        <w:textAlignment w:val="center"/>
        <w:outlineLvl w:val="1"/>
        <w:rPr>
          <w:rFonts w:hint="default" w:ascii="Times New Roman" w:hAnsi="Times New Roman" w:eastAsia="方正黑体_GBK" w:cs="Times New Roman"/>
          <w:color w:val="auto"/>
          <w:sz w:val="32"/>
          <w:szCs w:val="32"/>
          <w:highlight w:val="none"/>
          <w:u w:val="none" w:color="auto"/>
        </w:rPr>
      </w:pPr>
      <w:bookmarkStart w:id="1113" w:name="_Toc11498"/>
      <w:bookmarkStart w:id="1114" w:name="_Toc11154"/>
      <w:bookmarkStart w:id="1115" w:name="_Toc31499"/>
      <w:bookmarkStart w:id="1116" w:name="_Toc7123"/>
      <w:bookmarkStart w:id="1117" w:name="_Toc17304"/>
      <w:bookmarkStart w:id="1118" w:name="_Toc27222"/>
      <w:bookmarkStart w:id="1119" w:name="_Toc16538"/>
      <w:bookmarkStart w:id="1120" w:name="_Toc27513"/>
      <w:bookmarkStart w:id="1121" w:name="_Toc10707"/>
      <w:bookmarkStart w:id="1122" w:name="_Toc4700"/>
      <w:bookmarkStart w:id="1123" w:name="_Toc5830"/>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七</w:t>
      </w:r>
      <w:r>
        <w:rPr>
          <w:rFonts w:hint="default" w:ascii="Times New Roman" w:hAnsi="Times New Roman" w:eastAsia="方正黑体_GBK" w:cs="Times New Roman"/>
          <w:color w:val="auto"/>
          <w:sz w:val="32"/>
          <w:szCs w:val="32"/>
          <w:highlight w:val="none"/>
          <w:u w:val="none" w:color="auto"/>
        </w:rPr>
        <w:t>章 创新投融资体制机制</w:t>
      </w:r>
      <w:bookmarkEnd w:id="1111"/>
      <w:bookmarkEnd w:id="1113"/>
      <w:bookmarkEnd w:id="1114"/>
      <w:bookmarkEnd w:id="1115"/>
      <w:bookmarkEnd w:id="1116"/>
      <w:bookmarkEnd w:id="1117"/>
      <w:bookmarkEnd w:id="1118"/>
      <w:bookmarkEnd w:id="1119"/>
      <w:bookmarkEnd w:id="1120"/>
      <w:bookmarkEnd w:id="1121"/>
      <w:bookmarkEnd w:id="1122"/>
      <w:bookmarkEnd w:id="1123"/>
    </w:p>
    <w:p w14:paraId="11A8D05D">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z w:val="32"/>
          <w:szCs w:val="40"/>
          <w:highlight w:val="none"/>
          <w:u w:val="none" w:color="auto"/>
          <w:lang w:val="en-US" w:eastAsia="zh-CN"/>
        </w:rPr>
      </w:pPr>
      <w:r>
        <w:rPr>
          <w:rFonts w:hint="default" w:ascii="Times New Roman" w:hAnsi="Times New Roman" w:eastAsia="方正黑体_GBK" w:cs="Times New Roman"/>
          <w:color w:val="auto"/>
          <w:sz w:val="32"/>
          <w:szCs w:val="32"/>
          <w:highlight w:val="none"/>
          <w:u w:val="none" w:color="auto"/>
        </w:rPr>
        <w:fldChar w:fldCharType="end"/>
      </w:r>
      <w:r>
        <w:rPr>
          <w:rFonts w:hint="default" w:ascii="Times New Roman" w:hAnsi="Times New Roman" w:eastAsia="方正仿宋_GBK" w:cs="Times New Roman"/>
          <w:color w:val="auto"/>
          <w:sz w:val="32"/>
          <w:szCs w:val="32"/>
          <w:highlight w:val="none"/>
          <w:u w:val="none" w:color="auto"/>
        </w:rPr>
        <w:t>推动投融资与重大战略、产业政策等紧密衔接，提高投资项目可经营性和可持续性。</w:t>
      </w:r>
      <w:r>
        <w:rPr>
          <w:rFonts w:hint="default" w:ascii="Times New Roman" w:hAnsi="Times New Roman" w:eastAsia="方正仿宋_GBK" w:cs="Times New Roman"/>
          <w:color w:val="auto"/>
          <w:sz w:val="32"/>
          <w:szCs w:val="40"/>
          <w:highlight w:val="none"/>
          <w:u w:val="none" w:color="auto"/>
          <w:lang w:val="en-US" w:eastAsia="zh-CN"/>
        </w:rPr>
        <w:t>深入推进</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规建治投融运</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一体化，积极</w:t>
      </w:r>
      <w:r>
        <w:rPr>
          <w:rFonts w:hint="default" w:ascii="Times New Roman" w:hAnsi="Times New Roman" w:eastAsia="方正仿宋_GBK" w:cs="Times New Roman"/>
          <w:color w:val="auto"/>
          <w:sz w:val="32"/>
          <w:szCs w:val="40"/>
          <w:highlight w:val="none"/>
          <w:u w:val="none" w:color="auto"/>
        </w:rPr>
        <w:t>探索</w:t>
      </w:r>
      <w:r>
        <w:rPr>
          <w:rFonts w:hint="default" w:ascii="Times New Roman" w:hAnsi="Times New Roman" w:eastAsia="方正仿宋_GBK" w:cs="Times New Roman"/>
          <w:color w:val="auto"/>
          <w:sz w:val="32"/>
          <w:szCs w:val="40"/>
          <w:highlight w:val="none"/>
          <w:u w:val="none" w:color="auto"/>
          <w:lang w:val="en-US" w:eastAsia="zh-CN"/>
        </w:rPr>
        <w:t>F+EPC+O、</w:t>
      </w:r>
      <w:r>
        <w:rPr>
          <w:rFonts w:hint="default" w:ascii="Times New Roman" w:hAnsi="Times New Roman" w:eastAsia="方正仿宋_GBK" w:cs="Times New Roman"/>
          <w:color w:val="auto"/>
          <w:sz w:val="32"/>
          <w:szCs w:val="40"/>
          <w:highlight w:val="none"/>
          <w:u w:val="none" w:color="auto"/>
        </w:rPr>
        <w:t>特许经营权出让、股权投资等投融资模式</w:t>
      </w:r>
      <w:r>
        <w:rPr>
          <w:rFonts w:hint="default" w:ascii="Times New Roman" w:hAnsi="Times New Roman" w:eastAsia="方正仿宋_GBK" w:cs="Times New Roman"/>
          <w:color w:val="auto"/>
          <w:sz w:val="32"/>
          <w:szCs w:val="40"/>
          <w:highlight w:val="none"/>
          <w:u w:val="none" w:color="auto"/>
          <w:lang w:eastAsia="zh-CN"/>
        </w:rPr>
        <w:t>，</w:t>
      </w:r>
      <w:r>
        <w:rPr>
          <w:rFonts w:hint="default" w:ascii="Times New Roman" w:hAnsi="Times New Roman" w:eastAsia="方正仿宋_GBK" w:cs="Times New Roman"/>
          <w:color w:val="auto"/>
          <w:sz w:val="32"/>
          <w:szCs w:val="40"/>
          <w:highlight w:val="none"/>
          <w:u w:val="none" w:color="auto"/>
          <w:lang w:val="en-US" w:eastAsia="zh-CN"/>
        </w:rPr>
        <w:t>综合推进历史风貌保护、城市功能完善、城市品质提升、产业优化升级等，着力发挥项目投融资建设最大效益。</w:t>
      </w:r>
      <w:r>
        <w:rPr>
          <w:rFonts w:hint="default" w:ascii="Times New Roman" w:hAnsi="Times New Roman" w:eastAsia="方正仿宋_GBK" w:cs="Times New Roman"/>
          <w:color w:val="auto"/>
          <w:sz w:val="32"/>
          <w:szCs w:val="32"/>
          <w:highlight w:val="none"/>
          <w:u w:val="none" w:color="auto"/>
        </w:rPr>
        <w:t>统筹使用产业发展母基金、基础设施REITs、城市更新专项贷、金砖国家新开发银行等多渠道资金，</w:t>
      </w:r>
      <w:r>
        <w:rPr>
          <w:rFonts w:hint="default" w:ascii="Times New Roman" w:hAnsi="Times New Roman" w:eastAsia="方正仿宋_GBK" w:cs="Times New Roman"/>
          <w:color w:val="auto"/>
          <w:sz w:val="32"/>
          <w:szCs w:val="32"/>
          <w:highlight w:val="none"/>
          <w:u w:val="none" w:color="auto"/>
          <w:lang w:val="en-US" w:eastAsia="zh-CN"/>
        </w:rPr>
        <w:t>优化项目资金统筹使用方式，充分发挥财政资金投资带动作用，</w:t>
      </w:r>
      <w:r>
        <w:rPr>
          <w:rFonts w:hint="default" w:ascii="Times New Roman" w:hAnsi="Times New Roman" w:eastAsia="方正仿宋_GBK" w:cs="Times New Roman"/>
          <w:color w:val="auto"/>
          <w:sz w:val="32"/>
          <w:szCs w:val="32"/>
          <w:highlight w:val="none"/>
          <w:u w:val="none" w:color="auto"/>
        </w:rPr>
        <w:t>实现重大项目投融资平衡。</w:t>
      </w:r>
      <w:r>
        <w:rPr>
          <w:rFonts w:hint="default" w:ascii="Times New Roman" w:hAnsi="Times New Roman" w:eastAsia="方正仿宋_GBK" w:cs="Times New Roman"/>
          <w:color w:val="auto"/>
          <w:sz w:val="32"/>
          <w:szCs w:val="40"/>
          <w:highlight w:val="none"/>
          <w:u w:val="none" w:color="auto"/>
          <w:lang w:val="en-US" w:eastAsia="zh-CN"/>
        </w:rPr>
        <w:t>完善市场化投融资体系，建立公共收益补充机制，定期发布</w:t>
      </w:r>
      <w:r>
        <w:rPr>
          <w:rFonts w:hint="default" w:ascii="Times New Roman" w:hAnsi="Times New Roman" w:eastAsia="方正仿宋_GBK" w:cs="Times New Roman"/>
          <w:color w:val="auto"/>
          <w:sz w:val="32"/>
          <w:szCs w:val="40"/>
          <w:highlight w:val="none"/>
          <w:u w:val="none" w:color="auto"/>
        </w:rPr>
        <w:t>投资机会清单，</w:t>
      </w:r>
      <w:r>
        <w:rPr>
          <w:rFonts w:hint="default" w:ascii="Times New Roman" w:hAnsi="Times New Roman" w:eastAsia="方正仿宋_GBK" w:cs="Times New Roman"/>
          <w:color w:val="auto"/>
          <w:sz w:val="32"/>
          <w:szCs w:val="40"/>
          <w:highlight w:val="none"/>
          <w:u w:val="none" w:color="auto"/>
          <w:lang w:val="en-US" w:eastAsia="zh-CN"/>
        </w:rPr>
        <w:t>创新</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政府出资源、企业搞经营</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等政企合作模式，用好商业地产抵押贷款支持证券等金融工具，更好发挥房地产投资信托基金服务实体经济和固定资产投资作用，精准对接项目建设资金需求。</w:t>
      </w:r>
    </w:p>
    <w:p w14:paraId="744F2711">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contextualSpacing/>
        <w:jc w:val="center"/>
        <w:textAlignment w:val="center"/>
        <w:outlineLvl w:val="1"/>
        <w:rPr>
          <w:rFonts w:hint="default" w:ascii="Times New Roman" w:hAnsi="Times New Roman" w:eastAsia="方正黑体_GBK" w:cs="Times New Roman"/>
          <w:color w:val="auto"/>
          <w:sz w:val="32"/>
          <w:szCs w:val="32"/>
          <w:highlight w:val="none"/>
          <w:u w:val="none" w:color="auto"/>
          <w:lang w:val="en-US" w:eastAsia="zh-CN"/>
        </w:rPr>
      </w:pPr>
      <w:bookmarkStart w:id="1124" w:name="_Toc6929"/>
      <w:bookmarkStart w:id="1125" w:name="_Toc9366"/>
      <w:bookmarkStart w:id="1126" w:name="_Toc29693"/>
      <w:bookmarkStart w:id="1127" w:name="_Toc13313"/>
      <w:bookmarkStart w:id="1128" w:name="_Toc13561"/>
      <w:bookmarkStart w:id="1129" w:name="_Toc14488"/>
      <w:bookmarkStart w:id="1130" w:name="_Toc29647"/>
      <w:bookmarkStart w:id="1131" w:name="_Toc7707"/>
      <w:bookmarkStart w:id="1132" w:name="_Toc733"/>
      <w:bookmarkStart w:id="1133" w:name="_Toc16083"/>
      <w:bookmarkStart w:id="1134" w:name="_Toc10827"/>
      <w:bookmarkStart w:id="1135" w:name="_Toc23884"/>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八</w:t>
      </w:r>
      <w:r>
        <w:rPr>
          <w:rFonts w:hint="default" w:ascii="Times New Roman" w:hAnsi="Times New Roman" w:eastAsia="方正黑体_GBK" w:cs="Times New Roman"/>
          <w:color w:val="auto"/>
          <w:sz w:val="32"/>
          <w:szCs w:val="32"/>
          <w:highlight w:val="none"/>
          <w:u w:val="none" w:color="auto"/>
        </w:rPr>
        <w:t xml:space="preserve">章 </w:t>
      </w:r>
      <w:r>
        <w:rPr>
          <w:rFonts w:hint="default" w:ascii="Times New Roman" w:hAnsi="Times New Roman" w:eastAsia="方正黑体_GBK" w:cs="Times New Roman"/>
          <w:color w:val="auto"/>
          <w:sz w:val="32"/>
          <w:szCs w:val="32"/>
          <w:highlight w:val="none"/>
          <w:u w:val="none" w:color="auto"/>
          <w:lang w:val="en-US" w:eastAsia="zh-CN"/>
        </w:rPr>
        <w:t>落实</w:t>
      </w:r>
      <w:r>
        <w:rPr>
          <w:rFonts w:hint="default" w:ascii="Times New Roman" w:hAnsi="Times New Roman" w:eastAsia="方正黑体_GBK" w:cs="Times New Roman"/>
          <w:color w:val="auto"/>
          <w:sz w:val="32"/>
          <w:szCs w:val="32"/>
          <w:highlight w:val="none"/>
          <w:u w:val="none" w:color="auto"/>
        </w:rPr>
        <w:t>以数字财政为牵引的</w:t>
      </w:r>
      <w:r>
        <w:rPr>
          <w:rFonts w:hint="default" w:ascii="Times New Roman" w:hAnsi="Times New Roman" w:eastAsia="方正黑体_GBK" w:cs="Times New Roman"/>
          <w:color w:val="auto"/>
          <w:sz w:val="32"/>
          <w:szCs w:val="32"/>
          <w:highlight w:val="none"/>
          <w:u w:val="none" w:color="auto"/>
          <w:lang w:val="en-US" w:eastAsia="zh-CN"/>
        </w:rPr>
        <w:t>大</w:t>
      </w:r>
      <w:r>
        <w:rPr>
          <w:rFonts w:hint="default" w:ascii="Times New Roman" w:hAnsi="Times New Roman" w:eastAsia="方正黑体_GBK" w:cs="Times New Roman"/>
          <w:color w:val="auto"/>
          <w:sz w:val="32"/>
          <w:szCs w:val="32"/>
          <w:highlight w:val="none"/>
          <w:u w:val="none" w:color="auto"/>
        </w:rPr>
        <w:t>财政治理</w:t>
      </w:r>
      <w:r>
        <w:rPr>
          <w:rFonts w:hint="default" w:ascii="Times New Roman" w:hAnsi="Times New Roman" w:eastAsia="方正黑体_GBK" w:cs="Times New Roman"/>
          <w:color w:val="auto"/>
          <w:sz w:val="32"/>
          <w:szCs w:val="32"/>
          <w:highlight w:val="none"/>
          <w:u w:val="none" w:color="auto"/>
          <w:lang w:val="en-US" w:eastAsia="zh-CN"/>
        </w:rPr>
        <w:t>机制</w:t>
      </w:r>
      <w:bookmarkEnd w:id="1124"/>
      <w:bookmarkEnd w:id="1125"/>
      <w:bookmarkEnd w:id="1126"/>
      <w:bookmarkEnd w:id="1127"/>
      <w:bookmarkEnd w:id="1128"/>
      <w:bookmarkEnd w:id="1129"/>
      <w:bookmarkEnd w:id="1130"/>
      <w:bookmarkEnd w:id="1131"/>
      <w:bookmarkEnd w:id="1132"/>
      <w:bookmarkEnd w:id="1133"/>
      <w:bookmarkEnd w:id="1134"/>
      <w:bookmarkEnd w:id="1135"/>
    </w:p>
    <w:p w14:paraId="3C3349E4">
      <w:pPr>
        <w:keepNext w:val="0"/>
        <w:keepLines w:val="0"/>
        <w:pageBreakBefore w:val="0"/>
        <w:widowControl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rPr>
          <w:rFonts w:hint="default" w:ascii="Times New Roman" w:hAnsi="Times New Roman" w:eastAsia="方正仿宋_GBK" w:cs="Times New Roman"/>
          <w:color w:val="auto"/>
          <w:spacing w:val="-11"/>
          <w:sz w:val="32"/>
          <w:szCs w:val="40"/>
          <w:highlight w:val="none"/>
          <w:u w:val="none" w:color="auto"/>
          <w:lang w:val="en-US" w:eastAsia="zh-CN"/>
        </w:rPr>
      </w:pPr>
      <w:r>
        <w:rPr>
          <w:rFonts w:hint="default" w:ascii="Times New Roman" w:hAnsi="Times New Roman" w:eastAsia="方正仿宋_GBK" w:cs="Times New Roman"/>
          <w:color w:val="auto"/>
          <w:sz w:val="32"/>
          <w:szCs w:val="40"/>
          <w:highlight w:val="none"/>
          <w:u w:val="none" w:color="auto"/>
          <w:lang w:val="en-US" w:eastAsia="zh-CN"/>
        </w:rPr>
        <w:t>健全党委领导财政工作体制机制，构建覆盖全面、运行高效、权责清晰、风险可控的现代化财政治理体系。全口径管理各类政策性资金、国有资源资产和地方债务，建立全区统一的财力</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资金池</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明白账</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深化项目全成本预算绩效管理，确保财政资金精准高效使用。对接落实健全税费征管保障机制，培育优质税源，夯实全区财力基础，增强财政可持续性。强化大事要事保障，深化业务融合、厘清职责边界，推动涉财政事项</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一件事</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系统集成，有力保障重大战略任务和基本民生。逐步推动零基预算改革。深化预算绩效管理，确保财政资金精准高效使用。</w:t>
      </w:r>
      <w:r>
        <w:rPr>
          <w:rFonts w:hint="default" w:ascii="Times New Roman" w:hAnsi="Times New Roman" w:eastAsia="方正仿宋_GBK" w:cs="Times New Roman"/>
          <w:color w:val="auto"/>
          <w:spacing w:val="-11"/>
          <w:sz w:val="32"/>
          <w:szCs w:val="40"/>
          <w:highlight w:val="none"/>
          <w:u w:val="none" w:color="auto"/>
          <w:lang w:val="en-US" w:eastAsia="zh-CN"/>
        </w:rPr>
        <w:t>建立数字化穿透式监管机制，贯通协同财会监管与各类监督，全面提升资金效益和治理效能。</w:t>
      </w:r>
    </w:p>
    <w:p w14:paraId="3F30E88B">
      <w:pPr>
        <w:keepNext w:val="0"/>
        <w:keepLines w:val="0"/>
        <w:pageBreakBefore w:val="0"/>
        <w:widowControl w:val="0"/>
        <w:numPr>
          <w:ilvl w:val="0"/>
          <w:numId w:val="1"/>
        </w:numPr>
        <w:kinsoku/>
        <w:wordWrap/>
        <w:topLinePunct w:val="0"/>
        <w:autoSpaceDE/>
        <w:autoSpaceDN/>
        <w:bidi w:val="0"/>
        <w:spacing w:line="600" w:lineRule="exact"/>
        <w:jc w:val="center"/>
        <w:outlineLvl w:val="0"/>
        <w:rPr>
          <w:rFonts w:hint="default" w:ascii="Times New Roman" w:hAnsi="Times New Roman" w:eastAsia="方正黑体_GBK" w:cs="Times New Roman"/>
          <w:color w:val="auto"/>
          <w:kern w:val="44"/>
          <w:sz w:val="32"/>
          <w:szCs w:val="32"/>
          <w:highlight w:val="none"/>
          <w:u w:val="none" w:color="auto"/>
          <w:lang w:val="en-US" w:eastAsia="zh-CN"/>
        </w:rPr>
      </w:pPr>
      <w:bookmarkStart w:id="1136" w:name="_Toc27460"/>
      <w:bookmarkStart w:id="1137" w:name="_Toc14746"/>
      <w:bookmarkStart w:id="1138" w:name="_Toc14023"/>
      <w:bookmarkStart w:id="1139" w:name="_Toc11900"/>
      <w:bookmarkStart w:id="1140" w:name="_Toc19703"/>
      <w:bookmarkStart w:id="1141" w:name="_Toc16752"/>
      <w:bookmarkStart w:id="1142" w:name="_Toc2851"/>
      <w:bookmarkStart w:id="1143" w:name="_Toc21795"/>
      <w:bookmarkStart w:id="1144" w:name="_Toc21076"/>
      <w:bookmarkStart w:id="1145" w:name="_Toc16487"/>
      <w:bookmarkStart w:id="1146" w:name="_Toc26087"/>
      <w:bookmarkStart w:id="1147" w:name="_Toc17873"/>
      <w:bookmarkStart w:id="1148" w:name="_Toc5064"/>
      <w:bookmarkStart w:id="1149" w:name="_Toc27252"/>
      <w:r>
        <w:rPr>
          <w:rFonts w:hint="default" w:ascii="Times New Roman" w:hAnsi="Times New Roman" w:eastAsia="方正黑体_GBK" w:cs="Times New Roman"/>
          <w:color w:val="auto"/>
          <w:kern w:val="44"/>
          <w:sz w:val="32"/>
          <w:szCs w:val="32"/>
          <w:highlight w:val="none"/>
          <w:u w:val="none" w:color="auto"/>
          <w:lang w:val="en-US" w:eastAsia="zh-CN"/>
        </w:rPr>
        <w:t>持续扩大高水平对外开放 努力在西部地区带头开放</w:t>
      </w:r>
      <w:bookmarkEnd w:id="1136"/>
    </w:p>
    <w:p w14:paraId="59173368">
      <w:pPr>
        <w:keepNext w:val="0"/>
        <w:keepLines w:val="0"/>
        <w:pageBreakBefore w:val="0"/>
        <w:widowControl w:val="0"/>
        <w:numPr>
          <w:ilvl w:val="0"/>
          <w:numId w:val="0"/>
        </w:numPr>
        <w:kinsoku/>
        <w:wordWrap/>
        <w:topLinePunct w:val="0"/>
        <w:autoSpaceDE/>
        <w:autoSpaceDN/>
        <w:bidi w:val="0"/>
        <w:spacing w:line="600" w:lineRule="exact"/>
        <w:jc w:val="center"/>
        <w:outlineLvl w:val="0"/>
        <w:rPr>
          <w:rFonts w:hint="default" w:ascii="Times New Roman" w:hAnsi="Times New Roman" w:eastAsia="方正黑体_GBK" w:cs="Times New Roman"/>
          <w:color w:val="auto"/>
          <w:kern w:val="44"/>
          <w:sz w:val="32"/>
          <w:szCs w:val="32"/>
          <w:highlight w:val="none"/>
          <w:u w:val="none" w:color="auto"/>
          <w:lang w:val="en-US" w:eastAsia="zh-CN"/>
        </w:rPr>
      </w:pPr>
      <w:bookmarkStart w:id="1150" w:name="_Toc23815"/>
      <w:r>
        <w:rPr>
          <w:rFonts w:hint="default" w:ascii="Times New Roman" w:hAnsi="Times New Roman" w:eastAsia="方正黑体_GBK" w:cs="Times New Roman"/>
          <w:color w:val="auto"/>
          <w:kern w:val="44"/>
          <w:sz w:val="32"/>
          <w:szCs w:val="32"/>
          <w:highlight w:val="none"/>
          <w:u w:val="none" w:color="auto"/>
          <w:lang w:val="en-US" w:eastAsia="zh-CN"/>
        </w:rPr>
        <w:t>带动开放</w:t>
      </w:r>
      <w:bookmarkEnd w:id="1137"/>
      <w:bookmarkEnd w:id="1138"/>
      <w:bookmarkEnd w:id="1139"/>
      <w:bookmarkEnd w:id="1140"/>
      <w:bookmarkEnd w:id="1141"/>
      <w:bookmarkEnd w:id="1142"/>
      <w:bookmarkEnd w:id="1143"/>
      <w:bookmarkEnd w:id="1144"/>
      <w:bookmarkEnd w:id="1145"/>
      <w:bookmarkEnd w:id="1146"/>
      <w:bookmarkEnd w:id="1147"/>
      <w:bookmarkEnd w:id="1148"/>
      <w:bookmarkEnd w:id="1150"/>
    </w:p>
    <w:p w14:paraId="7DAC9EF3">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p>
    <w:p w14:paraId="097A5B0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深度融入</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一带一路</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建设，坚持抓开放平台、抓开放主体、抓融合发展，优化提升开放</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第二空间</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，全面提升渝中对外开放能级与辐射力。</w:t>
      </w:r>
    </w:p>
    <w:p w14:paraId="734BF11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color w:val="auto"/>
          <w:sz w:val="32"/>
          <w:szCs w:val="32"/>
          <w:highlight w:val="none"/>
          <w:u w:val="none" w:color="auto"/>
        </w:rPr>
      </w:pPr>
      <w:bookmarkStart w:id="1151" w:name="_Toc23405"/>
      <w:bookmarkStart w:id="1152" w:name="_Toc6287"/>
      <w:bookmarkStart w:id="1153" w:name="_Toc13342"/>
      <w:bookmarkStart w:id="1154" w:name="_Toc5081"/>
      <w:bookmarkStart w:id="1155" w:name="_Toc15384"/>
      <w:bookmarkStart w:id="1156" w:name="_Toc31996"/>
      <w:bookmarkStart w:id="1157" w:name="_Toc10867"/>
      <w:bookmarkStart w:id="1158" w:name="_Toc20525"/>
      <w:bookmarkStart w:id="1159" w:name="_Toc12823"/>
      <w:bookmarkStart w:id="1160" w:name="_Toc17945"/>
      <w:bookmarkStart w:id="1161" w:name="_Toc29500"/>
      <w:bookmarkStart w:id="1162" w:name="_Toc15750"/>
      <w:bookmarkStart w:id="1163" w:name="_Toc6868"/>
      <w:bookmarkStart w:id="1164" w:name="_Toc545"/>
      <w:bookmarkStart w:id="1165" w:name="_Toc7415"/>
      <w:r>
        <w:rPr>
          <w:rFonts w:hint="default" w:ascii="Times New Roman" w:hAnsi="Times New Roman" w:eastAsia="方正黑体_GBK" w:cs="Times New Roman"/>
          <w:color w:val="auto"/>
          <w:sz w:val="32"/>
          <w:szCs w:val="32"/>
          <w:highlight w:val="none"/>
          <w:u w:val="none" w:color="auto"/>
        </w:rPr>
        <w:t>第二十</w:t>
      </w:r>
      <w:r>
        <w:rPr>
          <w:rFonts w:hint="default" w:ascii="Times New Roman" w:hAnsi="Times New Roman" w:eastAsia="方正黑体_GBK" w:cs="Times New Roman"/>
          <w:color w:val="auto"/>
          <w:sz w:val="32"/>
          <w:szCs w:val="32"/>
          <w:highlight w:val="none"/>
          <w:u w:val="none" w:color="auto"/>
          <w:lang w:val="en-US" w:eastAsia="zh-CN"/>
        </w:rPr>
        <w:t>九</w:t>
      </w:r>
      <w:r>
        <w:rPr>
          <w:rFonts w:hint="default" w:ascii="Times New Roman" w:hAnsi="Times New Roman" w:eastAsia="方正黑体_GBK" w:cs="Times New Roman"/>
          <w:color w:val="auto"/>
          <w:sz w:val="32"/>
          <w:szCs w:val="32"/>
          <w:highlight w:val="none"/>
          <w:u w:val="none" w:color="auto"/>
        </w:rPr>
        <w:t xml:space="preserve">章 </w:t>
      </w:r>
      <w:bookmarkEnd w:id="1151"/>
      <w:r>
        <w:rPr>
          <w:rFonts w:hint="default" w:ascii="Times New Roman" w:hAnsi="Times New Roman" w:eastAsia="方正黑体_GBK" w:cs="Times New Roman"/>
          <w:color w:val="auto"/>
          <w:sz w:val="32"/>
          <w:szCs w:val="32"/>
          <w:highlight w:val="none"/>
          <w:u w:val="none" w:color="auto"/>
          <w:lang w:val="en-US" w:eastAsia="zh-CN"/>
        </w:rPr>
        <w:t>全面提升</w:t>
      </w:r>
      <w:r>
        <w:rPr>
          <w:rFonts w:hint="default" w:ascii="Times New Roman" w:hAnsi="Times New Roman" w:eastAsia="方正黑体_GBK" w:cs="Times New Roman"/>
          <w:color w:val="auto"/>
          <w:sz w:val="32"/>
          <w:szCs w:val="32"/>
          <w:highlight w:val="none"/>
          <w:u w:val="none" w:color="auto"/>
        </w:rPr>
        <w:t>开放平台发展能级</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14:paraId="2376298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1166" w:name="_Toc8687"/>
      <w:bookmarkStart w:id="1167" w:name="_Toc17360"/>
      <w:bookmarkStart w:id="1168" w:name="_Toc24263"/>
      <w:r>
        <w:rPr>
          <w:rFonts w:hint="default" w:ascii="Times New Roman" w:hAnsi="Times New Roman" w:eastAsia="方正仿宋_GBK" w:cs="Times New Roman"/>
          <w:color w:val="auto"/>
          <w:sz w:val="32"/>
          <w:szCs w:val="32"/>
          <w:highlight w:val="none"/>
          <w:u w:val="none" w:color="auto"/>
          <w:lang w:val="en-US" w:eastAsia="zh-CN"/>
        </w:rPr>
        <w:t>依托自贸试验区、中新互联互通项目等国家开放战略平台，聚焦国际货代集聚区核心区建设，打造吸引外资、发展外贸的主战场，重塑国际经贸合作和竞争新优势。</w:t>
      </w:r>
    </w:p>
    <w:p w14:paraId="1B78137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lang w:val="en-US"/>
        </w:rPr>
      </w:pPr>
      <w:bookmarkStart w:id="1169" w:name="_Toc20712"/>
      <w:bookmarkStart w:id="1170" w:name="_Toc31021"/>
      <w:bookmarkStart w:id="1171" w:name="_Toc28659"/>
      <w:bookmarkStart w:id="1172" w:name="_Toc9911"/>
      <w:bookmarkStart w:id="1173" w:name="_Toc24003"/>
      <w:bookmarkStart w:id="1174" w:name="_Toc26959"/>
      <w:bookmarkStart w:id="1175" w:name="_Toc5708"/>
      <w:bookmarkStart w:id="1176" w:name="_Toc16699"/>
      <w:bookmarkStart w:id="1177" w:name="_Toc27687"/>
      <w:bookmarkStart w:id="1178" w:name="_Toc17863"/>
      <w:bookmarkStart w:id="1179" w:name="_Toc17679"/>
      <w:bookmarkStart w:id="1180" w:name="_Toc2083"/>
      <w:bookmarkStart w:id="1181" w:name="_Toc32125"/>
      <w:bookmarkStart w:id="1182" w:name="_Toc25387"/>
      <w:bookmarkStart w:id="1183" w:name="_Toc26182"/>
      <w:r>
        <w:rPr>
          <w:rFonts w:hint="default" w:ascii="Times New Roman" w:hAnsi="Times New Roman" w:eastAsia="方正楷体_GBK" w:cs="Times New Roman"/>
          <w:color w:val="auto"/>
          <w:sz w:val="32"/>
          <w:szCs w:val="32"/>
          <w:highlight w:val="none"/>
          <w:u w:val="none" w:color="auto"/>
        </w:rPr>
        <w:t>第</w:t>
      </w:r>
      <w:r>
        <w:rPr>
          <w:rFonts w:hint="default" w:ascii="Times New Roman" w:hAnsi="Times New Roman" w:eastAsia="方正楷体_GBK" w:cs="Times New Roman"/>
          <w:color w:val="auto"/>
          <w:sz w:val="32"/>
          <w:szCs w:val="32"/>
          <w:highlight w:val="none"/>
          <w:u w:val="none" w:color="auto"/>
          <w:lang w:val="en-US" w:eastAsia="zh-CN"/>
        </w:rPr>
        <w:t>一</w:t>
      </w:r>
      <w:r>
        <w:rPr>
          <w:rFonts w:hint="default" w:ascii="Times New Roman" w:hAnsi="Times New Roman" w:eastAsia="方正楷体_GBK" w:cs="Times New Roman"/>
          <w:color w:val="auto"/>
          <w:sz w:val="32"/>
          <w:szCs w:val="32"/>
          <w:highlight w:val="none"/>
          <w:u w:val="none" w:color="auto"/>
        </w:rPr>
        <w:t xml:space="preserve">节 </w:t>
      </w:r>
      <w:bookmarkEnd w:id="1169"/>
      <w:bookmarkEnd w:id="1170"/>
      <w:r>
        <w:rPr>
          <w:rFonts w:hint="default" w:ascii="Times New Roman" w:hAnsi="Times New Roman" w:eastAsia="方正楷体_GBK" w:cs="Times New Roman"/>
          <w:color w:val="auto"/>
          <w:sz w:val="32"/>
          <w:szCs w:val="32"/>
          <w:highlight w:val="none"/>
          <w:u w:val="none" w:color="auto"/>
        </w:rPr>
        <w:t>打造中新互联互通</w:t>
      </w:r>
      <w:bookmarkEnd w:id="1171"/>
      <w:r>
        <w:rPr>
          <w:rFonts w:hint="default" w:ascii="Times New Roman" w:hAnsi="Times New Roman" w:eastAsia="方正楷体_GBK" w:cs="Times New Roman"/>
          <w:color w:val="auto"/>
          <w:sz w:val="32"/>
          <w:szCs w:val="32"/>
          <w:highlight w:val="none"/>
          <w:u w:val="none" w:color="auto"/>
          <w:lang w:val="en-US" w:eastAsia="zh-CN"/>
        </w:rPr>
        <w:t>标志性成果</w:t>
      </w:r>
      <w:bookmarkEnd w:id="1172"/>
      <w:bookmarkEnd w:id="1173"/>
      <w:bookmarkEnd w:id="1174"/>
      <w:bookmarkEnd w:id="1175"/>
      <w:bookmarkEnd w:id="1176"/>
      <w:bookmarkEnd w:id="1177"/>
      <w:bookmarkEnd w:id="1178"/>
      <w:bookmarkEnd w:id="1179"/>
      <w:bookmarkEnd w:id="1180"/>
      <w:bookmarkEnd w:id="1181"/>
      <w:bookmarkEnd w:id="1182"/>
      <w:bookmarkEnd w:id="1183"/>
    </w:p>
    <w:p w14:paraId="35A94EE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实施中新（重庆）战略性互联互通示范项目重点领域合作内涵拓展行动，在金融科技、数字经济、教育医疗、特色文旅、绿色发展等领域打造标志性成果。强化金融市场互联互通，深化渝新数字人民币应用试点，支持企业开展国际商业贷款、银团贷款、在新加坡上市及跨境发债，探索私募股权市场互联互通。</w:t>
      </w:r>
      <w:r>
        <w:rPr>
          <w:rFonts w:hint="default" w:ascii="Times New Roman" w:hAnsi="Times New Roman" w:eastAsia="方正仿宋_GBK" w:cs="Times New Roman"/>
          <w:color w:val="auto"/>
          <w:sz w:val="32"/>
          <w:szCs w:val="32"/>
          <w:highlight w:val="none"/>
          <w:u w:val="none" w:color="auto"/>
        </w:rPr>
        <w:t>发挥中新数据专用通道优势，加快中新（重庆）国际金融数据港建设</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探索开展数据存储、加工等离岸数据服务，</w:t>
      </w:r>
      <w:r>
        <w:rPr>
          <w:rFonts w:hint="default" w:ascii="Times New Roman" w:hAnsi="Times New Roman" w:eastAsia="方正仿宋_GBK" w:cs="Times New Roman"/>
          <w:color w:val="auto"/>
          <w:sz w:val="32"/>
          <w:szCs w:val="32"/>
          <w:highlight w:val="none"/>
          <w:u w:val="none" w:color="auto"/>
          <w:lang w:val="en-US" w:eastAsia="zh-CN"/>
        </w:rPr>
        <w:t>开展数据加工贸易，</w:t>
      </w:r>
      <w:r>
        <w:rPr>
          <w:rFonts w:hint="default" w:ascii="Times New Roman" w:hAnsi="Times New Roman" w:eastAsia="方正仿宋_GBK" w:cs="Times New Roman"/>
          <w:color w:val="auto"/>
          <w:sz w:val="32"/>
          <w:szCs w:val="32"/>
          <w:highlight w:val="none"/>
          <w:u w:val="none" w:color="auto"/>
        </w:rPr>
        <w:t>实现两地算力资源高效配置</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加强数字规则对接合作，</w:t>
      </w:r>
      <w:r>
        <w:rPr>
          <w:rFonts w:hint="default" w:ascii="Times New Roman" w:hAnsi="Times New Roman" w:eastAsia="方正仿宋_GBK" w:cs="Times New Roman"/>
          <w:color w:val="auto"/>
          <w:sz w:val="32"/>
          <w:szCs w:val="32"/>
          <w:highlight w:val="none"/>
          <w:u w:val="none" w:color="auto"/>
          <w:lang w:val="en-US" w:eastAsia="zh-CN"/>
        </w:rPr>
        <w:t>推动</w:t>
      </w:r>
      <w:r>
        <w:rPr>
          <w:rFonts w:hint="default" w:ascii="Times New Roman" w:hAnsi="Times New Roman" w:eastAsia="方正仿宋_GBK" w:cs="Times New Roman"/>
          <w:color w:val="auto"/>
          <w:sz w:val="32"/>
          <w:szCs w:val="32"/>
          <w:highlight w:val="none"/>
          <w:u w:val="none" w:color="auto"/>
        </w:rPr>
        <w:t>数据出境标准合同互认、数据保护认证互认等。</w:t>
      </w:r>
      <w:r>
        <w:rPr>
          <w:rFonts w:hint="default" w:ascii="Times New Roman" w:hAnsi="Times New Roman" w:eastAsia="方正仿宋_GBK" w:cs="Times New Roman"/>
          <w:color w:val="auto"/>
          <w:sz w:val="32"/>
          <w:szCs w:val="32"/>
          <w:highlight w:val="none"/>
          <w:u w:val="none" w:color="auto"/>
          <w:lang w:val="en-US" w:eastAsia="zh-CN"/>
        </w:rPr>
        <w:t>更好发挥中新互联互通项目运营中心作用，高标准建设重庆来福士国际金融集聚区和总部企业集聚区。加快建设</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数字通道</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，构建多式联运一体化绿色化智能化服务平台。</w:t>
      </w:r>
    </w:p>
    <w:p w14:paraId="656E5DB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1184" w:name="_Toc27050"/>
      <w:bookmarkStart w:id="1185" w:name="_Toc2224"/>
      <w:bookmarkStart w:id="1186" w:name="_Toc14925"/>
      <w:bookmarkStart w:id="1187" w:name="_Toc17738"/>
      <w:bookmarkStart w:id="1188" w:name="_Toc2748"/>
      <w:bookmarkStart w:id="1189" w:name="_Toc17305"/>
      <w:bookmarkStart w:id="1190" w:name="_Toc15205"/>
      <w:bookmarkStart w:id="1191" w:name="_Toc26953"/>
      <w:bookmarkStart w:id="1192" w:name="_Toc29790"/>
      <w:bookmarkStart w:id="1193" w:name="_Toc18466"/>
      <w:bookmarkStart w:id="1194" w:name="_Toc23246"/>
      <w:bookmarkStart w:id="1195" w:name="_Toc7168"/>
      <w:r>
        <w:rPr>
          <w:rFonts w:hint="default" w:ascii="Times New Roman" w:hAnsi="Times New Roman" w:eastAsia="方正楷体_GBK" w:cs="Times New Roman"/>
          <w:color w:val="auto"/>
          <w:sz w:val="32"/>
          <w:szCs w:val="32"/>
          <w:highlight w:val="none"/>
          <w:u w:val="none" w:color="auto"/>
        </w:rPr>
        <w:t>第</w:t>
      </w:r>
      <w:r>
        <w:rPr>
          <w:rFonts w:hint="default" w:ascii="Times New Roman" w:hAnsi="Times New Roman" w:eastAsia="方正楷体_GBK" w:cs="Times New Roman"/>
          <w:color w:val="auto"/>
          <w:sz w:val="32"/>
          <w:szCs w:val="32"/>
          <w:highlight w:val="none"/>
          <w:u w:val="none" w:color="auto"/>
          <w:lang w:val="en-US" w:eastAsia="zh-CN"/>
        </w:rPr>
        <w:t>二</w:t>
      </w:r>
      <w:r>
        <w:rPr>
          <w:rFonts w:hint="default" w:ascii="Times New Roman" w:hAnsi="Times New Roman" w:eastAsia="方正楷体_GBK" w:cs="Times New Roman"/>
          <w:color w:val="auto"/>
          <w:sz w:val="32"/>
          <w:szCs w:val="32"/>
          <w:highlight w:val="none"/>
          <w:u w:val="none" w:color="auto"/>
        </w:rPr>
        <w:t>节</w:t>
      </w:r>
      <w:bookmarkEnd w:id="1166"/>
      <w:bookmarkEnd w:id="1167"/>
      <w:r>
        <w:rPr>
          <w:rFonts w:hint="default" w:ascii="Times New Roman" w:hAnsi="Times New Roman" w:eastAsia="方正楷体_GBK" w:cs="Times New Roman"/>
          <w:color w:val="auto"/>
          <w:sz w:val="32"/>
          <w:szCs w:val="32"/>
          <w:highlight w:val="none"/>
          <w:u w:val="none" w:color="auto"/>
        </w:rPr>
        <w:t xml:space="preserve"> 深化落实自贸试验区提升战略</w:t>
      </w:r>
      <w:bookmarkEnd w:id="1168"/>
      <w:bookmarkEnd w:id="1184"/>
      <w:bookmarkEnd w:id="1185"/>
      <w:bookmarkEnd w:id="1186"/>
      <w:bookmarkEnd w:id="1187"/>
      <w:bookmarkEnd w:id="1188"/>
      <w:bookmarkEnd w:id="1189"/>
      <w:bookmarkEnd w:id="1190"/>
      <w:bookmarkEnd w:id="1191"/>
      <w:bookmarkEnd w:id="1192"/>
      <w:bookmarkEnd w:id="1193"/>
      <w:bookmarkEnd w:id="1194"/>
      <w:bookmarkEnd w:id="1195"/>
    </w:p>
    <w:p w14:paraId="3312A36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2+5+N</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自贸区工作思路，以制度创新为核心，依托解放碑中央商务区和化龙桥自贸联动创新区两大核心园区，推动金融、商贸、法律、物流、数据五大产业开放发展，带动服务业全面升级。全面落实与跨境服务贸易负面清单模式相适应的管理制度，争取增值电信、医疗健康等领域扩大开放试点。探索云外包、平台分包等服务外包新业态新模式，培育一批数字贸易领军企业。鼓励金融机构同外部投资机构合作，探索</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贷款+外部直投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等业务模式，支持商业保险机构开发跨境医疗保险产品。加强数字人民币试点应用场景创新，积极开展跨国本外币一体化资金池业务，探索国际医疗保险结算等试点。</w:t>
      </w:r>
      <w:r>
        <w:rPr>
          <w:rFonts w:hint="default" w:ascii="Times New Roman" w:hAnsi="Times New Roman" w:eastAsia="方正仿宋_GBK" w:cs="Times New Roman"/>
          <w:color w:val="auto"/>
          <w:sz w:val="32"/>
          <w:szCs w:val="32"/>
          <w:highlight w:val="none"/>
          <w:u w:val="none" w:color="auto"/>
        </w:rPr>
        <w:t>探索飞机、轮船保税租赁新模式，推动中银金租</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鈊渝金租</w:t>
      </w:r>
      <w:r>
        <w:rPr>
          <w:rFonts w:hint="default" w:ascii="Times New Roman" w:hAnsi="Times New Roman" w:eastAsia="方正仿宋_GBK" w:cs="Times New Roman"/>
          <w:color w:val="auto"/>
          <w:sz w:val="32"/>
          <w:szCs w:val="32"/>
          <w:highlight w:val="none"/>
          <w:u w:val="none" w:color="auto"/>
        </w:rPr>
        <w:t>在渝拓展飞机保税租赁业务。</w:t>
      </w:r>
      <w:r>
        <w:rPr>
          <w:rFonts w:hint="default" w:ascii="Times New Roman" w:hAnsi="Times New Roman" w:eastAsia="方正仿宋_GBK" w:cs="Times New Roman"/>
          <w:color w:val="auto"/>
          <w:sz w:val="32"/>
          <w:szCs w:val="32"/>
          <w:highlight w:val="none"/>
          <w:u w:val="none" w:color="auto"/>
          <w:lang w:val="en-US" w:eastAsia="zh-CN"/>
        </w:rPr>
        <w:t>高水平建设化龙桥自贸联动创新区，深入打造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数字加工贸易枢纽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，推动</w:t>
      </w:r>
      <w:r>
        <w:rPr>
          <w:rFonts w:hint="default" w:ascii="Times New Roman" w:hAnsi="Times New Roman" w:eastAsia="方正仿宋_GBK" w:cs="Times New Roman"/>
          <w:color w:val="auto"/>
          <w:sz w:val="32"/>
          <w:szCs w:val="32"/>
          <w:highlight w:val="none"/>
          <w:u w:val="none" w:color="auto"/>
        </w:rPr>
        <w:t>开展跨区域联动合作创新</w:t>
      </w:r>
      <w:r>
        <w:rPr>
          <w:rFonts w:hint="default" w:ascii="Times New Roman" w:hAnsi="Times New Roman" w:eastAsia="方正仿宋_GBK" w:cs="Times New Roman"/>
          <w:color w:val="auto"/>
          <w:sz w:val="32"/>
          <w:szCs w:val="32"/>
          <w:highlight w:val="none"/>
          <w:u w:val="none" w:color="auto"/>
          <w:lang w:val="en-US" w:eastAsia="zh-CN"/>
        </w:rPr>
        <w:t>。</w:t>
      </w:r>
    </w:p>
    <w:p w14:paraId="52FC634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1196" w:name="_Toc2433"/>
      <w:bookmarkStart w:id="1197" w:name="_Toc22193"/>
      <w:bookmarkStart w:id="1198" w:name="_Toc4215"/>
      <w:bookmarkStart w:id="1199" w:name="_Toc5374"/>
      <w:bookmarkStart w:id="1200" w:name="_Toc28486"/>
      <w:bookmarkStart w:id="1201" w:name="_Toc12477"/>
      <w:bookmarkStart w:id="1202" w:name="_Toc12408"/>
      <w:bookmarkStart w:id="1203" w:name="_Toc26653"/>
      <w:bookmarkStart w:id="1204" w:name="_Toc21793"/>
      <w:bookmarkStart w:id="1205" w:name="_Toc25049"/>
      <w:bookmarkStart w:id="1206" w:name="_Toc5473"/>
      <w:bookmarkStart w:id="1207" w:name="_Toc4374"/>
      <w:bookmarkStart w:id="1208" w:name="_Toc11180"/>
      <w:r>
        <w:rPr>
          <w:rFonts w:hint="default" w:ascii="Times New Roman" w:hAnsi="Times New Roman" w:eastAsia="方正楷体_GBK" w:cs="Times New Roman"/>
          <w:color w:val="auto"/>
          <w:sz w:val="32"/>
          <w:szCs w:val="32"/>
          <w:highlight w:val="none"/>
          <w:u w:val="none" w:color="auto"/>
        </w:rPr>
        <w:t>第三节 高质量建设国际货代集聚区核心区</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7D2A58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cs="Times New Roman" w:eastAsiaTheme="minorEastAsia"/>
          <w:color w:val="auto"/>
          <w:spacing w:val="0"/>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rPr>
        <w:t>持续加强市、区联动，实施市场主体培育、空间载体</w:t>
      </w:r>
      <w:r>
        <w:rPr>
          <w:rFonts w:hint="default" w:ascii="Times New Roman" w:hAnsi="Times New Roman" w:eastAsia="方正仿宋_GBK" w:cs="Times New Roman"/>
          <w:color w:val="auto"/>
          <w:sz w:val="32"/>
          <w:szCs w:val="32"/>
          <w:highlight w:val="none"/>
          <w:u w:val="none" w:color="auto"/>
          <w:lang w:val="en-US" w:eastAsia="zh-CN"/>
        </w:rPr>
        <w:t>升级</w:t>
      </w:r>
      <w:r>
        <w:rPr>
          <w:rFonts w:hint="default" w:ascii="Times New Roman" w:hAnsi="Times New Roman" w:eastAsia="方正仿宋_GBK" w:cs="Times New Roman"/>
          <w:color w:val="auto"/>
          <w:sz w:val="32"/>
          <w:szCs w:val="32"/>
          <w:highlight w:val="none"/>
          <w:u w:val="none" w:color="auto"/>
        </w:rPr>
        <w:t>、产业融合发展、发展空间拓展、发展环境优化等重大工程</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聚焦全球国际货代50强，中国国际货代物流100强，制定招商图谱，引进一批国际货代功能性、区域性总部落地。</w:t>
      </w:r>
      <w:r>
        <w:rPr>
          <w:rFonts w:hint="default" w:ascii="Times New Roman" w:hAnsi="Times New Roman" w:eastAsia="方正仿宋_GBK" w:cs="Times New Roman"/>
          <w:color w:val="auto"/>
          <w:spacing w:val="0"/>
          <w:sz w:val="32"/>
          <w:szCs w:val="32"/>
          <w:highlight w:val="none"/>
          <w:u w:val="none" w:color="auto"/>
          <w:lang w:val="en-US" w:eastAsia="zh-CN"/>
        </w:rPr>
        <w:t>优化空间布局，</w:t>
      </w:r>
      <w:r>
        <w:rPr>
          <w:rFonts w:hint="default" w:ascii="Times New Roman" w:hAnsi="Times New Roman" w:eastAsia="方正仿宋_GBK" w:cs="Times New Roman"/>
          <w:color w:val="auto"/>
          <w:spacing w:val="0"/>
          <w:sz w:val="32"/>
          <w:szCs w:val="32"/>
          <w:highlight w:val="none"/>
          <w:u w:val="none" w:color="auto"/>
          <w:lang w:eastAsia="zh-CN"/>
        </w:rPr>
        <w:t>建设以解放碑中央商务区为</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核心</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，化龙桥国际商务区和重庆站</w:t>
      </w:r>
      <w:r>
        <w:rPr>
          <w:rFonts w:hint="default" w:ascii="Times New Roman" w:hAnsi="Times New Roman" w:eastAsia="方正仿宋_GBK" w:cs="Times New Roman"/>
          <w:color w:val="auto"/>
          <w:spacing w:val="0"/>
          <w:sz w:val="32"/>
          <w:szCs w:val="32"/>
          <w:highlight w:val="none"/>
          <w:u w:val="none" w:color="auto"/>
          <w:lang w:val="en-US" w:eastAsia="zh-CN"/>
        </w:rPr>
        <w:t>滨江</w:t>
      </w:r>
      <w:r>
        <w:rPr>
          <w:rFonts w:hint="default" w:ascii="Times New Roman" w:hAnsi="Times New Roman" w:eastAsia="方正仿宋_GBK" w:cs="Times New Roman"/>
          <w:color w:val="auto"/>
          <w:spacing w:val="0"/>
          <w:sz w:val="32"/>
          <w:szCs w:val="32"/>
          <w:highlight w:val="none"/>
          <w:u w:val="none" w:color="auto"/>
          <w:lang w:eastAsia="zh-CN"/>
        </w:rPr>
        <w:t>新城为</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两片</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和其他</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多点</w:t>
      </w:r>
      <w:r>
        <w:rPr>
          <w:rFonts w:hint="eastAsia" w:ascii="Times New Roman" w:hAnsi="Times New Roman" w:eastAsia="方正仿宋_GBK" w:cs="方正仿宋_GBK"/>
          <w:color w:val="auto"/>
          <w:spacing w:val="0"/>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eastAsia="zh-CN"/>
        </w:rPr>
        <w:t>协同发展的集聚区核心区空间发展格局。</w:t>
      </w:r>
      <w:r>
        <w:rPr>
          <w:rFonts w:hint="default" w:ascii="Times New Roman" w:hAnsi="Times New Roman" w:eastAsia="方正仿宋_GBK" w:cs="Times New Roman"/>
          <w:color w:val="auto"/>
          <w:spacing w:val="0"/>
          <w:sz w:val="32"/>
          <w:szCs w:val="32"/>
          <w:highlight w:val="none"/>
          <w:u w:val="none" w:color="auto"/>
          <w:lang w:val="en-US" w:eastAsia="zh-CN"/>
        </w:rPr>
        <w:t>加强与中国国际货代协会、重庆国际物流口岸服务协会等机构合作，打造</w:t>
      </w:r>
      <w:r>
        <w:rPr>
          <w:rFonts w:hint="default" w:ascii="Times New Roman" w:hAnsi="Times New Roman" w:eastAsia="方正仿宋_GBK" w:cs="Times New Roman"/>
          <w:color w:val="auto"/>
          <w:sz w:val="32"/>
          <w:szCs w:val="32"/>
          <w:highlight w:val="none"/>
          <w:u w:val="none" w:color="auto"/>
          <w:lang w:val="en-US" w:eastAsia="zh-CN"/>
        </w:rPr>
        <w:t>重庆国际货代企业孵化与人才培训基地，举办国际货代论坛等行业交流活动</w:t>
      </w:r>
      <w:r>
        <w:rPr>
          <w:rFonts w:hint="default" w:ascii="Times New Roman" w:hAnsi="Times New Roman" w:eastAsia="方正仿宋_GBK" w:cs="Times New Roman"/>
          <w:color w:val="auto"/>
          <w:sz w:val="32"/>
          <w:szCs w:val="32"/>
          <w:highlight w:val="none"/>
          <w:u w:val="none" w:color="auto"/>
        </w:rPr>
        <w:t>。组建国际货代企业发展联盟，建设国际货代行业公共服务平台，形成合力拓宽海外市场。</w:t>
      </w:r>
      <w:r>
        <w:rPr>
          <w:rFonts w:hint="default" w:ascii="Times New Roman" w:hAnsi="Times New Roman" w:eastAsia="方正仿宋_GBK" w:cs="Times New Roman"/>
          <w:color w:val="auto"/>
          <w:sz w:val="32"/>
          <w:szCs w:val="32"/>
          <w:highlight w:val="none"/>
          <w:u w:val="none" w:color="auto"/>
          <w:lang w:val="en-US" w:eastAsia="zh-CN"/>
        </w:rPr>
        <w:t>优化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国际贸易+国际货代+国际物流</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产业发展生态。</w:t>
      </w:r>
    </w:p>
    <w:bookmarkEnd w:id="1165"/>
    <w:p w14:paraId="6FF7A3C5">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color w:val="auto"/>
          <w:sz w:val="32"/>
          <w:szCs w:val="32"/>
          <w:highlight w:val="none"/>
          <w:u w:val="none" w:color="auto"/>
        </w:rPr>
      </w:pPr>
      <w:bookmarkStart w:id="1209" w:name="_Toc20287"/>
      <w:bookmarkStart w:id="1210" w:name="_Toc28950"/>
      <w:bookmarkStart w:id="1211" w:name="_Toc3181"/>
      <w:bookmarkStart w:id="1212" w:name="_Toc8494"/>
      <w:bookmarkStart w:id="1213" w:name="_Toc24756"/>
      <w:bookmarkStart w:id="1214" w:name="_Toc20703"/>
      <w:bookmarkStart w:id="1215" w:name="_Toc1153"/>
      <w:bookmarkStart w:id="1216" w:name="_Toc7662"/>
      <w:bookmarkStart w:id="1217" w:name="_Toc8103"/>
      <w:bookmarkStart w:id="1218" w:name="_Toc10256"/>
      <w:bookmarkStart w:id="1219" w:name="_Toc1976"/>
      <w:bookmarkStart w:id="1220" w:name="_Toc11451"/>
      <w:bookmarkStart w:id="1221" w:name="_Toc11205"/>
      <w:r>
        <w:rPr>
          <w:rFonts w:hint="default" w:ascii="Times New Roman" w:hAnsi="Times New Roman" w:eastAsia="方正黑体_GBK" w:cs="Times New Roman"/>
          <w:color w:val="auto"/>
          <w:sz w:val="32"/>
          <w:szCs w:val="32"/>
          <w:highlight w:val="none"/>
          <w:u w:val="none" w:color="auto"/>
        </w:rPr>
        <w:t>第</w:t>
      </w:r>
      <w:r>
        <w:rPr>
          <w:rFonts w:hint="default" w:ascii="Times New Roman" w:hAnsi="Times New Roman" w:eastAsia="方正黑体_GBK" w:cs="Times New Roman"/>
          <w:color w:val="auto"/>
          <w:sz w:val="32"/>
          <w:szCs w:val="32"/>
          <w:highlight w:val="none"/>
          <w:u w:val="none" w:color="auto"/>
          <w:lang w:val="en-US" w:eastAsia="zh-CN"/>
        </w:rPr>
        <w:t>三十</w:t>
      </w:r>
      <w:r>
        <w:rPr>
          <w:rFonts w:hint="default" w:ascii="Times New Roman" w:hAnsi="Times New Roman" w:eastAsia="方正黑体_GBK" w:cs="Times New Roman"/>
          <w:color w:val="auto"/>
          <w:sz w:val="32"/>
          <w:szCs w:val="32"/>
          <w:highlight w:val="none"/>
          <w:u w:val="none" w:color="auto"/>
        </w:rPr>
        <w:t>章 提升开放</w:t>
      </w:r>
      <w:r>
        <w:rPr>
          <w:rFonts w:hint="default" w:ascii="Times New Roman" w:hAnsi="Times New Roman" w:eastAsia="方正黑体_GBK" w:cs="Times New Roman"/>
          <w:color w:val="auto"/>
          <w:sz w:val="32"/>
          <w:szCs w:val="32"/>
          <w:highlight w:val="none"/>
          <w:u w:val="none" w:color="auto"/>
          <w:lang w:val="en-US" w:eastAsia="zh-CN"/>
        </w:rPr>
        <w:t>型</w:t>
      </w:r>
      <w:r>
        <w:rPr>
          <w:rFonts w:hint="default" w:ascii="Times New Roman" w:hAnsi="Times New Roman" w:eastAsia="方正黑体_GBK" w:cs="Times New Roman"/>
          <w:color w:val="auto"/>
          <w:sz w:val="32"/>
          <w:szCs w:val="32"/>
          <w:highlight w:val="none"/>
          <w:u w:val="none" w:color="auto"/>
        </w:rPr>
        <w:t>经济规模质量</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14:paraId="15C77A3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rPr>
      </w:pPr>
      <w:r>
        <w:rPr>
          <w:rFonts w:hint="default" w:ascii="Times New Roman" w:hAnsi="Times New Roman" w:eastAsia="方正仿宋_GBK" w:cs="Times New Roman"/>
          <w:color w:val="auto"/>
          <w:sz w:val="32"/>
          <w:szCs w:val="32"/>
          <w:highlight w:val="none"/>
          <w:u w:val="none" w:color="auto"/>
          <w:lang w:val="en-US" w:eastAsia="zh-CN"/>
        </w:rPr>
        <w:t>以高水平对外开放吸引全球资本、以优质服务支持在区企业开拓国际市场，提升</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引进来</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的吸引力和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走出去</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的竞争力，推动</w:t>
      </w:r>
      <w:r>
        <w:rPr>
          <w:rFonts w:hint="default" w:ascii="Times New Roman" w:hAnsi="Times New Roman" w:eastAsia="方正仿宋_GBK" w:cs="Times New Roman"/>
          <w:color w:val="auto"/>
          <w:sz w:val="32"/>
          <w:szCs w:val="32"/>
          <w:highlight w:val="none"/>
          <w:u w:val="none" w:color="auto"/>
        </w:rPr>
        <w:t>开放型经济</w:t>
      </w:r>
      <w:r>
        <w:rPr>
          <w:rFonts w:hint="default" w:ascii="Times New Roman" w:hAnsi="Times New Roman" w:eastAsia="方正仿宋_GBK" w:cs="Times New Roman"/>
          <w:color w:val="auto"/>
          <w:sz w:val="32"/>
          <w:szCs w:val="32"/>
          <w:highlight w:val="none"/>
          <w:u w:val="none" w:color="auto"/>
          <w:lang w:val="en-US" w:eastAsia="zh-CN"/>
        </w:rPr>
        <w:t>高质量发展</w:t>
      </w:r>
      <w:r>
        <w:rPr>
          <w:rFonts w:hint="default" w:ascii="Times New Roman" w:hAnsi="Times New Roman" w:eastAsia="方正仿宋_GBK" w:cs="Times New Roman"/>
          <w:color w:val="auto"/>
          <w:sz w:val="32"/>
          <w:szCs w:val="32"/>
          <w:highlight w:val="none"/>
          <w:u w:val="none" w:color="auto"/>
        </w:rPr>
        <w:t>。</w:t>
      </w:r>
    </w:p>
    <w:p w14:paraId="65A8210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1222" w:name="_Toc23194"/>
      <w:bookmarkStart w:id="1223" w:name="_Toc28406"/>
      <w:bookmarkStart w:id="1224" w:name="_Toc10753"/>
      <w:bookmarkStart w:id="1225" w:name="_Toc17502"/>
      <w:bookmarkStart w:id="1226" w:name="_Toc1187"/>
      <w:bookmarkStart w:id="1227" w:name="_Toc25920"/>
      <w:bookmarkStart w:id="1228" w:name="_Toc24195"/>
      <w:bookmarkStart w:id="1229" w:name="_Toc29330"/>
      <w:bookmarkStart w:id="1230" w:name="_Toc22830"/>
      <w:bookmarkStart w:id="1231" w:name="_Toc26580"/>
      <w:bookmarkStart w:id="1232" w:name="_Toc3570"/>
      <w:bookmarkStart w:id="1233" w:name="_Toc987"/>
      <w:bookmarkStart w:id="1234" w:name="_Toc21797"/>
      <w:bookmarkStart w:id="1235" w:name="_Toc14308"/>
      <w:r>
        <w:rPr>
          <w:rFonts w:hint="default" w:ascii="Times New Roman" w:hAnsi="Times New Roman" w:eastAsia="方正楷体_GBK" w:cs="Times New Roman"/>
          <w:color w:val="auto"/>
          <w:sz w:val="32"/>
          <w:szCs w:val="32"/>
          <w:highlight w:val="none"/>
          <w:u w:val="none" w:color="auto"/>
        </w:rPr>
        <w:t xml:space="preserve">第一节 </w:t>
      </w:r>
      <w:r>
        <w:rPr>
          <w:rFonts w:hint="default" w:ascii="Times New Roman" w:hAnsi="Times New Roman" w:eastAsia="方正楷体_GBK" w:cs="Times New Roman"/>
          <w:color w:val="auto"/>
          <w:sz w:val="32"/>
          <w:szCs w:val="32"/>
          <w:highlight w:val="none"/>
          <w:u w:val="none" w:color="auto"/>
          <w:lang w:val="en-US" w:eastAsia="zh-CN"/>
        </w:rPr>
        <w:t>加快推进高水平</w:t>
      </w:r>
      <w:r>
        <w:rPr>
          <w:rFonts w:hint="default" w:ascii="Times New Roman" w:hAnsi="Times New Roman" w:eastAsia="方正楷体_GBK" w:cs="Times New Roman"/>
          <w:color w:val="auto"/>
          <w:sz w:val="32"/>
          <w:szCs w:val="32"/>
          <w:highlight w:val="none"/>
          <w:u w:val="none" w:color="auto"/>
        </w:rPr>
        <w:t>制度型开放</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601771C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仿宋_GBK" w:cs="Times New Roman"/>
          <w:color w:val="auto"/>
          <w:sz w:val="32"/>
          <w:szCs w:val="32"/>
          <w:highlight w:val="none"/>
          <w:u w:val="none" w:color="auto"/>
        </w:rPr>
      </w:pPr>
      <w:bookmarkStart w:id="1236" w:name="_Toc28956"/>
      <w:r>
        <w:rPr>
          <w:rFonts w:hint="default" w:ascii="Times New Roman" w:hAnsi="Times New Roman" w:eastAsia="方正仿宋_GBK" w:cs="Times New Roman"/>
          <w:color w:val="auto"/>
          <w:sz w:val="32"/>
          <w:szCs w:val="32"/>
          <w:highlight w:val="none"/>
          <w:u w:val="none" w:color="auto"/>
          <w:lang w:val="en-US" w:eastAsia="zh-CN"/>
        </w:rPr>
        <w:t>全面落实商品市场开放、服务市场准入、产权保护等重点领域制度型开放。推动RCEP高水平开放合作，深化与成员国在市场准入、经济技术合作等领域的规则对接。</w:t>
      </w:r>
      <w:r>
        <w:rPr>
          <w:rFonts w:hint="default" w:ascii="Times New Roman" w:hAnsi="Times New Roman" w:eastAsia="方正仿宋_GBK" w:cs="Times New Roman"/>
          <w:color w:val="auto"/>
          <w:sz w:val="32"/>
          <w:szCs w:val="32"/>
          <w:highlight w:val="none"/>
          <w:u w:val="none" w:color="auto"/>
        </w:rPr>
        <w:t>积极参与探索陆上贸易规则，打造通关管理、贸易金融服务、纠纷解决体系等标志性成果。深化服务业扩大开放试点，创新金融、商贸、物流、法律、数据等重点服务业开放机制，积极参与小币种跨境结算、数字货币桥等试点。构建涉外法律服务联盟，完善知识产权保护、外商投资和对外投资管理服务机制</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加快建设服务业扩大开放引领区和制度创新重要策源地</w:t>
      </w:r>
      <w:r>
        <w:rPr>
          <w:rFonts w:hint="default" w:ascii="Times New Roman" w:hAnsi="Times New Roman" w:eastAsia="方正仿宋_GBK" w:cs="Times New Roman"/>
          <w:color w:val="auto"/>
          <w:sz w:val="32"/>
          <w:szCs w:val="32"/>
          <w:highlight w:val="none"/>
          <w:u w:val="none" w:color="auto"/>
        </w:rPr>
        <w:t>。</w:t>
      </w:r>
    </w:p>
    <w:p w14:paraId="29EDEF0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237" w:name="_Toc9769"/>
      <w:bookmarkStart w:id="1238" w:name="_Toc23331"/>
      <w:bookmarkStart w:id="1239" w:name="_Toc15338"/>
      <w:bookmarkStart w:id="1240" w:name="_Toc12922"/>
      <w:bookmarkStart w:id="1241" w:name="_Toc18096"/>
      <w:bookmarkStart w:id="1242" w:name="_Toc16211"/>
      <w:bookmarkStart w:id="1243" w:name="_Toc15319"/>
      <w:bookmarkStart w:id="1244" w:name="_Toc18292"/>
      <w:bookmarkStart w:id="1245" w:name="_Toc22962"/>
      <w:bookmarkStart w:id="1246" w:name="_Toc1342"/>
      <w:bookmarkStart w:id="1247" w:name="_Toc28065"/>
      <w:bookmarkStart w:id="1248" w:name="_Toc12577"/>
      <w:bookmarkStart w:id="1249" w:name="_Toc12805"/>
      <w:r>
        <w:rPr>
          <w:rFonts w:hint="default" w:ascii="Times New Roman" w:hAnsi="Times New Roman" w:eastAsia="方正楷体_GBK" w:cs="Times New Roman"/>
          <w:color w:val="auto"/>
          <w:sz w:val="32"/>
          <w:szCs w:val="32"/>
          <w:highlight w:val="none"/>
          <w:u w:val="none" w:color="auto"/>
        </w:rPr>
        <w:t xml:space="preserve">第二节 </w:t>
      </w:r>
      <w:bookmarkEnd w:id="1236"/>
      <w:bookmarkEnd w:id="1237"/>
      <w:r>
        <w:rPr>
          <w:rFonts w:hint="default" w:ascii="Times New Roman" w:hAnsi="Times New Roman" w:eastAsia="方正楷体_GBK" w:cs="Times New Roman"/>
          <w:color w:val="auto"/>
          <w:sz w:val="32"/>
          <w:szCs w:val="32"/>
          <w:highlight w:val="none"/>
          <w:u w:val="none" w:color="auto"/>
          <w:lang w:val="en-US" w:eastAsia="zh-CN"/>
        </w:rPr>
        <w:t>推动对外贸易创新发展</w:t>
      </w:r>
      <w:bookmarkEnd w:id="1238"/>
      <w:bookmarkEnd w:id="1239"/>
      <w:bookmarkEnd w:id="1240"/>
      <w:bookmarkEnd w:id="1241"/>
      <w:bookmarkEnd w:id="1242"/>
      <w:bookmarkEnd w:id="1243"/>
      <w:bookmarkEnd w:id="1244"/>
      <w:bookmarkEnd w:id="1245"/>
      <w:bookmarkEnd w:id="1246"/>
      <w:bookmarkEnd w:id="1247"/>
      <w:bookmarkEnd w:id="1248"/>
      <w:bookmarkEnd w:id="1249"/>
    </w:p>
    <w:p w14:paraId="1815DB8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1250" w:name="_Toc9713"/>
      <w:bookmarkStart w:id="1251" w:name="_Toc4331"/>
      <w:r>
        <w:rPr>
          <w:rFonts w:hint="default" w:ascii="Times New Roman" w:hAnsi="Times New Roman" w:eastAsia="方正仿宋_GBK" w:cs="Times New Roman"/>
          <w:color w:val="auto"/>
          <w:sz w:val="32"/>
          <w:szCs w:val="32"/>
          <w:highlight w:val="none"/>
          <w:u w:val="none" w:color="auto"/>
          <w:lang w:val="en-US" w:eastAsia="zh-CN"/>
        </w:rPr>
        <w:t>持续优化贸易结构，培育货物贸易、数字贸易、服务贸易、中间品贸易、离岸贸易、绿色贸易等新增长点，深化内外贸一体化改革，进出口总额达到120亿元。鼓励</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铁公水空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各领域运输企业加强合作，推动外贸</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新三样</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汽摩配件等出口。持续推动货物贸易增长，巩固肉类进口优势，拓展二手车等品类出口。构建数字技术、数字服务、数字产品、数据服务、数字订购领域各具特色、互促共进的数字贸易平台发展体系，重点建成全市</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数字产品贸易集聚区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。提</w:t>
      </w:r>
      <w:r>
        <w:rPr>
          <w:rFonts w:hint="default" w:ascii="Times New Roman" w:hAnsi="Times New Roman" w:eastAsia="方正仿宋_GBK" w:cs="Times New Roman"/>
          <w:color w:val="auto"/>
          <w:sz w:val="32"/>
          <w:szCs w:val="32"/>
          <w:highlight w:val="none"/>
          <w:u w:val="none" w:color="auto"/>
        </w:rPr>
        <w:t>升跨境电商能级，做强</w:t>
      </w:r>
      <w:r>
        <w:rPr>
          <w:rFonts w:hint="default" w:ascii="Times New Roman" w:hAnsi="Times New Roman" w:eastAsia="方正仿宋_GBK" w:cs="Times New Roman"/>
          <w:color w:val="auto"/>
          <w:sz w:val="32"/>
          <w:szCs w:val="32"/>
          <w:highlight w:val="none"/>
          <w:u w:val="none" w:color="auto"/>
          <w:lang w:val="en-US" w:eastAsia="zh-CN"/>
        </w:rPr>
        <w:t>渝欧跨境电商产业园、菜园坝摩配电商出口基地、</w:t>
      </w:r>
      <w:r>
        <w:rPr>
          <w:rFonts w:hint="default" w:ascii="Times New Roman" w:hAnsi="Times New Roman" w:eastAsia="方正仿宋_GBK" w:cs="Times New Roman"/>
          <w:color w:val="auto"/>
          <w:sz w:val="32"/>
          <w:szCs w:val="32"/>
          <w:highlight w:val="none"/>
          <w:u w:val="none" w:color="auto"/>
        </w:rPr>
        <w:t>俄罗斯电商平台中心与东盟跨境电商产业园</w:t>
      </w:r>
      <w:r>
        <w:rPr>
          <w:rFonts w:hint="default" w:ascii="Times New Roman" w:hAnsi="Times New Roman" w:eastAsia="方正仿宋_GBK" w:cs="Times New Roman"/>
          <w:color w:val="auto"/>
          <w:sz w:val="32"/>
          <w:szCs w:val="32"/>
          <w:highlight w:val="none"/>
          <w:u w:val="none" w:color="auto"/>
          <w:lang w:val="en-US" w:eastAsia="zh-CN"/>
        </w:rPr>
        <w:t>等，支持企业数字化转型拓展海外市场，加快建设跨境电商示范区</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壮大文化创意、动漫游戏等数字文化服务出口，打造重庆数字游戏出口基地。积极拓展绿色贸易，扩大绿色低碳相关产品和技术进出口规模。</w:t>
      </w:r>
    </w:p>
    <w:bookmarkEnd w:id="1250"/>
    <w:bookmarkEnd w:id="1251"/>
    <w:p w14:paraId="23F0E1C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252" w:name="_Toc23966"/>
      <w:bookmarkStart w:id="1253" w:name="_Toc10795"/>
      <w:bookmarkStart w:id="1254" w:name="_Toc11551"/>
      <w:bookmarkStart w:id="1255" w:name="_Toc17214"/>
      <w:bookmarkStart w:id="1256" w:name="_Toc21256"/>
      <w:bookmarkStart w:id="1257" w:name="_Toc8509"/>
      <w:bookmarkStart w:id="1258" w:name="_Toc4134"/>
      <w:bookmarkStart w:id="1259" w:name="_Toc31750"/>
      <w:bookmarkStart w:id="1260" w:name="_Toc24216"/>
      <w:bookmarkStart w:id="1261" w:name="_Toc6017"/>
      <w:bookmarkStart w:id="1262" w:name="_Toc32599"/>
      <w:bookmarkStart w:id="1263" w:name="_Toc7065"/>
      <w:r>
        <w:rPr>
          <w:rFonts w:hint="default" w:ascii="Times New Roman" w:hAnsi="Times New Roman" w:eastAsia="方正楷体_GBK" w:cs="Times New Roman"/>
          <w:color w:val="auto"/>
          <w:sz w:val="32"/>
          <w:szCs w:val="32"/>
          <w:highlight w:val="none"/>
          <w:u w:val="none" w:color="auto"/>
        </w:rPr>
        <w:t>第</w:t>
      </w:r>
      <w:r>
        <w:rPr>
          <w:rFonts w:hint="default" w:ascii="Times New Roman" w:hAnsi="Times New Roman" w:eastAsia="方正楷体_GBK" w:cs="Times New Roman"/>
          <w:color w:val="auto"/>
          <w:sz w:val="32"/>
          <w:szCs w:val="32"/>
          <w:highlight w:val="none"/>
          <w:u w:val="none" w:color="auto"/>
          <w:lang w:val="en-US" w:eastAsia="zh-CN"/>
        </w:rPr>
        <w:t>三</w:t>
      </w:r>
      <w:r>
        <w:rPr>
          <w:rFonts w:hint="default" w:ascii="Times New Roman" w:hAnsi="Times New Roman" w:eastAsia="方正楷体_GBK" w:cs="Times New Roman"/>
          <w:color w:val="auto"/>
          <w:sz w:val="32"/>
          <w:szCs w:val="32"/>
          <w:highlight w:val="none"/>
          <w:u w:val="none" w:color="auto"/>
        </w:rPr>
        <w:t xml:space="preserve">节 </w:t>
      </w:r>
      <w:r>
        <w:rPr>
          <w:rFonts w:hint="default" w:ascii="Times New Roman" w:hAnsi="Times New Roman" w:eastAsia="方正楷体_GBK" w:cs="Times New Roman"/>
          <w:color w:val="auto"/>
          <w:sz w:val="32"/>
          <w:szCs w:val="32"/>
          <w:highlight w:val="none"/>
          <w:u w:val="none" w:color="auto"/>
          <w:lang w:val="en-US" w:eastAsia="zh-CN"/>
        </w:rPr>
        <w:t>构建高质量外向型市场格局</w:t>
      </w:r>
      <w:bookmarkEnd w:id="1252"/>
      <w:bookmarkEnd w:id="1253"/>
      <w:bookmarkEnd w:id="1254"/>
      <w:bookmarkEnd w:id="1255"/>
      <w:bookmarkEnd w:id="1256"/>
      <w:bookmarkEnd w:id="1257"/>
      <w:bookmarkEnd w:id="1258"/>
      <w:bookmarkEnd w:id="1259"/>
      <w:bookmarkEnd w:id="1260"/>
      <w:bookmarkEnd w:id="1261"/>
      <w:bookmarkEnd w:id="1262"/>
      <w:bookmarkEnd w:id="1263"/>
    </w:p>
    <w:p w14:paraId="742812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完善海外综合服务体系，积极参与万企出海、渝贸全球国际市场开拓计划，探索成立国际商务区出海企业联盟，鼓励支持本土企业开拓国际市场，推动大宗商品、文旅文创、算力等出海。实施</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培土、护根、强蔓</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行动，探索推进经济区与行政区适度分离改革，助推本地企业区内</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扎根生长</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、区外</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开枝散叶</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突破区域发展资源要素限制，通过贸易、投资和产业链延伸等方式向区外拓展，实现资源和要素在更大范围内优化配置。引导企业通过资金、技术、市场等形式反哺本土产业。推动区外土地、楼宇等资源最大化利用，鼓励输出轻资产运营管理服务。</w:t>
      </w:r>
    </w:p>
    <w:p w14:paraId="0AAA8E45">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color w:val="auto"/>
          <w:sz w:val="32"/>
          <w:szCs w:val="32"/>
          <w:highlight w:val="none"/>
          <w:u w:val="none" w:color="auto"/>
        </w:rPr>
      </w:pPr>
      <w:bookmarkStart w:id="1264" w:name="_Toc24986"/>
      <w:bookmarkStart w:id="1265" w:name="_Toc2978"/>
      <w:bookmarkStart w:id="1266" w:name="_Toc22458"/>
      <w:bookmarkStart w:id="1267" w:name="_Toc30444"/>
      <w:bookmarkStart w:id="1268" w:name="_Toc9725"/>
      <w:bookmarkStart w:id="1269" w:name="_Toc25503"/>
      <w:bookmarkStart w:id="1270" w:name="_Toc22721"/>
      <w:bookmarkStart w:id="1271" w:name="_Toc9854"/>
      <w:bookmarkStart w:id="1272" w:name="_Toc17516"/>
      <w:bookmarkStart w:id="1273" w:name="_Toc8957"/>
      <w:bookmarkStart w:id="1274" w:name="_Toc23794"/>
      <w:bookmarkStart w:id="1275" w:name="_Toc30826"/>
      <w:bookmarkStart w:id="1276" w:name="_Toc10062"/>
      <w:bookmarkStart w:id="1277" w:name="_Toc31397"/>
      <w:r>
        <w:rPr>
          <w:rFonts w:hint="default" w:ascii="Times New Roman" w:hAnsi="Times New Roman" w:eastAsia="方正黑体_GBK" w:cs="Times New Roman"/>
          <w:color w:val="auto"/>
          <w:sz w:val="32"/>
          <w:szCs w:val="32"/>
          <w:highlight w:val="none"/>
          <w:u w:val="none" w:color="auto"/>
        </w:rPr>
        <w:t>第三十</w:t>
      </w:r>
      <w:r>
        <w:rPr>
          <w:rFonts w:hint="default" w:ascii="Times New Roman" w:hAnsi="Times New Roman" w:eastAsia="方正黑体_GBK" w:cs="Times New Roman"/>
          <w:color w:val="auto"/>
          <w:sz w:val="32"/>
          <w:szCs w:val="32"/>
          <w:highlight w:val="none"/>
          <w:u w:val="none" w:color="auto"/>
          <w:lang w:val="en-US" w:eastAsia="zh-CN"/>
        </w:rPr>
        <w:t>一</w:t>
      </w:r>
      <w:r>
        <w:rPr>
          <w:rFonts w:hint="default" w:ascii="Times New Roman" w:hAnsi="Times New Roman" w:eastAsia="方正黑体_GBK" w:cs="Times New Roman"/>
          <w:color w:val="auto"/>
          <w:sz w:val="32"/>
          <w:szCs w:val="32"/>
          <w:highlight w:val="none"/>
          <w:u w:val="none" w:color="auto"/>
        </w:rPr>
        <w:t xml:space="preserve">章 </w:t>
      </w:r>
      <w:bookmarkStart w:id="1278" w:name="OLE_LINK1"/>
      <w:r>
        <w:rPr>
          <w:rFonts w:hint="default" w:ascii="Times New Roman" w:hAnsi="Times New Roman" w:eastAsia="方正黑体_GBK" w:cs="Times New Roman"/>
          <w:color w:val="auto"/>
          <w:sz w:val="32"/>
          <w:szCs w:val="32"/>
          <w:highlight w:val="none"/>
          <w:u w:val="none" w:color="auto"/>
        </w:rPr>
        <w:t>高水平</w:t>
      </w:r>
      <w:r>
        <w:rPr>
          <w:rFonts w:hint="default" w:ascii="Times New Roman" w:hAnsi="Times New Roman" w:eastAsia="方正黑体_GBK" w:cs="Times New Roman"/>
          <w:color w:val="auto"/>
          <w:sz w:val="32"/>
          <w:szCs w:val="32"/>
          <w:highlight w:val="none"/>
          <w:u w:val="none" w:color="auto"/>
          <w:lang w:val="en-US" w:eastAsia="zh-CN"/>
        </w:rPr>
        <w:t>建成</w:t>
      </w:r>
      <w:r>
        <w:rPr>
          <w:rFonts w:hint="default" w:ascii="Times New Roman" w:hAnsi="Times New Roman" w:eastAsia="方正黑体_GBK" w:cs="Times New Roman"/>
          <w:color w:val="auto"/>
          <w:sz w:val="32"/>
          <w:szCs w:val="32"/>
          <w:highlight w:val="none"/>
          <w:u w:val="none" w:color="auto"/>
        </w:rPr>
        <w:t>中西部国际交往中心核心区</w:t>
      </w:r>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796ED58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1279" w:name="_Toc12597"/>
      <w:bookmarkStart w:id="1280" w:name="_Toc9208"/>
      <w:r>
        <w:rPr>
          <w:rFonts w:hint="default" w:ascii="Times New Roman" w:hAnsi="Times New Roman" w:eastAsia="方正仿宋_GBK" w:cs="Times New Roman"/>
          <w:color w:val="auto"/>
          <w:sz w:val="32"/>
          <w:szCs w:val="32"/>
          <w:highlight w:val="none"/>
          <w:u w:val="none" w:color="auto"/>
          <w:lang w:val="en-US" w:eastAsia="zh-CN"/>
        </w:rPr>
        <w:t>完善多元特色国际交往机制，提升国际化建设水平和服务能力，推进经济外向度、国际知名度、国际参与度协同提高、良性互促。</w:t>
      </w:r>
    </w:p>
    <w:p w14:paraId="288711B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jc w:val="center"/>
        <w:textAlignment w:val="auto"/>
        <w:outlineLvl w:val="2"/>
        <w:rPr>
          <w:rFonts w:hint="default" w:ascii="Times New Roman" w:hAnsi="Times New Roman" w:eastAsia="方正楷体_GBK" w:cs="Times New Roman"/>
          <w:color w:val="auto"/>
          <w:sz w:val="32"/>
          <w:szCs w:val="32"/>
          <w:highlight w:val="none"/>
          <w:u w:val="none" w:color="auto"/>
        </w:rPr>
      </w:pPr>
      <w:bookmarkStart w:id="1281" w:name="_Toc21479"/>
      <w:bookmarkStart w:id="1282" w:name="_Toc22287"/>
      <w:bookmarkStart w:id="1283" w:name="_Toc1371"/>
      <w:bookmarkStart w:id="1284" w:name="_Toc5476"/>
      <w:bookmarkStart w:id="1285" w:name="_Toc363"/>
      <w:bookmarkStart w:id="1286" w:name="_Toc30544"/>
      <w:bookmarkStart w:id="1287" w:name="_Toc23564"/>
      <w:bookmarkStart w:id="1288" w:name="_Toc25670"/>
      <w:bookmarkStart w:id="1289" w:name="_Toc3751"/>
      <w:bookmarkStart w:id="1290" w:name="_Toc3910"/>
      <w:bookmarkStart w:id="1291" w:name="_Toc30706"/>
      <w:bookmarkStart w:id="1292" w:name="_Toc32209"/>
      <w:r>
        <w:rPr>
          <w:rFonts w:hint="default" w:ascii="Times New Roman" w:hAnsi="Times New Roman" w:eastAsia="方正楷体_GBK" w:cs="Times New Roman"/>
          <w:color w:val="auto"/>
          <w:sz w:val="32"/>
          <w:szCs w:val="32"/>
          <w:highlight w:val="none"/>
          <w:u w:val="none" w:color="auto"/>
          <w:lang w:val="en-US" w:eastAsia="zh-CN"/>
        </w:rPr>
        <w:t>第一节</w:t>
      </w:r>
      <w:bookmarkEnd w:id="1279"/>
      <w:bookmarkEnd w:id="1280"/>
      <w:r>
        <w:rPr>
          <w:rFonts w:hint="default" w:ascii="Times New Roman" w:hAnsi="Times New Roman" w:eastAsia="方正楷体_GBK" w:cs="Times New Roman"/>
          <w:color w:val="auto"/>
          <w:sz w:val="32"/>
          <w:szCs w:val="32"/>
          <w:highlight w:val="none"/>
          <w:u w:val="none" w:color="auto"/>
          <w:lang w:val="en-US" w:eastAsia="zh-CN"/>
        </w:rPr>
        <w:t xml:space="preserve"> </w:t>
      </w:r>
      <w:r>
        <w:rPr>
          <w:rFonts w:hint="default" w:ascii="Times New Roman" w:hAnsi="Times New Roman" w:eastAsia="方正楷体_GBK" w:cs="Times New Roman"/>
          <w:color w:val="auto"/>
          <w:sz w:val="32"/>
          <w:szCs w:val="32"/>
          <w:highlight w:val="none"/>
          <w:u w:val="none" w:color="auto"/>
        </w:rPr>
        <w:t>深化</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楷体_GBK" w:cs="Times New Roman"/>
          <w:color w:val="auto"/>
          <w:sz w:val="32"/>
          <w:szCs w:val="32"/>
          <w:highlight w:val="none"/>
          <w:u w:val="none" w:color="auto"/>
        </w:rPr>
        <w:t>一带一路</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楷体_GBK" w:cs="Times New Roman"/>
          <w:color w:val="auto"/>
          <w:sz w:val="32"/>
          <w:szCs w:val="32"/>
          <w:highlight w:val="none"/>
          <w:u w:val="none" w:color="auto"/>
        </w:rPr>
        <w:t>产业链国际合作</w:t>
      </w:r>
      <w:bookmarkEnd w:id="1281"/>
      <w:bookmarkEnd w:id="1282"/>
      <w:bookmarkEnd w:id="1283"/>
      <w:bookmarkEnd w:id="1284"/>
      <w:bookmarkEnd w:id="1285"/>
      <w:bookmarkEnd w:id="1286"/>
      <w:bookmarkEnd w:id="1287"/>
      <w:bookmarkEnd w:id="1288"/>
      <w:bookmarkEnd w:id="1289"/>
      <w:bookmarkEnd w:id="1290"/>
      <w:bookmarkEnd w:id="1291"/>
      <w:r>
        <w:rPr>
          <w:rFonts w:hint="default" w:ascii="Times New Roman" w:hAnsi="Times New Roman" w:eastAsia="方正楷体_GBK" w:cs="Times New Roman"/>
          <w:color w:val="auto"/>
          <w:sz w:val="32"/>
          <w:szCs w:val="32"/>
          <w:highlight w:val="none"/>
          <w:u w:val="none" w:color="auto"/>
        </w:rPr>
        <w:t xml:space="preserve"> </w:t>
      </w:r>
      <w:bookmarkEnd w:id="1292"/>
    </w:p>
    <w:p w14:paraId="31B2C7B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cs="Times New Roman" w:eastAsiaTheme="minorEastAsia"/>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深化与共建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一带一路</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沿线国家和地区基础设施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硬联通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、规则标准</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软联通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、人民</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心联通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，打造面向</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一带一路</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的重要参访点。发挥陆海新通道国际工商会联盟链接全球纽带作用，鼓励技术咨询企业、餐饮企业等开拓国外市场，布局“一带一路”沿线国家市场</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推动技术标准、餐饮文化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走出去</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发挥渝侨中心等国际经贸交流平台</w:t>
      </w:r>
      <w:r>
        <w:rPr>
          <w:rFonts w:hint="default" w:ascii="Times New Roman" w:hAnsi="Times New Roman" w:eastAsia="方正仿宋_GBK" w:cs="Times New Roman"/>
          <w:color w:val="auto"/>
          <w:sz w:val="32"/>
          <w:szCs w:val="32"/>
          <w:highlight w:val="none"/>
          <w:u w:val="none" w:color="auto"/>
          <w:lang w:val="en-US" w:eastAsia="zh-CN"/>
        </w:rPr>
        <w:t>功能</w:t>
      </w:r>
      <w:r>
        <w:rPr>
          <w:rFonts w:hint="default" w:ascii="Times New Roman" w:hAnsi="Times New Roman" w:eastAsia="方正仿宋_GBK" w:cs="Times New Roman"/>
          <w:color w:val="auto"/>
          <w:sz w:val="32"/>
          <w:szCs w:val="32"/>
          <w:highlight w:val="none"/>
          <w:u w:val="none" w:color="auto"/>
        </w:rPr>
        <w:t>，积极引导</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一带一路</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、RCEP沿线国际物流、贸易、商协会等落户渝中。</w:t>
      </w:r>
      <w:r>
        <w:rPr>
          <w:rFonts w:hint="default" w:ascii="Times New Roman" w:hAnsi="Times New Roman" w:eastAsia="方正仿宋_GBK" w:cs="Times New Roman"/>
          <w:color w:val="auto"/>
          <w:sz w:val="32"/>
          <w:szCs w:val="32"/>
          <w:highlight w:val="none"/>
          <w:u w:val="none" w:color="auto"/>
          <w:lang w:val="en-US" w:eastAsia="zh-CN"/>
        </w:rPr>
        <w:t>积极拓展与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一带一路</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沿线国家在产业、经贸、数字、绿色等领域合作交流，培育合作新增长点，参与构建安全高效、分工协作的产业链供应链网络。</w:t>
      </w:r>
    </w:p>
    <w:p w14:paraId="38B812D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293" w:name="_Toc15624"/>
      <w:bookmarkStart w:id="1294" w:name="_Toc27183"/>
      <w:bookmarkStart w:id="1295" w:name="_Toc30103"/>
      <w:bookmarkStart w:id="1296" w:name="_Toc19105"/>
      <w:bookmarkStart w:id="1297" w:name="_Toc27885"/>
      <w:bookmarkStart w:id="1298" w:name="_Toc29816"/>
      <w:bookmarkStart w:id="1299" w:name="_Toc12356"/>
      <w:bookmarkStart w:id="1300" w:name="_Toc7353"/>
      <w:bookmarkStart w:id="1301" w:name="_Toc28424"/>
      <w:bookmarkStart w:id="1302" w:name="_Toc32307"/>
      <w:bookmarkStart w:id="1303" w:name="_Toc19100"/>
      <w:bookmarkStart w:id="1304" w:name="_Toc26276"/>
      <w:r>
        <w:rPr>
          <w:rFonts w:hint="default" w:ascii="Times New Roman" w:hAnsi="Times New Roman" w:eastAsia="方正楷体_GBK" w:cs="Times New Roman"/>
          <w:color w:val="auto"/>
          <w:sz w:val="32"/>
          <w:szCs w:val="32"/>
          <w:highlight w:val="none"/>
          <w:u w:val="none" w:color="auto"/>
          <w:lang w:val="en-US" w:eastAsia="zh-CN"/>
        </w:rPr>
        <w:t>第二节 丰富多元开放的国际交往体系</w:t>
      </w:r>
      <w:bookmarkEnd w:id="1293"/>
      <w:bookmarkEnd w:id="1294"/>
      <w:bookmarkEnd w:id="1295"/>
      <w:bookmarkEnd w:id="1296"/>
      <w:bookmarkEnd w:id="1297"/>
      <w:bookmarkEnd w:id="1298"/>
      <w:bookmarkEnd w:id="1299"/>
      <w:bookmarkEnd w:id="1300"/>
      <w:bookmarkEnd w:id="1301"/>
      <w:bookmarkEnd w:id="1302"/>
      <w:bookmarkEnd w:id="1303"/>
      <w:bookmarkEnd w:id="1304"/>
    </w:p>
    <w:bookmarkEnd w:id="1149"/>
    <w:bookmarkEnd w:id="1278"/>
    <w:p w14:paraId="38B327E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cs="Times New Roman"/>
          <w:color w:val="auto"/>
          <w:highlight w:val="none"/>
          <w:u w:val="none" w:color="auto"/>
        </w:rPr>
      </w:pPr>
      <w:r>
        <w:rPr>
          <w:rFonts w:hint="default" w:ascii="Times New Roman" w:hAnsi="Times New Roman" w:eastAsia="方正仿宋_GBK" w:cs="Times New Roman"/>
          <w:color w:val="auto"/>
          <w:sz w:val="32"/>
          <w:szCs w:val="32"/>
          <w:highlight w:val="none"/>
          <w:u w:val="none" w:color="auto"/>
        </w:rPr>
        <w:t>全力服务国家总体外交，积极争取</w:t>
      </w:r>
      <w:r>
        <w:rPr>
          <w:rFonts w:hint="default" w:ascii="Times New Roman" w:hAnsi="Times New Roman" w:eastAsia="方正仿宋_GBK" w:cs="Times New Roman"/>
          <w:color w:val="auto"/>
          <w:sz w:val="32"/>
          <w:szCs w:val="32"/>
          <w:highlight w:val="none"/>
          <w:u w:val="none" w:color="auto"/>
          <w:lang w:val="en-US" w:eastAsia="zh-CN"/>
        </w:rPr>
        <w:t>承办</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元首外交</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等</w:t>
      </w:r>
      <w:r>
        <w:rPr>
          <w:rFonts w:hint="default" w:ascii="Times New Roman" w:hAnsi="Times New Roman" w:eastAsia="方正仿宋_GBK" w:cs="Times New Roman"/>
          <w:color w:val="auto"/>
          <w:sz w:val="32"/>
          <w:szCs w:val="32"/>
          <w:highlight w:val="none"/>
          <w:u w:val="none" w:color="auto"/>
        </w:rPr>
        <w:t>重大国际会议活动，全力打造都市核心国际会客厅。</w:t>
      </w:r>
      <w:r>
        <w:rPr>
          <w:rFonts w:hint="default" w:ascii="Times New Roman" w:hAnsi="Times New Roman" w:eastAsia="方正仿宋_GBK" w:cs="Times New Roman"/>
          <w:color w:val="auto"/>
          <w:sz w:val="32"/>
          <w:szCs w:val="32"/>
          <w:highlight w:val="none"/>
          <w:u w:val="none" w:color="auto"/>
          <w:lang w:val="en-US" w:eastAsia="zh-CN"/>
        </w:rPr>
        <w:t>加快</w:t>
      </w:r>
      <w:r>
        <w:rPr>
          <w:rFonts w:hint="default" w:ascii="Times New Roman" w:hAnsi="Times New Roman" w:eastAsia="方正仿宋_GBK" w:cs="Times New Roman"/>
          <w:color w:val="auto"/>
          <w:sz w:val="32"/>
          <w:szCs w:val="32"/>
          <w:highlight w:val="none"/>
          <w:u w:val="none" w:color="auto"/>
        </w:rPr>
        <w:t>建设领事机构</w:t>
      </w:r>
      <w:r>
        <w:rPr>
          <w:rFonts w:hint="default" w:ascii="Times New Roman" w:hAnsi="Times New Roman" w:eastAsia="方正仿宋_GBK" w:cs="Times New Roman"/>
          <w:color w:val="auto"/>
          <w:sz w:val="32"/>
          <w:szCs w:val="32"/>
          <w:highlight w:val="none"/>
          <w:u w:val="none" w:color="auto"/>
          <w:lang w:val="en-US" w:eastAsia="zh-CN"/>
        </w:rPr>
        <w:t>和国际组织</w:t>
      </w:r>
      <w:r>
        <w:rPr>
          <w:rFonts w:hint="default" w:ascii="Times New Roman" w:hAnsi="Times New Roman" w:eastAsia="方正仿宋_GBK" w:cs="Times New Roman"/>
          <w:color w:val="auto"/>
          <w:sz w:val="32"/>
          <w:szCs w:val="32"/>
          <w:highlight w:val="none"/>
          <w:u w:val="none" w:color="auto"/>
        </w:rPr>
        <w:t>集聚区</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打造一批高品质国际化社区、街区、医院、学校、</w:t>
      </w:r>
      <w:r>
        <w:rPr>
          <w:rFonts w:hint="default" w:ascii="Times New Roman" w:hAnsi="Times New Roman" w:eastAsia="方正仿宋_GBK" w:cs="Times New Roman"/>
          <w:color w:val="auto"/>
          <w:sz w:val="32"/>
          <w:szCs w:val="32"/>
          <w:highlight w:val="none"/>
          <w:u w:val="none" w:color="auto"/>
        </w:rPr>
        <w:t>办公楼宇</w:t>
      </w:r>
      <w:r>
        <w:rPr>
          <w:rFonts w:hint="default" w:ascii="Times New Roman" w:hAnsi="Times New Roman" w:eastAsia="方正仿宋_GBK" w:cs="Times New Roman"/>
          <w:color w:val="auto"/>
          <w:sz w:val="32"/>
          <w:szCs w:val="32"/>
          <w:highlight w:val="none"/>
          <w:u w:val="none" w:color="auto"/>
          <w:lang w:val="en-US" w:eastAsia="zh-CN"/>
        </w:rPr>
        <w:t>等，优化便利化涉外服务体系，吸引跨国企业、国际联盟、涉外机构落户，</w:t>
      </w:r>
      <w:r>
        <w:rPr>
          <w:rFonts w:hint="default" w:ascii="Times New Roman" w:hAnsi="Times New Roman" w:eastAsia="方正仿宋_GBK" w:cs="Times New Roman"/>
          <w:color w:val="auto"/>
          <w:sz w:val="32"/>
          <w:szCs w:val="32"/>
          <w:highlight w:val="none"/>
          <w:u w:val="none" w:color="auto"/>
        </w:rPr>
        <w:t>拓展更多对外合作项目落地</w:t>
      </w:r>
      <w:r>
        <w:rPr>
          <w:rFonts w:hint="default" w:ascii="Times New Roman" w:hAnsi="Times New Roman" w:eastAsia="方正仿宋_GBK" w:cs="Times New Roman"/>
          <w:color w:val="auto"/>
          <w:sz w:val="32"/>
          <w:szCs w:val="32"/>
          <w:highlight w:val="none"/>
          <w:u w:val="none" w:color="auto"/>
          <w:lang w:val="en-US" w:eastAsia="zh-CN"/>
        </w:rPr>
        <w:t>。进一步完善全域涉外公共服务设施，</w:t>
      </w:r>
      <w:r>
        <w:rPr>
          <w:rFonts w:hint="default" w:ascii="Times New Roman" w:hAnsi="Times New Roman" w:eastAsia="方正仿宋_GBK" w:cs="Times New Roman"/>
          <w:color w:val="auto"/>
          <w:sz w:val="32"/>
          <w:szCs w:val="32"/>
          <w:highlight w:val="none"/>
          <w:u w:val="none" w:color="auto"/>
        </w:rPr>
        <w:t>加强国际人才公寓、国际会议中心建设，高水平打造国际友城美食街，提升国际交往综合承载能力。活化利用丰富</w:t>
      </w:r>
      <w:r>
        <w:rPr>
          <w:rFonts w:hint="default" w:ascii="Times New Roman" w:hAnsi="Times New Roman" w:eastAsia="方正仿宋_GBK" w:cs="Times New Roman"/>
          <w:color w:val="auto"/>
          <w:sz w:val="32"/>
          <w:szCs w:val="32"/>
          <w:highlight w:val="none"/>
          <w:u w:val="none" w:color="auto"/>
          <w:lang w:eastAsia="zh-CN"/>
        </w:rPr>
        <w:t>的</w:t>
      </w:r>
      <w:r>
        <w:rPr>
          <w:rFonts w:hint="default" w:ascii="Times New Roman" w:hAnsi="Times New Roman" w:eastAsia="方正仿宋_GBK" w:cs="Times New Roman"/>
          <w:color w:val="auto"/>
          <w:sz w:val="32"/>
          <w:szCs w:val="32"/>
          <w:highlight w:val="none"/>
          <w:u w:val="none" w:color="auto"/>
        </w:rPr>
        <w:t>涉外历史文化资源，推进外事历史陈列馆建设。拓展深化城市更新、基层治理、专业服务等国际经贸人文交流合作，完善志愿服务、青少年交流、友好城市建设等多元特色国际交流机制</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持续扩大民间交往。</w:t>
      </w:r>
    </w:p>
    <w:p w14:paraId="50F956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p>
    <w:p w14:paraId="4D2678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0"/>
        <w:rPr>
          <w:rFonts w:hint="default" w:ascii="Times New Roman" w:hAnsi="Times New Roman" w:eastAsia="方正黑体_GBK" w:cs="Times New Roman"/>
          <w:b w:val="0"/>
          <w:bCs w:val="0"/>
          <w:color w:val="auto"/>
          <w:spacing w:val="-6"/>
          <w:kern w:val="44"/>
          <w:sz w:val="32"/>
          <w:szCs w:val="32"/>
          <w:highlight w:val="none"/>
          <w:u w:val="none" w:color="auto"/>
          <w:lang w:val="en-US" w:eastAsia="zh-CN"/>
        </w:rPr>
      </w:pPr>
      <w:bookmarkStart w:id="1305" w:name="_Toc2938"/>
      <w:bookmarkStart w:id="1306" w:name="_Toc7446"/>
      <w:bookmarkStart w:id="1307" w:name="_Toc4444"/>
      <w:bookmarkStart w:id="1308" w:name="_Toc15424"/>
      <w:bookmarkStart w:id="1309" w:name="_Toc31229"/>
      <w:bookmarkStart w:id="1310" w:name="_Toc3690"/>
      <w:bookmarkStart w:id="1311" w:name="_Toc6219"/>
      <w:bookmarkStart w:id="1312" w:name="_Toc5736"/>
      <w:bookmarkStart w:id="1313" w:name="_Toc27679"/>
      <w:bookmarkStart w:id="1314" w:name="_Toc13286"/>
      <w:bookmarkStart w:id="1315" w:name="_Toc11437"/>
      <w:bookmarkStart w:id="1316" w:name="_Toc10740"/>
      <w:r>
        <w:rPr>
          <w:rFonts w:hint="default" w:ascii="Times New Roman" w:hAnsi="Times New Roman" w:eastAsia="方正黑体_GBK" w:cs="Times New Roman"/>
          <w:b w:val="0"/>
          <w:bCs w:val="0"/>
          <w:color w:val="auto"/>
          <w:spacing w:val="-6"/>
          <w:kern w:val="44"/>
          <w:sz w:val="32"/>
          <w:szCs w:val="32"/>
          <w:highlight w:val="none"/>
          <w:u w:val="none" w:color="auto"/>
          <w:lang w:val="en-US" w:eastAsia="zh-CN"/>
        </w:rPr>
        <w:t>第九篇 促进城市品质焕新升级 全力建设宜居宜业美好城市</w:t>
      </w:r>
      <w:bookmarkEnd w:id="1305"/>
      <w:bookmarkEnd w:id="1306"/>
      <w:bookmarkEnd w:id="1307"/>
      <w:bookmarkEnd w:id="1308"/>
      <w:bookmarkEnd w:id="1309"/>
      <w:bookmarkEnd w:id="1310"/>
      <w:bookmarkEnd w:id="1311"/>
      <w:bookmarkEnd w:id="1312"/>
      <w:bookmarkEnd w:id="1313"/>
      <w:bookmarkEnd w:id="1314"/>
      <w:bookmarkEnd w:id="1315"/>
      <w:bookmarkEnd w:id="1316"/>
    </w:p>
    <w:p w14:paraId="1B2D0A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24"/>
          <w:highlight w:val="none"/>
          <w:u w:val="none" w:color="auto"/>
          <w:lang w:val="en-US" w:eastAsia="zh-CN" w:bidi="ar-SA"/>
        </w:rPr>
      </w:pPr>
      <w:bookmarkStart w:id="1317" w:name="_Toc25921"/>
    </w:p>
    <w:p w14:paraId="0E1F4D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24"/>
          <w:highlight w:val="none"/>
          <w:u w:val="none" w:color="auto"/>
          <w:lang w:val="en-US" w:eastAsia="zh-CN" w:bidi="ar-SA"/>
        </w:rPr>
      </w:pPr>
      <w:r>
        <w:rPr>
          <w:rFonts w:hint="default" w:ascii="Times New Roman" w:hAnsi="Times New Roman" w:eastAsia="方正仿宋_GBK" w:cs="Times New Roman"/>
          <w:color w:val="auto"/>
          <w:kern w:val="2"/>
          <w:sz w:val="32"/>
          <w:szCs w:val="24"/>
          <w:highlight w:val="none"/>
          <w:u w:val="none" w:color="auto"/>
          <w:lang w:val="en-US" w:eastAsia="zh-CN" w:bidi="ar-SA"/>
        </w:rPr>
        <w:t>围绕建设江峡相拥美丽大都市目标，落实区域协调发展战略和主体功能区战略，整体推动高质量城市更新，系统靓化城市风貌，持续提高城市基础设施水平，不断激活城市空间服务能级、提升承载能力。</w:t>
      </w:r>
    </w:p>
    <w:p w14:paraId="3F664F2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1318" w:name="_Toc8896"/>
      <w:bookmarkStart w:id="1319" w:name="_Toc32464"/>
      <w:bookmarkStart w:id="1320" w:name="_Toc17394"/>
      <w:bookmarkStart w:id="1321" w:name="_Toc26751"/>
      <w:bookmarkStart w:id="1322" w:name="_Toc27945"/>
      <w:bookmarkStart w:id="1323" w:name="_Toc1667"/>
      <w:bookmarkStart w:id="1324" w:name="_Toc15826"/>
      <w:bookmarkStart w:id="1325" w:name="_Toc31199"/>
      <w:bookmarkStart w:id="1326" w:name="_Toc17632"/>
      <w:bookmarkStart w:id="1327" w:name="_Toc5983"/>
      <w:bookmarkStart w:id="1328" w:name="_Toc12784"/>
      <w:bookmarkStart w:id="1329" w:name="_Toc11875"/>
      <w:r>
        <w:rPr>
          <w:rFonts w:hint="default" w:ascii="Times New Roman" w:hAnsi="Times New Roman" w:eastAsia="方正黑体_GBK" w:cs="Times New Roman"/>
          <w:color w:val="auto"/>
          <w:sz w:val="32"/>
          <w:szCs w:val="32"/>
          <w:highlight w:val="none"/>
          <w:u w:val="none" w:color="auto"/>
          <w:lang w:val="en-US" w:eastAsia="zh-CN"/>
        </w:rPr>
        <w:t xml:space="preserve">第三十二章 </w:t>
      </w:r>
      <w:r>
        <w:rPr>
          <w:rFonts w:hint="default" w:ascii="Times New Roman" w:hAnsi="Times New Roman" w:eastAsia="方正黑体_GBK" w:cs="Times New Roman"/>
          <w:color w:val="auto"/>
          <w:kern w:val="2"/>
          <w:sz w:val="32"/>
          <w:szCs w:val="32"/>
          <w:highlight w:val="none"/>
          <w:u w:val="none" w:color="auto"/>
          <w:lang w:val="en-US" w:eastAsia="zh-CN" w:bidi="ar-SA"/>
        </w:rPr>
        <w:t>优化城市区域功能布局</w:t>
      </w:r>
      <w:bookmarkEnd w:id="1318"/>
      <w:bookmarkEnd w:id="1319"/>
      <w:bookmarkEnd w:id="1320"/>
      <w:bookmarkEnd w:id="1321"/>
      <w:bookmarkEnd w:id="1322"/>
      <w:bookmarkEnd w:id="1323"/>
      <w:bookmarkEnd w:id="1324"/>
      <w:bookmarkEnd w:id="1325"/>
      <w:bookmarkEnd w:id="1326"/>
      <w:bookmarkEnd w:id="1327"/>
      <w:bookmarkEnd w:id="1328"/>
      <w:bookmarkEnd w:id="1329"/>
    </w:p>
    <w:p w14:paraId="70FF2F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24"/>
          <w:highlight w:val="none"/>
          <w:u w:val="none" w:color="auto"/>
          <w:lang w:val="en-US" w:eastAsia="zh-CN" w:bidi="ar-SA"/>
        </w:rPr>
      </w:pPr>
      <w:r>
        <w:rPr>
          <w:rFonts w:hint="default" w:ascii="Times New Roman" w:hAnsi="Times New Roman" w:eastAsia="方正仿宋_GBK" w:cs="Times New Roman"/>
          <w:color w:val="auto"/>
          <w:kern w:val="2"/>
          <w:sz w:val="32"/>
          <w:szCs w:val="24"/>
          <w:highlight w:val="none"/>
          <w:u w:val="none" w:color="auto"/>
          <w:lang w:val="en-US" w:eastAsia="zh-CN" w:bidi="ar-SA"/>
        </w:rPr>
        <w:t>树牢经营城市理念，深耕精耕本地</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第一空间</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，持续扩容有效空间、提升载体品质，迭代</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一核两翼三带五片区</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城市功能布局。</w:t>
      </w:r>
    </w:p>
    <w:p w14:paraId="2B1F9846">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2"/>
        <w:rPr>
          <w:rFonts w:hint="default" w:ascii="Times New Roman" w:hAnsi="Times New Roman" w:eastAsia="方正楷体_GBK" w:cs="Times New Roman"/>
          <w:color w:val="auto"/>
          <w:spacing w:val="10"/>
          <w:kern w:val="2"/>
          <w:sz w:val="31"/>
          <w:szCs w:val="31"/>
          <w:highlight w:val="none"/>
          <w:u w:val="none" w:color="auto"/>
          <w:lang w:val="en-US" w:eastAsia="zh-CN" w:bidi="ar-SA"/>
        </w:rPr>
      </w:pPr>
      <w:bookmarkStart w:id="1330" w:name="_Toc1704"/>
      <w:bookmarkStart w:id="1331" w:name="_Toc23545"/>
      <w:bookmarkStart w:id="1332" w:name="_Toc2222"/>
      <w:bookmarkStart w:id="1333" w:name="_Toc26425"/>
      <w:bookmarkStart w:id="1334" w:name="_Toc15683"/>
      <w:bookmarkStart w:id="1335" w:name="_Toc32183"/>
      <w:bookmarkStart w:id="1336" w:name="_Toc13343"/>
      <w:bookmarkStart w:id="1337" w:name="_Toc20850"/>
      <w:bookmarkStart w:id="1338" w:name="_Toc10214"/>
      <w:bookmarkStart w:id="1339" w:name="_Toc11475"/>
      <w:bookmarkStart w:id="1340" w:name="_Toc8292"/>
      <w:bookmarkStart w:id="1341" w:name="_Toc20491"/>
      <w:r>
        <w:rPr>
          <w:rFonts w:hint="default" w:ascii="Times New Roman" w:hAnsi="Times New Roman" w:eastAsia="方正楷体_GBK" w:cs="Times New Roman"/>
          <w:color w:val="auto"/>
          <w:spacing w:val="10"/>
          <w:kern w:val="2"/>
          <w:sz w:val="31"/>
          <w:szCs w:val="31"/>
          <w:highlight w:val="none"/>
          <w:u w:val="none" w:color="auto"/>
          <w:lang w:val="en-US" w:eastAsia="zh-CN" w:bidi="ar-SA"/>
        </w:rPr>
        <w:t>第一节 强化</w:t>
      </w:r>
      <w:r>
        <w:rPr>
          <w:rFonts w:hint="eastAsia" w:ascii="Times New Roman" w:hAnsi="Times New Roman" w:eastAsia="方正仿宋_GBK" w:cs="方正仿宋_GBK"/>
          <w:color w:val="auto"/>
          <w:spacing w:val="10"/>
          <w:kern w:val="2"/>
          <w:sz w:val="31"/>
          <w:szCs w:val="31"/>
          <w:highlight w:val="none"/>
          <w:u w:val="none" w:color="auto"/>
          <w:lang w:val="en-US" w:eastAsia="zh-CN" w:bidi="ar-SA"/>
        </w:rPr>
        <w:t>“</w:t>
      </w:r>
      <w:r>
        <w:rPr>
          <w:rFonts w:hint="default" w:ascii="Times New Roman" w:hAnsi="Times New Roman" w:eastAsia="方正楷体_GBK" w:cs="Times New Roman"/>
          <w:color w:val="auto"/>
          <w:spacing w:val="10"/>
          <w:kern w:val="2"/>
          <w:sz w:val="31"/>
          <w:szCs w:val="31"/>
          <w:highlight w:val="none"/>
          <w:u w:val="none" w:color="auto"/>
          <w:lang w:val="en-US" w:eastAsia="zh-CN" w:bidi="ar-SA"/>
        </w:rPr>
        <w:t>一核</w:t>
      </w:r>
      <w:r>
        <w:rPr>
          <w:rFonts w:hint="eastAsia" w:ascii="Times New Roman" w:hAnsi="Times New Roman" w:eastAsia="方正仿宋_GBK" w:cs="方正仿宋_GBK"/>
          <w:color w:val="auto"/>
          <w:spacing w:val="10"/>
          <w:kern w:val="2"/>
          <w:sz w:val="31"/>
          <w:szCs w:val="31"/>
          <w:highlight w:val="none"/>
          <w:u w:val="none" w:color="auto"/>
          <w:lang w:val="en-US" w:eastAsia="zh-CN" w:bidi="ar-SA"/>
        </w:rPr>
        <w:t>”</w:t>
      </w:r>
      <w:r>
        <w:rPr>
          <w:rFonts w:hint="default" w:ascii="Times New Roman" w:hAnsi="Times New Roman" w:eastAsia="方正楷体_GBK" w:cs="Times New Roman"/>
          <w:color w:val="auto"/>
          <w:spacing w:val="10"/>
          <w:kern w:val="2"/>
          <w:sz w:val="31"/>
          <w:szCs w:val="31"/>
          <w:highlight w:val="none"/>
          <w:u w:val="none" w:color="auto"/>
          <w:lang w:val="en-US" w:eastAsia="zh-CN" w:bidi="ar-SA"/>
        </w:rPr>
        <w:t>引领示范</w:t>
      </w:r>
      <w:bookmarkEnd w:id="1317"/>
      <w:bookmarkEnd w:id="1330"/>
      <w:bookmarkEnd w:id="1331"/>
      <w:bookmarkEnd w:id="1332"/>
      <w:bookmarkEnd w:id="1333"/>
      <w:bookmarkEnd w:id="1334"/>
      <w:bookmarkEnd w:id="1335"/>
      <w:bookmarkEnd w:id="1336"/>
      <w:bookmarkEnd w:id="1337"/>
      <w:bookmarkEnd w:id="1338"/>
      <w:bookmarkEnd w:id="1339"/>
      <w:bookmarkEnd w:id="1340"/>
      <w:bookmarkEnd w:id="1341"/>
    </w:p>
    <w:p w14:paraId="10C924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24"/>
          <w:highlight w:val="none"/>
          <w:u w:val="none" w:color="auto"/>
          <w:lang w:val="en-US" w:eastAsia="zh-CN" w:bidi="ar-SA"/>
        </w:rPr>
      </w:pPr>
      <w:r>
        <w:rPr>
          <w:rFonts w:hint="default" w:ascii="Times New Roman" w:hAnsi="Times New Roman" w:eastAsia="方正仿宋_GBK" w:cs="Times New Roman"/>
          <w:color w:val="auto"/>
          <w:kern w:val="2"/>
          <w:sz w:val="32"/>
          <w:szCs w:val="24"/>
          <w:highlight w:val="none"/>
          <w:u w:val="none" w:color="auto"/>
          <w:lang w:val="en-US" w:eastAsia="zh-CN" w:bidi="ar-SA"/>
        </w:rPr>
        <w:t>持续发挥解放碑中央商务区</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一核</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引领示范作用，聚焦全球高端要素汇聚地、国际消费知名目的地、对外经贸交往枢纽地、国际都市形象呈现地功能定位，围绕现代金融、现代商贸、高端专业服务等重点产业，提质发展总部经济、楼宇经济，全力打造立足重庆、辐射全国、服务全球的世界一流中央商务区，区域GDP突破1300亿元、社会消费品零售总额超1500亿元。实施产业代际提能工程，提升西部金融中央法务区能级，加快建设绿色金融大道，打造中国银行行史博物馆等主题金融馆群。实施消费焕新提质工程，提级打造</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十字奢尚</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高端品牌集聚生态圈，持续做靓洪崖洞—朝天汇海—湖广会馆滨江文旅消费新走廊、鲁祖庙—中华巷—十字金街精致消费新街区，引育国际一线品牌50家、轻奢潮流品牌100家，打造特色消费场景超100个。实施城市品质提升工程，贯通打造</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朝天门—解放碑—通远门</w:t>
      </w:r>
      <w:r>
        <w:rPr>
          <w:rFonts w:hint="eastAsia" w:ascii="Times New Roman" w:hAnsi="Times New Roman" w:eastAsia="方正仿宋_GBK" w:cs="方正仿宋_GBK"/>
          <w:color w:val="auto"/>
          <w:kern w:val="2"/>
          <w:sz w:val="32"/>
          <w:szCs w:val="24"/>
          <w:highlight w:val="none"/>
          <w:u w:val="none" w:color="auto"/>
          <w:lang w:val="en-US" w:eastAsia="zh-CN" w:bidi="ar-SA"/>
        </w:rPr>
        <w:t>”</w:t>
      </w:r>
      <w:r>
        <w:rPr>
          <w:rFonts w:hint="default" w:ascii="Times New Roman" w:hAnsi="Times New Roman" w:eastAsia="方正仿宋_GBK" w:cs="Times New Roman"/>
          <w:color w:val="auto"/>
          <w:kern w:val="2"/>
          <w:sz w:val="32"/>
          <w:szCs w:val="24"/>
          <w:highlight w:val="none"/>
          <w:u w:val="none" w:color="auto"/>
          <w:lang w:val="en-US" w:eastAsia="zh-CN" w:bidi="ar-SA"/>
        </w:rPr>
        <w:t>国际消费主轴，串联打铜街、戴家巷、鲁祖庙等新锐风貌街区，加快构筑百条精致后街小巷。加快实施朝天门市场转型升级行动计划，聚焦时尚潮流消费、原创品牌孵化、多元业态融合、数智转型创新，将朝天门市场打造成为产商文旅融合都市时尚综合体。</w:t>
      </w:r>
    </w:p>
    <w:p w14:paraId="1AFB380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2"/>
        <w:rPr>
          <w:rFonts w:hint="default" w:ascii="Times New Roman" w:hAnsi="Times New Roman" w:eastAsia="方正楷体_GBK" w:cs="Times New Roman"/>
          <w:b w:val="0"/>
          <w:bCs w:val="0"/>
          <w:color w:val="auto"/>
          <w:kern w:val="2"/>
          <w:sz w:val="32"/>
          <w:szCs w:val="32"/>
          <w:highlight w:val="none"/>
          <w:u w:val="none" w:color="auto"/>
          <w:lang w:val="en-US" w:eastAsia="zh-CN" w:bidi="ar-SA"/>
        </w:rPr>
      </w:pPr>
      <w:bookmarkStart w:id="1342" w:name="_Toc20537"/>
      <w:bookmarkStart w:id="1343" w:name="_Toc17164"/>
      <w:bookmarkStart w:id="1344" w:name="_Toc22470"/>
      <w:bookmarkStart w:id="1345" w:name="_Toc14281"/>
      <w:bookmarkStart w:id="1346" w:name="_Toc29385"/>
      <w:bookmarkStart w:id="1347" w:name="_Toc29066"/>
      <w:bookmarkStart w:id="1348" w:name="_Toc672"/>
      <w:bookmarkStart w:id="1349" w:name="_Toc11488"/>
      <w:bookmarkStart w:id="1350" w:name="_Toc32562"/>
      <w:bookmarkStart w:id="1351" w:name="_Toc4958"/>
      <w:bookmarkStart w:id="1352" w:name="_Toc9808"/>
      <w:bookmarkStart w:id="1353" w:name="_Toc4898"/>
      <w:bookmarkStart w:id="1354" w:name="_Toc4820"/>
      <w:bookmarkStart w:id="1355" w:name="_Toc15054"/>
      <w:bookmarkStart w:id="1356" w:name="_Toc20595"/>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第二节 深化</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两翼</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协同带动</w:t>
      </w:r>
      <w:bookmarkEnd w:id="1342"/>
      <w:bookmarkEnd w:id="1343"/>
      <w:bookmarkEnd w:id="1344"/>
      <w:bookmarkEnd w:id="1345"/>
      <w:bookmarkEnd w:id="1346"/>
      <w:bookmarkEnd w:id="1347"/>
      <w:bookmarkEnd w:id="1348"/>
      <w:bookmarkEnd w:id="1349"/>
      <w:bookmarkEnd w:id="1350"/>
      <w:bookmarkEnd w:id="1351"/>
      <w:bookmarkEnd w:id="1352"/>
      <w:bookmarkEnd w:id="1353"/>
    </w:p>
    <w:p w14:paraId="0E777A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bookmarkStart w:id="1357" w:name="_Toc17990"/>
      <w:r>
        <w:rPr>
          <w:rFonts w:hint="default" w:ascii="Times New Roman" w:hAnsi="Times New Roman" w:eastAsia="方正仿宋_GBK" w:cs="Times New Roman"/>
          <w:color w:val="auto"/>
          <w:sz w:val="32"/>
          <w:szCs w:val="32"/>
          <w:highlight w:val="none"/>
          <w:u w:val="none" w:color="auto"/>
          <w:lang w:val="en-US" w:eastAsia="zh-CN"/>
        </w:rPr>
        <w:t>围绕产业集聚、门户开放、优势互补，培育壮大新兴产业未来产业，充分发挥重庆站滨江新城、化龙桥国际商务区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两翼</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协同带动作用，加快构建区域协同发展新格局。</w:t>
      </w:r>
    </w:p>
    <w:p w14:paraId="16DF75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重庆站滨江新城。聚焦</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站城景</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融合发展，推进重庆站及片区整体改造、形象塑造、功能再造，加快站北路、菜园坝立交等配套设施建设，提速27号线等重大项目建设，启动南部市场改造、滨江岸线提升，加快中部上盖物业15万平方米、中东部产业载体40万平方米、北部高品质住宅及配套17万平方米建设，重点布局现代商贸、现代物流、</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AI智能+应用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等产业和TOD通道枢纽经济业态，高标准打造服务成渝、辐射中西部、通达全国、联通陆海的国际化滨江新城。</w:t>
      </w:r>
    </w:p>
    <w:p w14:paraId="1F5090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sz w:val="32"/>
          <w:szCs w:val="32"/>
          <w:highlight w:val="none"/>
          <w:u w:val="none" w:color="auto"/>
          <w:lang w:val="en-US" w:eastAsia="zh-CN"/>
        </w:rPr>
        <w:t>化龙桥国际商务区</w:t>
      </w:r>
      <w:bookmarkEnd w:id="1357"/>
      <w:bookmarkStart w:id="1358" w:name="_Toc10749"/>
      <w:r>
        <w:rPr>
          <w:rFonts w:hint="default" w:ascii="Times New Roman" w:hAnsi="Times New Roman" w:eastAsia="方正仿宋_GBK" w:cs="Times New Roman"/>
          <w:color w:val="auto"/>
          <w:sz w:val="32"/>
          <w:szCs w:val="32"/>
          <w:highlight w:val="none"/>
          <w:u w:val="none" w:color="auto"/>
          <w:lang w:val="en-US" w:eastAsia="zh-CN"/>
        </w:rPr>
        <w:t>。持续擦亮专业服务业（法律服务）集</w:t>
      </w:r>
      <w:r>
        <w:rPr>
          <w:rFonts w:hint="default" w:ascii="Times New Roman" w:hAnsi="Times New Roman" w:eastAsia="方正仿宋_GBK" w:cs="Times New Roman"/>
          <w:color w:val="auto"/>
          <w:kern w:val="2"/>
          <w:sz w:val="32"/>
          <w:szCs w:val="32"/>
          <w:highlight w:val="none"/>
          <w:u w:val="none" w:color="auto"/>
          <w:lang w:val="en-US" w:eastAsia="zh-CN" w:bidi="ar-SA"/>
        </w:rPr>
        <w:t>聚示范区、中国（重庆）自贸试验区联动创新区、数字经济特色小镇、重庆市服务业扩大开放综合试点示范园等金字招牌，扩容律师、会计、咨询等高端专业服务集群，推动陆海国际中心全面投用，同步推进B24-8、B24-9地块建设，强化商务区腹地与滨江空间互联互通，力争新增产业承载空间30万平方米，累计形成高端商务商业载体140余万平方米，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科产城人文金</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融合发展样板区。</w:t>
      </w:r>
    </w:p>
    <w:bookmarkEnd w:id="1358"/>
    <w:p w14:paraId="4A15B7A6">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359" w:name="_Toc27375"/>
      <w:bookmarkStart w:id="1360" w:name="_Toc6688"/>
      <w:bookmarkStart w:id="1361" w:name="_Toc31987"/>
      <w:bookmarkStart w:id="1362" w:name="_Toc276"/>
      <w:bookmarkStart w:id="1363" w:name="_Toc4084"/>
      <w:bookmarkStart w:id="1364" w:name="_Toc29762"/>
      <w:bookmarkStart w:id="1365" w:name="_Toc7126"/>
      <w:bookmarkStart w:id="1366" w:name="_Toc32476"/>
      <w:bookmarkStart w:id="1367" w:name="_Toc7008"/>
      <w:bookmarkStart w:id="1368" w:name="_Toc2217"/>
      <w:bookmarkStart w:id="1369" w:name="_Toc26735"/>
      <w:bookmarkStart w:id="1370" w:name="_Toc24217"/>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第三节 提升</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三带</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涵养品质</w:t>
      </w:r>
      <w:bookmarkEnd w:id="1359"/>
      <w:bookmarkEnd w:id="1360"/>
      <w:bookmarkEnd w:id="1361"/>
      <w:bookmarkEnd w:id="1362"/>
      <w:bookmarkEnd w:id="1363"/>
      <w:bookmarkEnd w:id="1364"/>
      <w:bookmarkEnd w:id="1365"/>
      <w:bookmarkEnd w:id="1366"/>
      <w:bookmarkEnd w:id="1367"/>
      <w:bookmarkEnd w:id="1368"/>
      <w:bookmarkEnd w:id="1369"/>
      <w:bookmarkEnd w:id="1370"/>
    </w:p>
    <w:p w14:paraId="013B3D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2"/>
          <w:sz w:val="32"/>
          <w:szCs w:val="32"/>
          <w:highlight w:val="none"/>
          <w:u w:val="none" w:color="auto"/>
          <w:lang w:val="en-US" w:eastAsia="zh-CN" w:bidi="ar-SA"/>
        </w:rPr>
      </w:pPr>
      <w:bookmarkStart w:id="1371" w:name="_Toc4054"/>
      <w:r>
        <w:rPr>
          <w:rFonts w:hint="default" w:ascii="Times New Roman" w:hAnsi="Times New Roman" w:eastAsia="方正仿宋_GBK" w:cs="Times New Roman"/>
          <w:color w:val="auto"/>
          <w:sz w:val="32"/>
          <w:szCs w:val="32"/>
          <w:highlight w:val="none"/>
          <w:u w:val="none" w:color="auto"/>
          <w:lang w:val="en-US" w:eastAsia="zh-CN"/>
        </w:rPr>
        <w:t>围绕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江城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母城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山城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kern w:val="2"/>
          <w:sz w:val="32"/>
          <w:szCs w:val="32"/>
          <w:highlight w:val="none"/>
          <w:u w:val="none" w:color="auto"/>
          <w:lang w:val="en-US" w:eastAsia="zh-CN" w:bidi="ar-SA"/>
        </w:rPr>
        <w:t>着力打造两江滨江亲水休闲观光带、历史人文风貌带、大鹅岭山脊生态景观带，全面提升区域品质与吸引力。</w:t>
      </w:r>
    </w:p>
    <w:p w14:paraId="0135357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两江滨江亲水休闲观光带。聚焦彰显</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江城</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韵味，以长滨片区治理提升项目为引领，提升珊瑚坝湿地公园季节性利用效益，活化利用滨水及桥下空间，串联沿线景点、商业设施与公共服务节点，形成连续可达、舒适便捷的滨江休闲网络，有机植入水上运动、游船观光、滨江市集等特色休闲业态。注重滨江区域生态保护与景观提升，实施沿江绿化美化工程，增加滨水植被覆盖，优化景观视线通廊，构建亲水、近水、乐水多元休闲体系。</w:t>
      </w:r>
      <w:r>
        <w:rPr>
          <w:rFonts w:hint="eastAsia" w:ascii="Times New Roman" w:hAnsi="Times New Roman" w:eastAsia="方正仿宋_GBK" w:cs="Times New Roman"/>
          <w:color w:val="auto"/>
          <w:kern w:val="2"/>
          <w:sz w:val="32"/>
          <w:szCs w:val="32"/>
          <w:highlight w:val="none"/>
          <w:u w:val="none" w:color="auto"/>
          <w:lang w:val="en-US" w:eastAsia="zh-CN" w:bidi="ar-SA"/>
        </w:rPr>
        <w:t>完工嘉陵江岸线贯通工程嘉滨路大溪沟段，加快建设</w:t>
      </w:r>
      <w:r>
        <w:rPr>
          <w:rFonts w:hint="default" w:ascii="Times New Roman" w:hAnsi="Times New Roman" w:eastAsia="方正仿宋_GBK" w:cs="Times New Roman"/>
          <w:color w:val="auto"/>
          <w:kern w:val="2"/>
          <w:sz w:val="32"/>
          <w:szCs w:val="32"/>
          <w:highlight w:val="none"/>
          <w:u w:val="none" w:color="auto"/>
          <w:lang w:val="en-US" w:eastAsia="zh-CN" w:bidi="ar-SA"/>
        </w:rPr>
        <w:t>嘉宾里城市功能品质提升项目</w:t>
      </w:r>
      <w:r>
        <w:rPr>
          <w:rFonts w:hint="eastAsia" w:ascii="Times New Roman" w:hAnsi="Times New Roman" w:eastAsia="方正仿宋_GBK" w:cs="Times New Roman"/>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持续推进长江干流防洪治理、长滨片区防洪排涝等工程，筑牢</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亲水休闲+生态安全</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发展屏障。</w:t>
      </w:r>
    </w:p>
    <w:p w14:paraId="59DA65A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历史人文风貌带。聚焦弘扬</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母城</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文化，加快建成老鼓楼衙署遗址，打造巴蜀文旅走廊核心标识与文化名片。联动湖广会馆、西三街两大片区及背街小巷，打造巴渝民俗美食基地。依托十八梯、花街子、国浩18T三大载体，做靓十八梯文旅消费高地。连片打造领事巷、中兴路、马蹄街周边片区，扩展山城巷山城文化体验地。提质建强西部中医药产业园、枇杷山后街经济产业园，构建</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历史文脉活化+创意产业集聚+民生服务提质</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三位一体文商旅体城融合发展格局。完善上下半城步道系统，强化与解放碑中央商务区南北向互联互通。依托轨道18号线建成投用，加强与重庆站滨江新城东西向一体联动。</w:t>
      </w:r>
    </w:p>
    <w:p w14:paraId="1C2C6DB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大鹅岭山脊生态景观带。聚焦展现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山城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风貌，</w:t>
      </w:r>
      <w:r>
        <w:rPr>
          <w:rFonts w:hint="default" w:ascii="Times New Roman" w:hAnsi="Times New Roman" w:eastAsia="方正仿宋_GBK" w:cs="Times New Roman"/>
          <w:color w:val="auto"/>
          <w:kern w:val="2"/>
          <w:sz w:val="32"/>
          <w:szCs w:val="32"/>
          <w:highlight w:val="none"/>
          <w:u w:val="none" w:color="auto"/>
          <w:lang w:val="en-US" w:eastAsia="zh-CN" w:bidi="ar-SA"/>
        </w:rPr>
        <w:t>加快三层马路老街区、印制二厂南坡更新改造等项目建设，提速推进李子坝地铁站提档升级，有机</w:t>
      </w:r>
      <w:r>
        <w:rPr>
          <w:rFonts w:hint="default" w:ascii="Times New Roman" w:hAnsi="Times New Roman" w:eastAsia="方正仿宋_GBK" w:cs="Times New Roman"/>
          <w:color w:val="auto"/>
          <w:sz w:val="32"/>
          <w:szCs w:val="32"/>
          <w:highlight w:val="none"/>
          <w:u w:val="none" w:color="auto"/>
          <w:lang w:val="en-US" w:eastAsia="zh-CN"/>
        </w:rPr>
        <w:t>串联</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红色三岩</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sz w:val="32"/>
          <w:szCs w:val="32"/>
          <w:highlight w:val="none"/>
          <w:u w:val="none" w:color="auto"/>
        </w:rPr>
        <w:t>、佛图关公园、鹅岭</w:t>
      </w:r>
      <w:r>
        <w:rPr>
          <w:rFonts w:hint="default" w:ascii="Times New Roman" w:hAnsi="Times New Roman" w:eastAsia="方正仿宋_GBK" w:cs="Times New Roman"/>
          <w:color w:val="auto"/>
          <w:sz w:val="32"/>
          <w:szCs w:val="32"/>
          <w:highlight w:val="none"/>
          <w:u w:val="none" w:color="auto"/>
          <w:lang w:val="en-US" w:eastAsia="zh-CN"/>
        </w:rPr>
        <w:t>贰</w:t>
      </w:r>
      <w:r>
        <w:rPr>
          <w:rFonts w:hint="default" w:ascii="Times New Roman" w:hAnsi="Times New Roman" w:eastAsia="方正仿宋_GBK" w:cs="Times New Roman"/>
          <w:color w:val="auto"/>
          <w:sz w:val="32"/>
          <w:szCs w:val="32"/>
          <w:highlight w:val="none"/>
          <w:u w:val="none" w:color="auto"/>
        </w:rPr>
        <w:t>厂文创园、鹅岭公园等</w:t>
      </w:r>
      <w:r>
        <w:rPr>
          <w:rFonts w:hint="default" w:ascii="Times New Roman" w:hAnsi="Times New Roman" w:eastAsia="方正仿宋_GBK" w:cs="Times New Roman"/>
          <w:color w:val="auto"/>
          <w:sz w:val="32"/>
          <w:szCs w:val="32"/>
          <w:highlight w:val="none"/>
          <w:u w:val="none" w:color="auto"/>
          <w:lang w:val="en-US" w:eastAsia="zh-CN"/>
        </w:rPr>
        <w:t>文旅</w:t>
      </w:r>
      <w:r>
        <w:rPr>
          <w:rFonts w:hint="default" w:ascii="Times New Roman" w:hAnsi="Times New Roman" w:eastAsia="方正仿宋_GBK" w:cs="Times New Roman"/>
          <w:color w:val="auto"/>
          <w:sz w:val="32"/>
          <w:szCs w:val="32"/>
          <w:highlight w:val="none"/>
          <w:u w:val="none" w:color="auto"/>
        </w:rPr>
        <w:t>景点与生态</w:t>
      </w:r>
      <w:r>
        <w:rPr>
          <w:rFonts w:hint="default" w:ascii="Times New Roman" w:hAnsi="Times New Roman" w:eastAsia="方正仿宋_GBK" w:cs="Times New Roman"/>
          <w:color w:val="auto"/>
          <w:sz w:val="32"/>
          <w:szCs w:val="32"/>
          <w:highlight w:val="none"/>
          <w:u w:val="none" w:color="auto"/>
          <w:lang w:val="en-US" w:eastAsia="zh-CN"/>
        </w:rPr>
        <w:t>资源</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分类实施抗战文化缅怀、都市园林艺术、巴渝民宿体验等主题项目</w:t>
      </w:r>
      <w:r>
        <w:rPr>
          <w:rFonts w:hint="default" w:ascii="Times New Roman" w:hAnsi="Times New Roman" w:eastAsia="方正仿宋_GBK" w:cs="Times New Roman"/>
          <w:color w:val="auto"/>
          <w:kern w:val="2"/>
          <w:sz w:val="32"/>
          <w:szCs w:val="32"/>
          <w:highlight w:val="none"/>
          <w:u w:val="none" w:color="auto"/>
          <w:lang w:val="en-US" w:eastAsia="zh-CN" w:bidi="ar-SA"/>
        </w:rPr>
        <w:t>。注重区域生态保护与修复，提升绿化覆盖率，完善生态廊道和绿色景观，打造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生态修复+文旅融合</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山脊示范带。</w:t>
      </w:r>
    </w:p>
    <w:bookmarkEnd w:id="1371"/>
    <w:p w14:paraId="223392D5">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2"/>
        <w:rPr>
          <w:rFonts w:hint="default" w:ascii="Times New Roman" w:hAnsi="Times New Roman" w:eastAsia="方正楷体_GBK" w:cs="Times New Roman"/>
          <w:b w:val="0"/>
          <w:bCs w:val="0"/>
          <w:color w:val="auto"/>
          <w:kern w:val="2"/>
          <w:sz w:val="32"/>
          <w:szCs w:val="32"/>
          <w:highlight w:val="none"/>
          <w:u w:val="none" w:color="auto"/>
          <w:lang w:val="en-US" w:eastAsia="zh-CN" w:bidi="ar-SA"/>
        </w:rPr>
      </w:pPr>
      <w:bookmarkStart w:id="1372" w:name="_Toc13189"/>
      <w:bookmarkStart w:id="1373" w:name="_Toc21749"/>
      <w:bookmarkStart w:id="1374" w:name="_Toc17177"/>
      <w:bookmarkStart w:id="1375" w:name="_Toc18276"/>
      <w:bookmarkStart w:id="1376" w:name="_Toc1164"/>
      <w:bookmarkStart w:id="1377" w:name="_Toc21567"/>
      <w:bookmarkStart w:id="1378" w:name="_Toc7150"/>
      <w:bookmarkStart w:id="1379" w:name="_Toc6236"/>
      <w:bookmarkStart w:id="1380" w:name="_Toc10864"/>
      <w:bookmarkStart w:id="1381" w:name="_Toc11250"/>
      <w:bookmarkStart w:id="1382" w:name="_Toc32363"/>
      <w:bookmarkStart w:id="1383" w:name="_Toc2918"/>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第四节 实化</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五片区</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发展支撑</w:t>
      </w:r>
      <w:bookmarkEnd w:id="1372"/>
      <w:bookmarkEnd w:id="1373"/>
      <w:bookmarkEnd w:id="1374"/>
      <w:bookmarkEnd w:id="1375"/>
      <w:bookmarkEnd w:id="1376"/>
      <w:bookmarkEnd w:id="1377"/>
      <w:bookmarkEnd w:id="1378"/>
      <w:bookmarkEnd w:id="1379"/>
      <w:bookmarkEnd w:id="1380"/>
      <w:bookmarkEnd w:id="1381"/>
      <w:bookmarkEnd w:id="1382"/>
      <w:bookmarkEnd w:id="1383"/>
    </w:p>
    <w:p w14:paraId="36EBB6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bookmarkStart w:id="1384" w:name="_Toc7211"/>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围绕功能聚焦、资源集约，强化重庆政务功能核心区、西南大区文体科创走廊、大坪潮流商圈、数字经济产业园、环重医大健康产业园</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五片区</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差异化发展与协同联动，打造区域高质量发展新支撑。</w:t>
      </w:r>
    </w:p>
    <w:p w14:paraId="65E7581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重庆政务功能核心区</w:t>
      </w:r>
      <w:bookmarkEnd w:id="1384"/>
      <w:bookmarkStart w:id="1385" w:name="_Toc13665"/>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。聚焦区域政务服务保障功能定位，以中山四路、渝州路为轴线，强化上清寺、大溪沟区域政务服务与渝州宾馆</w:t>
      </w:r>
      <w:r>
        <w:rPr>
          <w:rFonts w:hint="eastAsia" w:ascii="Times New Roman" w:hAnsi="Times New Roman" w:eastAsia="方正仿宋_GBK" w:cs="Times New Roman"/>
          <w:b w:val="0"/>
          <w:bCs w:val="0"/>
          <w:color w:val="auto"/>
          <w:kern w:val="2"/>
          <w:sz w:val="32"/>
          <w:szCs w:val="32"/>
          <w:highlight w:val="none"/>
          <w:u w:val="none" w:color="auto"/>
          <w:lang w:val="en-US" w:eastAsia="zh-CN" w:bidi="ar-SA"/>
        </w:rPr>
        <w:t>重要</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会议保障，优化政务空间与配套设施，提升政务运行效率。保护周公馆、桂园等红色历史文化资源与轴线风貌，促进历史文化与城市公共空间充分融合。强化区域风险防范与安全保障，严格控制新建建筑高度、体量与风格，构建立体化安全防护体系，实施安全隐患排查整治，确保消防通道畅通、设施设备齐全完好，全力保障政务活动安全运行。</w:t>
      </w:r>
    </w:p>
    <w:p w14:paraId="050C7FE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highlight w:val="none"/>
          <w:u w:val="none" w:color="auto"/>
          <w:lang w:val="en-US" w:eastAsia="zh-CN"/>
        </w:rPr>
        <w:t>西南大区文体科创走廊。聚焦都市科创融合与全龄文体消费定位，提质建设大田湾体育场、劳动人民文化宫、人民大礼堂三大核心区域，重点</w:t>
      </w:r>
      <w:r>
        <w:rPr>
          <w:rFonts w:hint="default" w:ascii="Times New Roman" w:hAnsi="Times New Roman" w:eastAsia="方正仿宋_GBK" w:cs="Times New Roman"/>
          <w:color w:val="auto"/>
          <w:sz w:val="32"/>
          <w:szCs w:val="32"/>
          <w:highlight w:val="none"/>
          <w:u w:val="none" w:color="auto"/>
          <w:lang w:val="en-US" w:eastAsia="zh-CN"/>
        </w:rPr>
        <w:t>植入</w:t>
      </w:r>
      <w:r>
        <w:rPr>
          <w:rFonts w:hint="default" w:ascii="Times New Roman" w:hAnsi="Times New Roman" w:eastAsia="方正仿宋_GBK" w:cs="Times New Roman"/>
          <w:color w:val="auto"/>
          <w:sz w:val="32"/>
          <w:szCs w:val="32"/>
          <w:highlight w:val="none"/>
          <w:u w:val="none" w:color="auto"/>
          <w:lang w:eastAsia="zh-CN"/>
        </w:rPr>
        <w:t>赛事</w:t>
      </w:r>
      <w:r>
        <w:rPr>
          <w:rFonts w:hint="default" w:ascii="Times New Roman" w:hAnsi="Times New Roman" w:eastAsia="方正仿宋_GBK" w:cs="Times New Roman"/>
          <w:color w:val="auto"/>
          <w:sz w:val="32"/>
          <w:szCs w:val="32"/>
          <w:highlight w:val="none"/>
          <w:u w:val="none" w:color="auto"/>
          <w:lang w:val="en-US" w:eastAsia="zh-CN"/>
        </w:rPr>
        <w:t>演艺、体育竞技等细分产业，增强城市文化能力和公共服务能力。整合中山三路沿线产业载体，统筹推进存量楼宇更新改造和功能重塑，加快发展软件和信息服务、数字内容、科创文创、专业服务等业态。联动李子坝、国际村及周边片区，串联工业遗址、抗战遗址、山城街巷和生态景观，整合打造环贰厂人文生态走廊。</w:t>
      </w:r>
    </w:p>
    <w:p w14:paraId="223FF71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大坪潮流商圈</w:t>
      </w:r>
      <w:bookmarkEnd w:id="1385"/>
      <w:bookmarkStart w:id="1386" w:name="_Toc24817"/>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聚焦时尚消费、现代办公等功能定位，加快推进大坪正街、大坪E10-10地块等城市更新项目，打造创想小镇数字文创产业园、八县办地块优质住宅。贯通煤建新村片区与石油南路，实现龙湖时代天街与英利大融城连通互动。聚焦</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年轻客群、品质家庭</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核心需求，加强商圈业态创新与品牌集聚，引入一批国际知名潮流品牌、设计师品牌及特色餐饮娱乐品牌，打造集购物、休闲、娱乐、社交于一体的多元化消费场景。加强与周边区域联动发展，形成功能互补、协同共进的商业生态圈。</w:t>
      </w:r>
    </w:p>
    <w:p w14:paraId="1B1817D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cs="Times New Roman"/>
          <w:color w:val="auto"/>
          <w:highlight w:val="none"/>
          <w:u w:val="none" w:color="auto"/>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数字经济产业园</w:t>
      </w:r>
      <w:bookmarkEnd w:id="1386"/>
      <w:bookmarkStart w:id="1387" w:name="_Toc9237"/>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。聚焦软信产业创新策源区、人工智能应用先行区、产城融合生态示范区等功能定位，强化市场主体培育、软件技术创新、人工智能赋能、软件融合应用，加快打造千亿级软件产业集群。</w:t>
      </w:r>
      <w:r>
        <w:rPr>
          <w:rFonts w:hint="default" w:ascii="Times New Roman" w:hAnsi="Times New Roman" w:eastAsia="方正仿宋_GBK" w:cs="Times New Roman"/>
          <w:color w:val="auto"/>
          <w:sz w:val="32"/>
          <w:szCs w:val="32"/>
          <w:highlight w:val="none"/>
          <w:u w:val="none" w:color="auto"/>
          <w:lang w:val="en-US" w:eastAsia="zh-CN"/>
        </w:rPr>
        <w:t>围绕软件技术创新，</w:t>
      </w:r>
      <w:r>
        <w:rPr>
          <w:rFonts w:hint="default" w:ascii="Times New Roman" w:hAnsi="Times New Roman" w:eastAsia="方正仿宋_GBK" w:cs="Times New Roman"/>
          <w:color w:val="auto"/>
          <w:sz w:val="32"/>
          <w:highlight w:val="none"/>
          <w:u w:val="none" w:color="auto"/>
          <w:lang w:val="en-US" w:eastAsia="zh-CN"/>
        </w:rPr>
        <w:t>重点</w:t>
      </w:r>
      <w:r>
        <w:rPr>
          <w:rFonts w:hint="default" w:ascii="Times New Roman" w:hAnsi="Times New Roman" w:eastAsia="方正仿宋_GBK" w:cs="Times New Roman"/>
          <w:color w:val="auto"/>
          <w:sz w:val="32"/>
          <w:highlight w:val="none"/>
          <w:u w:val="none" w:color="auto"/>
        </w:rPr>
        <w:t>聚焦关键基础软件突破、质量提升、平台前瞻布局和算力数据融合，构建软信产业发展坚实底座。</w:t>
      </w:r>
      <w:r>
        <w:rPr>
          <w:rFonts w:hint="default" w:ascii="Times New Roman" w:hAnsi="Times New Roman" w:eastAsia="方正仿宋_GBK" w:cs="Times New Roman"/>
          <w:color w:val="auto"/>
          <w:sz w:val="32"/>
          <w:highlight w:val="none"/>
          <w:u w:val="none" w:color="auto"/>
          <w:lang w:val="en-US" w:eastAsia="zh-CN"/>
        </w:rPr>
        <w:t>围绕人工智能赋能，推动</w:t>
      </w:r>
      <w:r>
        <w:rPr>
          <w:rFonts w:hint="default" w:ascii="Times New Roman" w:hAnsi="Times New Roman" w:eastAsia="方正仿宋_GBK" w:cs="Times New Roman"/>
          <w:color w:val="auto"/>
          <w:sz w:val="32"/>
          <w:highlight w:val="none"/>
          <w:u w:val="none" w:color="auto"/>
        </w:rPr>
        <w:t>人工智能核心技术攻坚、软件工程智能化升级及应用场景落地，系统构建人工智能赋能体系，形成一批</w:t>
      </w:r>
      <w:r>
        <w:rPr>
          <w:rFonts w:hint="default" w:ascii="Times New Roman" w:hAnsi="Times New Roman" w:eastAsia="方正仿宋_GBK" w:cs="Times New Roman"/>
          <w:color w:val="auto"/>
          <w:sz w:val="32"/>
          <w:highlight w:val="none"/>
          <w:u w:val="none" w:color="auto"/>
          <w:lang w:val="en-US" w:eastAsia="zh-CN"/>
        </w:rPr>
        <w:t>具有</w:t>
      </w:r>
      <w:r>
        <w:rPr>
          <w:rFonts w:hint="default" w:ascii="Times New Roman" w:hAnsi="Times New Roman" w:eastAsia="方正仿宋_GBK" w:cs="Times New Roman"/>
          <w:color w:val="auto"/>
          <w:sz w:val="32"/>
          <w:highlight w:val="none"/>
          <w:u w:val="none" w:color="auto"/>
        </w:rPr>
        <w:t>示范性、特色</w:t>
      </w:r>
      <w:r>
        <w:rPr>
          <w:rFonts w:hint="default" w:ascii="Times New Roman" w:hAnsi="Times New Roman" w:eastAsia="方正仿宋_GBK" w:cs="Times New Roman"/>
          <w:color w:val="auto"/>
          <w:sz w:val="32"/>
          <w:highlight w:val="none"/>
          <w:u w:val="none" w:color="auto"/>
          <w:lang w:val="en-US" w:eastAsia="zh-CN"/>
        </w:rPr>
        <w:t>化</w:t>
      </w:r>
      <w:r>
        <w:rPr>
          <w:rFonts w:hint="default" w:ascii="Times New Roman" w:hAnsi="Times New Roman" w:eastAsia="方正仿宋_GBK" w:cs="Times New Roman"/>
          <w:color w:val="auto"/>
          <w:sz w:val="32"/>
          <w:highlight w:val="none"/>
          <w:u w:val="none" w:color="auto"/>
        </w:rPr>
        <w:t>的人工智能软件产品与应用业态。</w:t>
      </w:r>
      <w:r>
        <w:rPr>
          <w:rFonts w:hint="default" w:ascii="Times New Roman" w:hAnsi="Times New Roman" w:eastAsia="方正仿宋_GBK" w:cs="Times New Roman"/>
          <w:color w:val="auto"/>
          <w:sz w:val="32"/>
          <w:highlight w:val="none"/>
          <w:u w:val="none" w:color="auto"/>
          <w:lang w:val="en-US" w:eastAsia="zh-CN"/>
        </w:rPr>
        <w:t>围绕</w:t>
      </w:r>
      <w:r>
        <w:rPr>
          <w:rFonts w:hint="default" w:ascii="Times New Roman" w:hAnsi="Times New Roman" w:eastAsia="方正仿宋_GBK" w:cs="Times New Roman"/>
          <w:color w:val="auto"/>
          <w:sz w:val="32"/>
          <w:szCs w:val="32"/>
          <w:highlight w:val="none"/>
          <w:u w:val="none" w:color="auto"/>
          <w:lang w:val="en-US" w:eastAsia="zh-CN"/>
        </w:rPr>
        <w:t>软件融合应用，推动数字化转型纵深发展，加快产业数字化进程。</w:t>
      </w:r>
    </w:p>
    <w:p w14:paraId="0E106CF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highlight w:val="none"/>
          <w:u w:val="none" w:color="auto"/>
          <w:lang w:val="en-US" w:eastAsia="zh-CN"/>
        </w:rPr>
        <w:t>环重医大健康产业园</w:t>
      </w:r>
      <w:bookmarkEnd w:id="1387"/>
      <w:bookmarkStart w:id="1388" w:name="_Toc18144"/>
      <w:r>
        <w:rPr>
          <w:rFonts w:hint="default" w:ascii="Times New Roman" w:hAnsi="Times New Roman" w:eastAsia="方正仿宋_GBK" w:cs="Times New Roman"/>
          <w:color w:val="auto"/>
          <w:sz w:val="32"/>
          <w:highlight w:val="none"/>
          <w:u w:val="none" w:color="auto"/>
          <w:lang w:val="en-US" w:eastAsia="zh-CN"/>
        </w:rPr>
        <w:t>。聚焦医疗科研集聚区、特色医疗消费目的地等功能定位，围绕重庆医科大学及附属医院等资源，重点发展数字医疗、基因与细胞治疗、智慧医疗装备、特色医疗消费等产业，</w:t>
      </w:r>
      <w:r>
        <w:rPr>
          <w:rFonts w:hint="default" w:ascii="Times New Roman" w:hAnsi="Times New Roman" w:eastAsia="方正仿宋_GBK" w:cs="Times New Roman"/>
          <w:b w:val="0"/>
          <w:bCs w:val="0"/>
          <w:color w:val="auto"/>
          <w:sz w:val="32"/>
          <w:szCs w:val="32"/>
          <w:highlight w:val="none"/>
          <w:u w:val="none" w:color="auto"/>
          <w:lang w:val="en-US" w:eastAsia="zh-CN"/>
        </w:rPr>
        <w:t>高水平推动科技成果转化和应用。推动医商融合发展，联动时代天街等产业载体有机植入特色医疗消费场景，大力培育全生命周期健康管理、抗衰医美、高端医疗体检、康复疗养、细胞储存与治疗等消费业态，</w:t>
      </w:r>
      <w:r>
        <w:rPr>
          <w:rFonts w:hint="default" w:ascii="Times New Roman" w:hAnsi="Times New Roman" w:eastAsia="方正仿宋_GBK" w:cs="Times New Roman"/>
          <w:color w:val="auto"/>
          <w:sz w:val="32"/>
          <w:szCs w:val="32"/>
          <w:highlight w:val="none"/>
          <w:u w:val="none" w:color="auto"/>
          <w:lang w:val="en-US" w:eastAsia="zh-CN"/>
        </w:rPr>
        <w:t>大健康规上企业总营收达到200亿元以上、累计招引大健康企业200家以上。</w:t>
      </w:r>
    </w:p>
    <w:bookmarkEnd w:id="1388"/>
    <w:p w14:paraId="398CF490">
      <w:pPr>
        <w:keepNext w:val="0"/>
        <w:keepLines w:val="0"/>
        <w:pageBreakBefore w:val="0"/>
        <w:widowControl w:val="0"/>
        <w:tabs>
          <w:tab w:val="left" w:pos="1139"/>
        </w:tabs>
        <w:kinsoku/>
        <w:wordWrap/>
        <w:overflowPunct/>
        <w:topLinePunct w:val="0"/>
        <w:autoSpaceDE/>
        <w:autoSpaceDN/>
        <w:bidi w:val="0"/>
        <w:adjustRightInd/>
        <w:snapToGrid/>
        <w:jc w:val="center"/>
        <w:textAlignment w:val="auto"/>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 xml:space="preserve">专栏10  </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lang w:val="en-US" w:eastAsia="zh-CN"/>
        </w:rPr>
        <w:t>一核两翼三带五片区</w:t>
      </w:r>
      <w:r>
        <w:rPr>
          <w:rFonts w:hint="eastAsia" w:ascii="Times New Roman" w:hAnsi="Times New Roman" w:eastAsia="方正仿宋_GBK" w:cs="方正仿宋_GBK"/>
          <w:color w:val="auto"/>
          <w:sz w:val="28"/>
          <w:szCs w:val="28"/>
          <w:highlight w:val="none"/>
          <w:u w:val="none" w:color="auto"/>
          <w:lang w:val="en-US" w:eastAsia="zh-CN"/>
        </w:rPr>
        <w:t>”</w:t>
      </w:r>
      <w:r>
        <w:rPr>
          <w:rFonts w:hint="default" w:ascii="Times New Roman" w:hAnsi="Times New Roman" w:eastAsia="方正黑体_GBK" w:cs="Times New Roman"/>
          <w:color w:val="auto"/>
          <w:sz w:val="28"/>
          <w:szCs w:val="28"/>
          <w:highlight w:val="none"/>
          <w:u w:val="none" w:color="auto"/>
          <w:lang w:val="en-US" w:eastAsia="zh-CN"/>
        </w:rPr>
        <w:t>重点项目</w:t>
      </w:r>
    </w:p>
    <w:tbl>
      <w:tblPr>
        <w:tblStyle w:val="21"/>
        <w:tblW w:w="7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1"/>
      </w:tblGrid>
      <w:tr w14:paraId="4857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1" w:type="dxa"/>
          </w:tcPr>
          <w:p w14:paraId="0180B091">
            <w:pPr>
              <w:keepNext w:val="0"/>
              <w:keepLines w:val="0"/>
              <w:pageBreakBefore w:val="0"/>
              <w:widowControl w:val="0"/>
              <w:tabs>
                <w:tab w:val="left" w:pos="1139"/>
              </w:tabs>
              <w:kinsoku/>
              <w:wordWrap/>
              <w:overflowPunct/>
              <w:topLinePunct w:val="0"/>
              <w:autoSpaceDE/>
              <w:autoSpaceDN/>
              <w:bidi w:val="0"/>
              <w:adjustRightInd/>
              <w:snapToGrid/>
              <w:spacing w:line="42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一核</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日月光R5、R6塔楼建设，恒大英利云邸、协和城、重庆塔等楼宇改造提升，十字金街及周边重点区域临街载体收储及改造提升。</w:t>
            </w:r>
          </w:p>
          <w:p w14:paraId="705152FE">
            <w:pPr>
              <w:keepNext w:val="0"/>
              <w:keepLines w:val="0"/>
              <w:pageBreakBefore w:val="0"/>
              <w:widowControl w:val="0"/>
              <w:tabs>
                <w:tab w:val="left" w:pos="1139"/>
              </w:tabs>
              <w:kinsoku/>
              <w:wordWrap/>
              <w:overflowPunct/>
              <w:topLinePunct w:val="0"/>
              <w:autoSpaceDE/>
              <w:autoSpaceDN/>
              <w:bidi w:val="0"/>
              <w:adjustRightInd/>
              <w:snapToGrid/>
              <w:spacing w:line="42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两翼</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重庆站滨江新城：重庆站铁路综合交通枢纽工程（站北路及东西侧立交工程）、兜子背跨江隧道、菜园坝高铁枢纽文旅城、外滩商城调改、交通街至篼子背沿线老旧小区公共空间改造项目等；</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化龙桥国际商务区：</w:t>
            </w:r>
            <w:r>
              <w:rPr>
                <w:rFonts w:hint="default" w:ascii="Times New Roman" w:hAnsi="Times New Roman" w:eastAsia="方正仿宋_GBK" w:cs="Times New Roman"/>
                <w:color w:val="auto"/>
                <w:sz w:val="24"/>
                <w:szCs w:val="24"/>
                <w:highlight w:val="none"/>
                <w:u w:val="none" w:color="auto"/>
                <w:vertAlign w:val="baseline"/>
                <w:lang w:val="en-US" w:eastAsia="zh-CN"/>
              </w:rPr>
              <w:t>化龙桥片区公共人防工程、红岩文化公园三期、重庆100天际酒店等。</w:t>
            </w:r>
          </w:p>
          <w:p w14:paraId="7F0A2D63">
            <w:pPr>
              <w:keepNext w:val="0"/>
              <w:keepLines w:val="0"/>
              <w:pageBreakBefore w:val="0"/>
              <w:widowControl w:val="0"/>
              <w:tabs>
                <w:tab w:val="left" w:pos="1139"/>
              </w:tabs>
              <w:kinsoku/>
              <w:wordWrap/>
              <w:overflowPunct/>
              <w:topLinePunct w:val="0"/>
              <w:autoSpaceDE/>
              <w:autoSpaceDN/>
              <w:bidi w:val="0"/>
              <w:adjustRightInd/>
              <w:snapToGrid/>
              <w:spacing w:line="42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三带</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两江滨江亲水休闲观光带：轨道交通李子坝车站更新改造、嘉陵江索道复建、重庆长滨片区道路下穿工程、燕子岩—飞机码头—枇杷山传统风貌区项目、环贰厂人文生态走廊、游轮经济提升等项目；历史人文风貌带：十八梯南地块学校、国浩18T项目3号地块高品质四代宅、东升楼更新改造工程、十八梯智慧街区、白象街</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中医药+文旅</w:t>
            </w:r>
            <w:r>
              <w:rPr>
                <w:rFonts w:hint="eastAsia" w:ascii="Times New Roman" w:hAnsi="Times New Roman" w:eastAsia="方正仿宋_GBK" w:cs="方正仿宋_GBK"/>
                <w:b w:val="0"/>
                <w:bCs w:val="0"/>
                <w:color w:val="auto"/>
                <w:sz w:val="24"/>
                <w:szCs w:val="24"/>
                <w:highlight w:val="none"/>
                <w:u w:val="none" w:color="auto"/>
                <w:vertAlign w:val="baseline"/>
                <w:lang w:val="en-US" w:eastAsia="zh-CN"/>
              </w:rPr>
              <w:t>”</w:t>
            </w:r>
            <w:r>
              <w:rPr>
                <w:rFonts w:hint="default" w:ascii="Times New Roman" w:hAnsi="Times New Roman" w:eastAsia="方正仿宋_GBK" w:cs="Times New Roman"/>
                <w:b w:val="0"/>
                <w:bCs w:val="0"/>
                <w:color w:val="auto"/>
                <w:sz w:val="24"/>
                <w:szCs w:val="24"/>
                <w:highlight w:val="none"/>
                <w:u w:val="none" w:color="auto"/>
                <w:vertAlign w:val="baseline"/>
                <w:lang w:val="en-US" w:eastAsia="zh-CN"/>
              </w:rPr>
              <w:t>特色主题街区等项目；</w:t>
            </w:r>
            <w:r>
              <w:rPr>
                <w:rFonts w:hint="default" w:ascii="Times New Roman" w:hAnsi="Times New Roman" w:eastAsia="方正仿宋_GBK" w:cs="Times New Roman"/>
                <w:color w:val="auto"/>
                <w:sz w:val="24"/>
                <w:highlight w:val="none"/>
                <w:u w:val="none" w:color="auto"/>
              </w:rPr>
              <w:t>大鹅岭山脊生态景观带</w:t>
            </w:r>
            <w:r>
              <w:rPr>
                <w:rFonts w:hint="default" w:ascii="Times New Roman" w:hAnsi="Times New Roman" w:eastAsia="方正仿宋_GBK" w:cs="Times New Roman"/>
                <w:color w:val="auto"/>
                <w:sz w:val="24"/>
                <w:szCs w:val="24"/>
                <w:highlight w:val="none"/>
                <w:u w:val="none" w:color="auto"/>
                <w:vertAlign w:val="baseline"/>
                <w:lang w:val="en-US" w:eastAsia="zh-CN"/>
              </w:rPr>
              <w:t>：贰厂焕新提升、鹅岭悬崖酒店等项目。</w:t>
            </w:r>
          </w:p>
          <w:p w14:paraId="5C20ACA1">
            <w:pPr>
              <w:keepNext w:val="0"/>
              <w:keepLines w:val="0"/>
              <w:pageBreakBefore w:val="0"/>
              <w:widowControl w:val="0"/>
              <w:tabs>
                <w:tab w:val="left" w:pos="1139"/>
              </w:tabs>
              <w:kinsoku/>
              <w:wordWrap/>
              <w:overflowPunct/>
              <w:topLinePunct w:val="0"/>
              <w:autoSpaceDE/>
              <w:autoSpaceDN/>
              <w:bidi w:val="0"/>
              <w:adjustRightInd/>
              <w:snapToGrid/>
              <w:spacing w:line="42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五片区</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黑体_GBK" w:cs="Times New Roman"/>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渝中区北区路、人和街道路安全隐患整治工程、八县办地块项目、马鞍山片区功能品质提升、挑花厂数字文创产业园、新都巷地块更新改造。</w:t>
            </w:r>
          </w:p>
        </w:tc>
      </w:tr>
      <w:bookmarkEnd w:id="1354"/>
      <w:bookmarkEnd w:id="1355"/>
      <w:bookmarkEnd w:id="1356"/>
    </w:tbl>
    <w:p w14:paraId="20A887C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i w:val="0"/>
          <w:iCs w:val="0"/>
          <w:caps w:val="0"/>
          <w:color w:val="auto"/>
          <w:spacing w:val="0"/>
          <w:kern w:val="0"/>
          <w:sz w:val="32"/>
          <w:szCs w:val="32"/>
          <w:highlight w:val="none"/>
          <w:u w:val="none" w:color="auto"/>
          <w:shd w:val="clear" w:color="auto" w:fill="FFFFFF"/>
          <w:lang w:val="en-US" w:eastAsia="zh-CN"/>
        </w:rPr>
      </w:pPr>
      <w:bookmarkStart w:id="1389" w:name="_Toc15993"/>
      <w:bookmarkStart w:id="1390" w:name="_Toc25347"/>
      <w:bookmarkStart w:id="1391" w:name="_Toc29523"/>
      <w:bookmarkStart w:id="1392" w:name="_Toc29180"/>
      <w:bookmarkStart w:id="1393" w:name="_Toc28692"/>
      <w:bookmarkStart w:id="1394" w:name="_Toc25220"/>
      <w:bookmarkStart w:id="1395" w:name="_Toc24441"/>
      <w:bookmarkStart w:id="1396" w:name="_Toc3325"/>
      <w:bookmarkStart w:id="1397" w:name="_Toc8623"/>
      <w:bookmarkStart w:id="1398" w:name="_Toc16951"/>
      <w:bookmarkStart w:id="1399" w:name="_Toc9107"/>
      <w:bookmarkStart w:id="1400" w:name="_Toc32267"/>
      <w:bookmarkStart w:id="1401" w:name="_Toc5535"/>
      <w:bookmarkStart w:id="1402" w:name="_Toc19131"/>
      <w:bookmarkStart w:id="1403" w:name="_Toc16731"/>
      <w:r>
        <w:rPr>
          <w:rFonts w:hint="default" w:ascii="Times New Roman" w:hAnsi="Times New Roman" w:eastAsia="方正黑体_GBK" w:cs="Times New Roman"/>
          <w:i w:val="0"/>
          <w:iCs w:val="0"/>
          <w:caps w:val="0"/>
          <w:color w:val="auto"/>
          <w:spacing w:val="0"/>
          <w:kern w:val="0"/>
          <w:sz w:val="32"/>
          <w:szCs w:val="32"/>
          <w:highlight w:val="none"/>
          <w:u w:val="none" w:color="auto"/>
          <w:shd w:val="clear" w:color="auto" w:fill="FFFFFF"/>
          <w:lang w:val="en-US" w:eastAsia="zh-CN"/>
        </w:rPr>
        <w:t>第三十三章 高质量开展可持续城市更新</w:t>
      </w:r>
      <w:bookmarkEnd w:id="1389"/>
      <w:bookmarkEnd w:id="1390"/>
      <w:bookmarkEnd w:id="1391"/>
      <w:bookmarkEnd w:id="1392"/>
      <w:bookmarkEnd w:id="1393"/>
      <w:bookmarkEnd w:id="1394"/>
      <w:bookmarkEnd w:id="1395"/>
      <w:bookmarkEnd w:id="1396"/>
      <w:bookmarkEnd w:id="1397"/>
      <w:bookmarkEnd w:id="1398"/>
      <w:bookmarkEnd w:id="1399"/>
    </w:p>
    <w:p w14:paraId="1AB454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pP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坚持内涵式发展、存量提质发展，注重产业引领、运营为先、群众为本，统筹</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地上+地下</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空间高效利用，推动</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留改拆增升</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盘活存量资源，探索推进当期投入可承受、远期成本可平衡、常态机制可匹配、经验做法可复制的可持续城市更新。</w:t>
      </w:r>
    </w:p>
    <w:p w14:paraId="12BBECF7">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404" w:name="_Toc15727"/>
      <w:bookmarkStart w:id="1405" w:name="_Toc8741"/>
      <w:bookmarkStart w:id="1406" w:name="_Toc27260"/>
      <w:bookmarkStart w:id="1407" w:name="_Toc18989"/>
      <w:bookmarkStart w:id="1408" w:name="_Toc7261"/>
      <w:bookmarkStart w:id="1409" w:name="_Toc24129"/>
      <w:bookmarkStart w:id="1410" w:name="_Toc14272"/>
      <w:bookmarkStart w:id="1411" w:name="_Toc24235"/>
      <w:bookmarkStart w:id="1412" w:name="_Toc4372"/>
      <w:bookmarkStart w:id="1413" w:name="_Toc19448"/>
      <w:bookmarkStart w:id="1414" w:name="_Toc29894"/>
      <w:r>
        <w:rPr>
          <w:rFonts w:hint="default" w:ascii="Times New Roman" w:hAnsi="Times New Roman" w:eastAsia="方正楷体_GBK" w:cs="Times New Roman"/>
          <w:color w:val="auto"/>
          <w:kern w:val="2"/>
          <w:sz w:val="32"/>
          <w:szCs w:val="32"/>
          <w:highlight w:val="none"/>
          <w:u w:val="none" w:color="auto"/>
          <w:lang w:val="en-US" w:eastAsia="zh-CN" w:bidi="ar-SA"/>
        </w:rPr>
        <w:t xml:space="preserve">第一节 </w:t>
      </w:r>
      <w:r>
        <w:rPr>
          <w:rFonts w:hint="default" w:ascii="Times New Roman" w:hAnsi="Times New Roman" w:eastAsia="方正楷体_GBK" w:cs="Times New Roman"/>
          <w:color w:val="auto"/>
          <w:sz w:val="32"/>
          <w:szCs w:val="32"/>
          <w:highlight w:val="none"/>
          <w:u w:val="none" w:color="auto"/>
          <w:lang w:val="en-US" w:eastAsia="zh-CN"/>
        </w:rPr>
        <w:t>推动城市片区更新</w:t>
      </w:r>
      <w:bookmarkEnd w:id="1404"/>
      <w:bookmarkEnd w:id="1405"/>
      <w:bookmarkEnd w:id="1406"/>
      <w:bookmarkEnd w:id="1407"/>
      <w:bookmarkEnd w:id="1408"/>
      <w:bookmarkEnd w:id="1409"/>
      <w:bookmarkEnd w:id="1410"/>
      <w:bookmarkEnd w:id="1411"/>
      <w:bookmarkEnd w:id="1412"/>
      <w:bookmarkEnd w:id="1413"/>
      <w:bookmarkEnd w:id="1414"/>
    </w:p>
    <w:p w14:paraId="17FC390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方正仿宋_GBK" w:cs="Times New Roman"/>
          <w:i w:val="0"/>
          <w:iCs w:val="0"/>
          <w:caps w:val="0"/>
          <w:color w:val="auto"/>
          <w:spacing w:val="0"/>
          <w:kern w:val="2"/>
          <w:sz w:val="32"/>
          <w:szCs w:val="24"/>
          <w:highlight w:val="none"/>
          <w:u w:val="none" w:color="auto"/>
          <w:shd w:val="clear" w:color="auto" w:fill="auto"/>
          <w:lang w:val="en-US" w:eastAsia="zh-CN"/>
        </w:rPr>
      </w:pP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围绕提升城市功能品质、整体风貌和创新生态，</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点线面</w:t>
      </w:r>
      <w:r>
        <w:rPr>
          <w:rFonts w:hint="eastAsia" w:ascii="Times New Roman" w:hAnsi="Times New Roman" w:eastAsia="方正仿宋_GBK" w:cs="方正仿宋_GBK"/>
          <w:i w:val="0"/>
          <w:iCs w:val="0"/>
          <w:caps w:val="0"/>
          <w:color w:val="auto"/>
          <w:spacing w:val="0"/>
          <w:kern w:val="0"/>
          <w:sz w:val="32"/>
          <w:szCs w:val="32"/>
          <w:highlight w:val="none"/>
          <w:u w:val="none" w:color="auto"/>
          <w:shd w:val="clear" w:color="auto" w:fill="FFFFFF"/>
          <w:lang w:val="en-US" w:eastAsia="zh-CN"/>
        </w:rPr>
        <w:t>”</w:t>
      </w:r>
      <w:r>
        <w:rPr>
          <w:rFonts w:hint="default" w:ascii="Times New Roman" w:hAnsi="Times New Roman" w:eastAsia="方正仿宋_GBK" w:cs="Times New Roman"/>
          <w:i w:val="0"/>
          <w:iCs w:val="0"/>
          <w:caps w:val="0"/>
          <w:color w:val="auto"/>
          <w:spacing w:val="0"/>
          <w:kern w:val="0"/>
          <w:sz w:val="32"/>
          <w:szCs w:val="32"/>
          <w:highlight w:val="none"/>
          <w:u w:val="none" w:color="auto"/>
          <w:shd w:val="clear" w:color="auto" w:fill="FFFFFF"/>
          <w:lang w:val="en-US" w:eastAsia="zh-CN"/>
        </w:rPr>
        <w:t>推动老旧小区、风貌街区、老旧楼宇、厂区、商业区等更新改造，一体推进好房子、好小区、好社区、好城区建设。推动长江一路、嘉宾里、枇杷山等片区功能提质，精心打造解放碑等现代化都市风貌展示区，加快实施大坪正街、长滨路沿线、中山三路、燕子岩－飞机码头等重点更新项目，有序推进中山二路、李子坝等重点区域人防地下空间改造提升，高效激活存量资源、精准盘活低效土地。依托核心商圈、商务楼宇等更新植入多元创新业态，打造一批兼具创新孵化、产业集聚、服务配套功能的新型产业载体。</w:t>
      </w:r>
    </w:p>
    <w:p w14:paraId="6616248F">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415" w:name="_Toc19044"/>
      <w:bookmarkStart w:id="1416" w:name="_Toc28161"/>
      <w:bookmarkStart w:id="1417" w:name="_Toc1611"/>
      <w:bookmarkStart w:id="1418" w:name="_Toc14690"/>
      <w:bookmarkStart w:id="1419" w:name="_Toc25309"/>
      <w:bookmarkStart w:id="1420" w:name="_Toc23870"/>
      <w:bookmarkStart w:id="1421" w:name="_Toc11429"/>
      <w:bookmarkStart w:id="1422" w:name="_Toc21174"/>
      <w:bookmarkStart w:id="1423" w:name="_Toc11805"/>
      <w:bookmarkStart w:id="1424" w:name="_Toc19839"/>
      <w:bookmarkStart w:id="1425" w:name="_Toc14766"/>
      <w:r>
        <w:rPr>
          <w:rFonts w:hint="default" w:ascii="Times New Roman" w:hAnsi="Times New Roman" w:eastAsia="方正楷体_GBK" w:cs="Times New Roman"/>
          <w:color w:val="auto"/>
          <w:sz w:val="32"/>
          <w:szCs w:val="32"/>
          <w:highlight w:val="none"/>
          <w:u w:val="none" w:color="auto"/>
          <w:lang w:val="en-US" w:eastAsia="zh-CN"/>
        </w:rPr>
        <w:t>第二节 推进老旧小区改造</w:t>
      </w:r>
      <w:bookmarkEnd w:id="1415"/>
      <w:bookmarkEnd w:id="1416"/>
      <w:bookmarkEnd w:id="1417"/>
      <w:bookmarkEnd w:id="1418"/>
      <w:bookmarkEnd w:id="1419"/>
      <w:bookmarkEnd w:id="1420"/>
      <w:bookmarkEnd w:id="1421"/>
      <w:bookmarkEnd w:id="1422"/>
      <w:bookmarkEnd w:id="1423"/>
      <w:bookmarkEnd w:id="1424"/>
      <w:bookmarkEnd w:id="1425"/>
    </w:p>
    <w:p w14:paraId="34CE78DA">
      <w:pPr>
        <w:keepNext w:val="0"/>
        <w:keepLines w:val="0"/>
        <w:pageBreakBefore w:val="0"/>
        <w:widowControl w:val="0"/>
        <w:numPr>
          <w:ilvl w:val="0"/>
          <w:numId w:val="0"/>
        </w:numPr>
        <w:pBdr>
          <w:top w:val="none" w:color="000000" w:sz="0" w:space="0"/>
          <w:left w:val="none" w:color="000000" w:sz="0" w:space="2"/>
          <w:right w:val="none" w:color="000000" w:sz="0" w:space="0"/>
        </w:pBdr>
        <w:kinsoku/>
        <w:wordWrap/>
        <w:overflowPunct/>
        <w:topLinePunct w:val="0"/>
        <w:autoSpaceDE/>
        <w:autoSpaceDN/>
        <w:bidi w:val="0"/>
        <w:adjustRightInd/>
        <w:snapToGrid/>
        <w:spacing w:line="600" w:lineRule="exact"/>
        <w:ind w:firstLine="640" w:firstLineChars="200"/>
        <w:contextualSpacing/>
        <w:jc w:val="both"/>
        <w:textAlignment w:val="auto"/>
        <w:rPr>
          <w:rFonts w:hint="default" w:ascii="Times New Roman" w:hAnsi="Times New Roman" w:eastAsia="方正仿宋_GB2312"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持续推进老旧小区改造，重点加强电梯更新、消防安全和管线管网隐患等整治，补齐老旧小区社区食堂、养老、托育等公共服务设施短板。大力开展住房安全隐患排查，以C、D级危房和非成套住宅为重点推进城市危旧房改造。</w:t>
      </w:r>
      <w:r>
        <w:rPr>
          <w:rFonts w:hint="eastAsia" w:ascii="Times New Roman" w:hAnsi="Times New Roman" w:eastAsia="方正仿宋_GBK" w:cs="Times New Roman"/>
          <w:color w:val="auto"/>
          <w:kern w:val="0"/>
          <w:sz w:val="32"/>
          <w:szCs w:val="32"/>
          <w:highlight w:val="none"/>
          <w:u w:val="none" w:color="auto"/>
          <w:shd w:val="clear" w:color="auto" w:fill="FFFFFF"/>
          <w:lang w:val="en-US" w:eastAsia="zh-CN" w:bidi="ar-SA"/>
        </w:rPr>
        <w:t>加快推动</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大坪村、下徐家坡等地块老旧住房自主更新、</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原拆原建</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更新。围绕轨道站点、商圈、园区、学校、医院等周边，完善商品住宅、长租公寓、保障性租赁住房等住房供给体系，有效推动职住平衡、产才融合。探索AI+</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城市更新规建运治一体化</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综合场景，</w:t>
      </w:r>
      <w:r>
        <w:rPr>
          <w:rFonts w:hint="default" w:ascii="Times New Roman" w:hAnsi="Times New Roman" w:eastAsia="方正仿宋_GBK" w:cs="Times New Roman"/>
          <w:b w:val="0"/>
          <w:bCs w:val="0"/>
          <w:color w:val="auto"/>
          <w:sz w:val="32"/>
          <w:szCs w:val="32"/>
          <w:highlight w:val="none"/>
          <w:u w:val="none" w:color="auto"/>
        </w:rPr>
        <w:t>打造精准识别需求、主动规划服务、全程智能驱动的城市建设更新新模式。</w:t>
      </w:r>
    </w:p>
    <w:p w14:paraId="0A595F25">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426" w:name="_Toc21640"/>
      <w:bookmarkStart w:id="1427" w:name="_Toc1231"/>
      <w:bookmarkStart w:id="1428" w:name="_Toc9203"/>
      <w:bookmarkStart w:id="1429" w:name="_Toc5549"/>
      <w:bookmarkStart w:id="1430" w:name="_Toc32648"/>
      <w:bookmarkStart w:id="1431" w:name="_Toc22564"/>
      <w:bookmarkStart w:id="1432" w:name="_Toc24948"/>
      <w:bookmarkStart w:id="1433" w:name="_Toc11827"/>
      <w:bookmarkStart w:id="1434" w:name="_Toc4559"/>
      <w:bookmarkStart w:id="1435" w:name="_Toc24430"/>
      <w:bookmarkStart w:id="1436" w:name="_Toc17593"/>
      <w:r>
        <w:rPr>
          <w:rFonts w:hint="default" w:ascii="Times New Roman" w:hAnsi="Times New Roman" w:eastAsia="方正楷体_GBK" w:cs="Times New Roman"/>
          <w:color w:val="auto"/>
          <w:sz w:val="32"/>
          <w:szCs w:val="32"/>
          <w:highlight w:val="none"/>
          <w:u w:val="none" w:color="auto"/>
          <w:lang w:val="en-US" w:eastAsia="zh-CN"/>
        </w:rPr>
        <w:t>第三节 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山城后巷</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活力复兴</w:t>
      </w:r>
      <w:bookmarkEnd w:id="1426"/>
      <w:bookmarkEnd w:id="1427"/>
      <w:bookmarkEnd w:id="1428"/>
      <w:bookmarkEnd w:id="1429"/>
      <w:bookmarkEnd w:id="1430"/>
      <w:bookmarkEnd w:id="1431"/>
      <w:bookmarkEnd w:id="1432"/>
      <w:bookmarkEnd w:id="1433"/>
      <w:bookmarkEnd w:id="1434"/>
      <w:bookmarkEnd w:id="1435"/>
      <w:bookmarkEnd w:id="1436"/>
    </w:p>
    <w:p w14:paraId="335B14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扎实开展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山城后巷</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整体提升，融合建设生活、消费、文旅、创业新场景。</w:t>
      </w:r>
      <w:r>
        <w:rPr>
          <w:rFonts w:hint="default" w:ascii="Times New Roman" w:hAnsi="Times New Roman" w:eastAsia="方正仿宋_GBK" w:cs="Times New Roman"/>
          <w:b w:val="0"/>
          <w:bCs w:val="0"/>
          <w:color w:val="auto"/>
          <w:sz w:val="32"/>
          <w:szCs w:val="32"/>
          <w:highlight w:val="none"/>
          <w:u w:val="none" w:color="auto"/>
          <w:lang w:val="en-US" w:eastAsia="zh-CN"/>
        </w:rPr>
        <w:t>聚焦交通枢纽站点、核心商圈等周边街区，开展背街小巷整治提升，延续街区建筑风格和文化脉络，大力发展</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后巷经济</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，连片推动山城巷二期、大井巷等居住类街区更新，统筹实施重庆站周边街区更新，塑造富有烟火气、人情味和幸福感的消费新场景。推动非标商业赋能后巷经济，</w:t>
      </w:r>
      <w:r>
        <w:rPr>
          <w:rFonts w:hint="default" w:ascii="Times New Roman" w:hAnsi="Times New Roman" w:eastAsia="方正仿宋_GBK" w:cs="Times New Roman"/>
          <w:color w:val="auto"/>
          <w:kern w:val="0"/>
          <w:sz w:val="31"/>
          <w:szCs w:val="31"/>
          <w:highlight w:val="none"/>
          <w:u w:val="none" w:color="auto"/>
          <w:lang w:val="en-US" w:eastAsia="zh-CN" w:bidi="ar"/>
        </w:rPr>
        <w:t>推广贰厂、妙街等商业运营带动城市自主更新模式，新建枇杷山、马鞍山等主理人街区，打造串珠成链、创新引领的非标商业新高地</w:t>
      </w:r>
      <w:r>
        <w:rPr>
          <w:rFonts w:hint="default" w:ascii="Times New Roman" w:hAnsi="Times New Roman" w:eastAsia="方正仿宋_GBK" w:cs="Times New Roman"/>
          <w:b w:val="0"/>
          <w:bCs w:val="0"/>
          <w:color w:val="auto"/>
          <w:sz w:val="32"/>
          <w:szCs w:val="32"/>
          <w:highlight w:val="none"/>
          <w:u w:val="none" w:color="auto"/>
          <w:lang w:val="en-US" w:eastAsia="zh-CN"/>
        </w:rPr>
        <w:t>。</w:t>
      </w:r>
    </w:p>
    <w:p w14:paraId="2969BD1B">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437" w:name="_Toc11871"/>
      <w:bookmarkStart w:id="1438" w:name="_Toc3878"/>
      <w:bookmarkStart w:id="1439" w:name="_Toc15559"/>
      <w:bookmarkStart w:id="1440" w:name="_Toc5489"/>
      <w:bookmarkStart w:id="1441" w:name="_Toc12848"/>
      <w:bookmarkStart w:id="1442" w:name="_Toc29000"/>
      <w:bookmarkStart w:id="1443" w:name="_Toc9584"/>
      <w:bookmarkStart w:id="1444" w:name="_Toc8830"/>
      <w:bookmarkStart w:id="1445" w:name="_Toc112"/>
      <w:bookmarkStart w:id="1446" w:name="_Toc11469"/>
      <w:bookmarkStart w:id="1447" w:name="_Toc8650"/>
      <w:r>
        <w:rPr>
          <w:rFonts w:hint="default" w:ascii="Times New Roman" w:hAnsi="Times New Roman" w:eastAsia="方正楷体_GBK" w:cs="Times New Roman"/>
          <w:color w:val="auto"/>
          <w:sz w:val="32"/>
          <w:szCs w:val="32"/>
          <w:highlight w:val="none"/>
          <w:u w:val="none" w:color="auto"/>
          <w:lang w:val="en-US" w:eastAsia="zh-CN"/>
        </w:rPr>
        <w:t>第四节 创新多元推进机制</w:t>
      </w:r>
      <w:bookmarkEnd w:id="1437"/>
      <w:bookmarkEnd w:id="1438"/>
      <w:bookmarkEnd w:id="1439"/>
      <w:bookmarkEnd w:id="1440"/>
      <w:bookmarkEnd w:id="1441"/>
      <w:bookmarkEnd w:id="1442"/>
      <w:bookmarkEnd w:id="1443"/>
      <w:bookmarkEnd w:id="1444"/>
      <w:bookmarkEnd w:id="1445"/>
      <w:bookmarkEnd w:id="1446"/>
      <w:bookmarkEnd w:id="1447"/>
    </w:p>
    <w:p w14:paraId="1BB757D0">
      <w:pPr>
        <w:keepNext w:val="0"/>
        <w:keepLines w:val="0"/>
        <w:pageBreakBefore w:val="0"/>
        <w:widowControl w:val="0"/>
        <w:numPr>
          <w:ilvl w:val="0"/>
          <w:numId w:val="0"/>
        </w:numPr>
        <w:pBdr>
          <w:top w:val="none" w:color="000000" w:sz="0" w:space="0"/>
          <w:left w:val="none" w:color="000000" w:sz="0" w:space="2"/>
          <w:right w:val="none" w:color="000000" w:sz="0" w:space="0"/>
        </w:pBdr>
        <w:kinsoku/>
        <w:wordWrap/>
        <w:overflowPunct/>
        <w:topLinePunct w:val="0"/>
        <w:autoSpaceDE/>
        <w:autoSpaceDN/>
        <w:bidi w:val="0"/>
        <w:adjustRightInd/>
        <w:snapToGrid/>
        <w:spacing w:line="600" w:lineRule="exact"/>
        <w:ind w:firstLine="640" w:firstLineChars="200"/>
        <w:contextualSpacing/>
        <w:jc w:val="both"/>
        <w:textAlignment w:val="auto"/>
        <w:rPr>
          <w:rFonts w:hint="default" w:ascii="Times New Roman" w:hAnsi="Times New Roman" w:eastAsia="方正仿宋_GBK" w:cs="Times New Roman"/>
          <w:color w:val="auto"/>
          <w:kern w:val="0"/>
          <w:sz w:val="32"/>
          <w:szCs w:val="32"/>
          <w:highlight w:val="none"/>
          <w:u w:val="none" w:color="auto"/>
          <w:shd w:val="clear" w:color="auto" w:fill="FFFFFF"/>
        </w:rPr>
      </w:pP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健全</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专项规划—片区策划—实施方案</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的传导体系，多跨协同推进城市更新项目谋划及实施。</w:t>
      </w:r>
      <w:r>
        <w:rPr>
          <w:rFonts w:hint="default" w:ascii="Times New Roman" w:hAnsi="Times New Roman" w:eastAsia="方正仿宋_GBK" w:cs="Times New Roman"/>
          <w:b w:val="0"/>
          <w:bCs w:val="0"/>
          <w:color w:val="auto"/>
          <w:spacing w:val="0"/>
          <w:sz w:val="32"/>
          <w:szCs w:val="32"/>
          <w:highlight w:val="none"/>
          <w:u w:val="none" w:color="auto"/>
          <w:lang w:val="en-US" w:eastAsia="zh-CN"/>
        </w:rPr>
        <w:t>开展城市体检，完善城市更新政策体系，用好新型政策性金融工具，推进土地混合开发利用、用途合理转换</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bidi="ar-SA"/>
        </w:rPr>
        <w:t>。</w:t>
      </w:r>
      <w:r>
        <w:rPr>
          <w:rFonts w:hint="default" w:ascii="Times New Roman" w:hAnsi="Times New Roman" w:eastAsia="方正仿宋_GBK" w:cs="Times New Roman"/>
          <w:color w:val="auto"/>
          <w:spacing w:val="0"/>
          <w:sz w:val="32"/>
          <w:szCs w:val="32"/>
          <w:highlight w:val="none"/>
          <w:u w:val="none" w:color="auto"/>
          <w:lang w:val="en-US" w:eastAsia="zh-CN" w:bidi="ar-SA"/>
        </w:rPr>
        <w:t>积极推进绿色空间一体化治理，实现规划绿地平衡。</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rPr>
        <w:t>迭代完善</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rPr>
        <w:t>1+1+N</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rPr>
        <w:t>政策体系，健全土地、规划、消防、金融等配套政策，持续扩展政策</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rPr>
        <w:t>工具箱</w:t>
      </w:r>
      <w:r>
        <w:rPr>
          <w:rFonts w:hint="eastAsia" w:ascii="Times New Roman" w:hAnsi="Times New Roman" w:eastAsia="方正仿宋_GBK" w:cs="方正仿宋_GBK"/>
          <w:color w:val="auto"/>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lang w:val="en-US"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rPr>
        <w:t>强化</w:t>
      </w:r>
      <w:r>
        <w:rPr>
          <w:rFonts w:hint="eastAsia" w:ascii="Times New Roman" w:hAnsi="Times New Roman" w:eastAsia="方正仿宋_GBK" w:cs="方正仿宋_GBK"/>
          <w:color w:val="auto"/>
          <w:kern w:val="0"/>
          <w:sz w:val="32"/>
          <w:szCs w:val="32"/>
          <w:highlight w:val="none"/>
          <w:u w:val="none" w:color="auto"/>
          <w:shd w:val="clear" w:color="auto" w:fill="FFFFFF"/>
          <w:lang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rPr>
        <w:t>政金企</w:t>
      </w:r>
      <w:r>
        <w:rPr>
          <w:rFonts w:hint="eastAsia" w:ascii="Times New Roman" w:hAnsi="Times New Roman" w:eastAsia="方正仿宋_GBK" w:cs="方正仿宋_GBK"/>
          <w:color w:val="auto"/>
          <w:kern w:val="0"/>
          <w:sz w:val="32"/>
          <w:szCs w:val="32"/>
          <w:highlight w:val="none"/>
          <w:u w:val="none" w:color="auto"/>
          <w:shd w:val="clear" w:color="auto" w:fill="FFFFFF"/>
          <w:lang w:eastAsia="zh-CN"/>
        </w:rPr>
        <w:t>”</w:t>
      </w:r>
      <w:r>
        <w:rPr>
          <w:rFonts w:hint="default" w:ascii="Times New Roman" w:hAnsi="Times New Roman" w:eastAsia="方正仿宋_GBK" w:cs="Times New Roman"/>
          <w:color w:val="auto"/>
          <w:kern w:val="0"/>
          <w:sz w:val="32"/>
          <w:szCs w:val="32"/>
          <w:highlight w:val="none"/>
          <w:u w:val="none" w:color="auto"/>
          <w:shd w:val="clear" w:color="auto" w:fill="FFFFFF"/>
        </w:rPr>
        <w:t>协作，共同开展城市更新金融服务政策和产品研究。</w:t>
      </w:r>
      <w:r>
        <w:rPr>
          <w:rFonts w:hint="default" w:ascii="Times New Roman" w:hAnsi="Times New Roman" w:eastAsia="方正仿宋_GBK" w:cs="Times New Roman"/>
          <w:color w:val="auto"/>
          <w:sz w:val="32"/>
          <w:szCs w:val="40"/>
          <w:highlight w:val="none"/>
          <w:u w:val="none" w:color="auto"/>
          <w:lang w:val="en-US" w:eastAsia="zh-CN"/>
        </w:rPr>
        <w:t>引导房屋产权人以直接出资、使用住宅专项维修资金、让渡小区公共收益等方式，分担城市更新建设资金成本，通过</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政府引导+市场化运作+公众参与</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激发多元主体投资活力。</w:t>
      </w:r>
    </w:p>
    <w:p w14:paraId="5D35D6E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center"/>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专栏11 高质量开展可持续城市更新重点项目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EA4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C0F34FC">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1.存量地块。</w:t>
            </w:r>
            <w:r>
              <w:rPr>
                <w:rFonts w:hint="default" w:ascii="Times New Roman" w:hAnsi="Times New Roman" w:eastAsia="方正仿宋_GBK" w:cs="Times New Roman"/>
                <w:color w:val="auto"/>
                <w:sz w:val="24"/>
                <w:highlight w:val="none"/>
                <w:u w:val="none" w:color="auto"/>
              </w:rPr>
              <w:t>八县办地块</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交通大学地块项目</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彭家花园地块</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新都巷地块更新改造</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上肖家湾地块</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嘉陵新村6号地块</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嘉陵新村7号更新改造工程</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嘉陵新村9号更新改造工程</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鹅项颈地块</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东升楼更新改造工程</w:t>
            </w:r>
            <w:r>
              <w:rPr>
                <w:rFonts w:hint="default" w:ascii="Times New Roman" w:hAnsi="Times New Roman" w:eastAsia="方正仿宋_GBK" w:cs="Times New Roman"/>
                <w:color w:val="auto"/>
                <w:sz w:val="24"/>
                <w:highlight w:val="none"/>
                <w:u w:val="none" w:color="auto"/>
                <w:lang w:val="en-US" w:eastAsia="zh-CN"/>
              </w:rPr>
              <w:t>等。</w:t>
            </w:r>
          </w:p>
          <w:p w14:paraId="0BF1F7AD">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2.片区更新。</w:t>
            </w:r>
            <w:r>
              <w:rPr>
                <w:rFonts w:hint="default" w:ascii="Times New Roman" w:hAnsi="Times New Roman" w:eastAsia="方正仿宋_GBK" w:cs="Times New Roman"/>
                <w:color w:val="auto"/>
                <w:sz w:val="24"/>
                <w:szCs w:val="24"/>
                <w:highlight w:val="none"/>
                <w:u w:val="none" w:color="auto"/>
                <w:vertAlign w:val="baseline"/>
                <w:lang w:val="en-US" w:eastAsia="zh-CN"/>
              </w:rPr>
              <w:t>长滨片区、大坪正街、中山三路、金银湾、煤建新村、枇杷山、捍卫路、黄花园、</w:t>
            </w:r>
            <w:r>
              <w:rPr>
                <w:rFonts w:hint="default" w:ascii="Times New Roman" w:hAnsi="Times New Roman" w:eastAsia="方正仿宋_GBK" w:cs="Times New Roman"/>
                <w:color w:val="auto"/>
                <w:sz w:val="24"/>
                <w:highlight w:val="none"/>
                <w:u w:val="none" w:color="auto"/>
              </w:rPr>
              <w:t>磨房巷</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白象居等城市片区更新。</w:t>
            </w:r>
          </w:p>
          <w:p w14:paraId="23F96111">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3.老旧小区。</w:t>
            </w:r>
            <w:r>
              <w:rPr>
                <w:rFonts w:hint="default" w:ascii="Times New Roman" w:hAnsi="Times New Roman" w:eastAsia="方正仿宋_GBK" w:cs="Times New Roman"/>
                <w:color w:val="auto"/>
                <w:sz w:val="24"/>
                <w:szCs w:val="24"/>
                <w:highlight w:val="none"/>
                <w:u w:val="none" w:color="auto"/>
                <w:vertAlign w:val="baseline"/>
                <w:lang w:val="en-US" w:eastAsia="zh-CN"/>
              </w:rPr>
              <w:t>解放碑莲花池、七星岗华一坡、南纪门片区、人民村社区及人民路沿线、七牌坊片区、煤建新村B片区、电视塔村等老旧小区基础设施建设工程。</w:t>
            </w:r>
          </w:p>
          <w:p w14:paraId="569DF184">
            <w:pPr>
              <w:keepNext w:val="0"/>
              <w:keepLines w:val="0"/>
              <w:pageBreakBefore w:val="0"/>
              <w:widowControl w:val="0"/>
              <w:numPr>
                <w:ilvl w:val="0"/>
                <w:numId w:val="0"/>
              </w:numPr>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4.山城后巷。</w:t>
            </w:r>
            <w:r>
              <w:rPr>
                <w:rFonts w:hint="default" w:ascii="Times New Roman" w:hAnsi="Times New Roman" w:eastAsia="方正仿宋_GBK" w:cs="Times New Roman"/>
                <w:color w:val="auto"/>
                <w:sz w:val="24"/>
                <w:szCs w:val="24"/>
                <w:highlight w:val="none"/>
                <w:u w:val="none" w:color="auto"/>
                <w:vertAlign w:val="baseline"/>
                <w:lang w:val="en-US" w:eastAsia="zh-CN"/>
              </w:rPr>
              <w:t>山城巷传统风貌区二期项目，枇杷山老街区项目（D区），能仁寺周边环境品质提升工程，领事巷片区城市更新项目，印制二厂老旧小区南区管网改造工程，十八梯整体提升，嘉陵新路至鹅岭贰厂沿线，嘉宾里城市功能品质提升项目，鲁祖庙周边（中华巷、民生路）环境提升工程。</w:t>
            </w:r>
          </w:p>
        </w:tc>
      </w:tr>
      <w:bookmarkEnd w:id="1400"/>
    </w:tbl>
    <w:p w14:paraId="02FC714A">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448" w:name="_Toc21391"/>
      <w:bookmarkStart w:id="1449" w:name="_Toc8312"/>
      <w:bookmarkStart w:id="1450" w:name="_Toc21542"/>
      <w:bookmarkStart w:id="1451" w:name="_Toc13774"/>
      <w:bookmarkStart w:id="1452" w:name="_Toc10332"/>
      <w:bookmarkStart w:id="1453" w:name="_Toc11831"/>
      <w:bookmarkStart w:id="1454" w:name="_Toc7068"/>
      <w:bookmarkStart w:id="1455" w:name="_Toc26389"/>
      <w:bookmarkStart w:id="1456" w:name="_Toc23257"/>
      <w:bookmarkStart w:id="1457" w:name="_Toc13100"/>
      <w:bookmarkStart w:id="1458" w:name="_Toc31190"/>
      <w:bookmarkStart w:id="1459" w:name="_Toc28642"/>
      <w:bookmarkStart w:id="1460" w:name="_Toc25984"/>
      <w:bookmarkStart w:id="1461" w:name="_Toc31451"/>
      <w:r>
        <w:rPr>
          <w:rFonts w:hint="default" w:ascii="Times New Roman" w:hAnsi="Times New Roman" w:eastAsia="方正黑体_GBK" w:cs="Times New Roman"/>
          <w:color w:val="auto"/>
          <w:sz w:val="32"/>
          <w:szCs w:val="32"/>
          <w:highlight w:val="none"/>
          <w:u w:val="none" w:color="auto"/>
          <w:lang w:val="en-US" w:eastAsia="zh-CN"/>
        </w:rPr>
        <w:t xml:space="preserve">第三十四章 </w:t>
      </w:r>
      <w:bookmarkEnd w:id="1448"/>
      <w:bookmarkEnd w:id="1449"/>
      <w:r>
        <w:rPr>
          <w:rFonts w:hint="default" w:ascii="Times New Roman" w:hAnsi="Times New Roman" w:eastAsia="方正黑体_GBK" w:cs="Times New Roman"/>
          <w:color w:val="auto"/>
          <w:sz w:val="32"/>
          <w:szCs w:val="32"/>
          <w:highlight w:val="none"/>
          <w:u w:val="none" w:color="auto"/>
          <w:lang w:val="en-US" w:eastAsia="zh-CN"/>
        </w:rPr>
        <w:t>推动现代化基础设施建设提质</w:t>
      </w:r>
      <w:bookmarkEnd w:id="1450"/>
      <w:bookmarkEnd w:id="1451"/>
      <w:bookmarkEnd w:id="1452"/>
      <w:bookmarkEnd w:id="1453"/>
      <w:bookmarkEnd w:id="1454"/>
      <w:bookmarkEnd w:id="1455"/>
      <w:bookmarkEnd w:id="1456"/>
      <w:bookmarkEnd w:id="1457"/>
      <w:bookmarkEnd w:id="1458"/>
      <w:bookmarkEnd w:id="1459"/>
      <w:bookmarkEnd w:id="1460"/>
      <w:bookmarkEnd w:id="1461"/>
    </w:p>
    <w:p w14:paraId="755D47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对标超大城市中心城区安全韧性要求，聚焦交通拥堵、停车难等突出短板，统筹存量和增量，构建融合高效、智能绿色的基础设施网络。</w:t>
      </w:r>
    </w:p>
    <w:p w14:paraId="17CFCFE1">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462" w:name="_Toc26301"/>
      <w:bookmarkStart w:id="1463" w:name="_Toc17396"/>
      <w:bookmarkStart w:id="1464" w:name="_Toc28464"/>
      <w:bookmarkStart w:id="1465" w:name="_Toc18165"/>
      <w:bookmarkStart w:id="1466" w:name="_Toc12543"/>
      <w:bookmarkStart w:id="1467" w:name="_Toc27982"/>
      <w:bookmarkStart w:id="1468" w:name="_Toc17962"/>
      <w:bookmarkStart w:id="1469" w:name="_Toc25590"/>
      <w:bookmarkStart w:id="1470" w:name="_Toc17122"/>
      <w:bookmarkStart w:id="1471" w:name="_Toc14342"/>
      <w:bookmarkStart w:id="1472" w:name="_Toc28994"/>
      <w:bookmarkStart w:id="1473" w:name="_Toc19713"/>
      <w:bookmarkStart w:id="1474" w:name="_Toc23673"/>
      <w:bookmarkStart w:id="1475" w:name="_Toc8619"/>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 xml:space="preserve">第一节 </w:t>
      </w:r>
      <w:bookmarkEnd w:id="1462"/>
      <w:bookmarkEnd w:id="1463"/>
      <w:r>
        <w:rPr>
          <w:rFonts w:hint="default" w:ascii="Times New Roman" w:hAnsi="Times New Roman" w:eastAsia="方正楷体_GBK" w:cs="Times New Roman"/>
          <w:b w:val="0"/>
          <w:bCs w:val="0"/>
          <w:color w:val="auto"/>
          <w:sz w:val="32"/>
          <w:szCs w:val="32"/>
          <w:highlight w:val="none"/>
          <w:u w:val="none" w:color="auto"/>
          <w:lang w:val="en-US" w:eastAsia="zh-CN"/>
        </w:rPr>
        <w:t>构建内畅外联的综合交通体系</w:t>
      </w:r>
      <w:bookmarkEnd w:id="1464"/>
      <w:bookmarkEnd w:id="1465"/>
      <w:bookmarkEnd w:id="1466"/>
      <w:bookmarkEnd w:id="1467"/>
      <w:bookmarkEnd w:id="1468"/>
      <w:bookmarkEnd w:id="1469"/>
      <w:bookmarkEnd w:id="1470"/>
      <w:bookmarkEnd w:id="1471"/>
      <w:bookmarkEnd w:id="1472"/>
      <w:bookmarkEnd w:id="1473"/>
      <w:bookmarkEnd w:id="1474"/>
      <w:bookmarkEnd w:id="1475"/>
    </w:p>
    <w:p w14:paraId="2930F80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color w:val="auto"/>
          <w:spacing w:val="-6"/>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强化与对外开放重要节点、铁路枢纽直联直通，加快重庆站建设，提升区域互联互通能级。完善</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轨道+公交+步道</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便捷通勤换乘系统，建成投用轨道18号线北延伸段，提速建设</w:t>
      </w:r>
      <w:r>
        <w:rPr>
          <w:rFonts w:hint="default" w:ascii="Times New Roman" w:hAnsi="Times New Roman" w:eastAsia="方正仿宋_GBK" w:cs="Times New Roman"/>
          <w:color w:val="auto"/>
          <w:sz w:val="32"/>
          <w:szCs w:val="32"/>
          <w:highlight w:val="none"/>
          <w:u w:val="none" w:color="auto"/>
          <w:lang w:val="en-US" w:eastAsia="zh-CN"/>
        </w:rPr>
        <w:t>渝湘高铁（渝中区段）</w:t>
      </w:r>
      <w:r>
        <w:rPr>
          <w:rFonts w:hint="default" w:ascii="Times New Roman" w:hAnsi="Times New Roman" w:eastAsia="方正仿宋_GBK" w:cs="Times New Roman"/>
          <w:b w:val="0"/>
          <w:bCs w:val="0"/>
          <w:color w:val="auto"/>
          <w:sz w:val="32"/>
          <w:szCs w:val="32"/>
          <w:highlight w:val="none"/>
          <w:u w:val="none" w:color="auto"/>
          <w:lang w:val="en-US" w:eastAsia="zh-CN"/>
        </w:rPr>
        <w:t>、轨道27号线等重大项目，推动轨道26号线纳入重庆市轨道交通第五期计划，优化接驳公交线路，持续建设人行过街设施，提高步行系统便利性，提升公共交通整体吸引力。深入</w:t>
      </w:r>
      <w:r>
        <w:rPr>
          <w:rFonts w:hint="default" w:ascii="Times New Roman" w:hAnsi="Times New Roman" w:eastAsia="方正仿宋_GBK" w:cs="Times New Roman"/>
          <w:color w:val="auto"/>
          <w:sz w:val="32"/>
          <w:szCs w:val="32"/>
          <w:highlight w:val="none"/>
          <w:u w:val="none" w:color="auto"/>
          <w:lang w:val="en-US" w:eastAsia="zh-CN"/>
        </w:rPr>
        <w:t>完善城市内部路网，加快完成曾家岩嘉陵江大桥人民路支线、化龙桥立交等重要道路建设，提升城市内部道路通行能力。</w:t>
      </w:r>
      <w:r>
        <w:rPr>
          <w:rFonts w:hint="default" w:ascii="Times New Roman" w:hAnsi="Times New Roman" w:eastAsia="方正仿宋_GBK" w:cs="Times New Roman"/>
          <w:b w:val="0"/>
          <w:bCs w:val="0"/>
          <w:color w:val="auto"/>
          <w:sz w:val="32"/>
          <w:szCs w:val="32"/>
          <w:highlight w:val="none"/>
          <w:u w:val="none" w:color="auto"/>
          <w:lang w:val="en-US" w:eastAsia="zh-CN"/>
        </w:rPr>
        <w:t>畅通母城核心区道路微循环，持续推进十八梯片区道路、红云路等道路项目，实施牛角沱、大溪沟、南区路等拥堵道路</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畅行</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优化工程，畅通城市</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毛细血管</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持续完善地下交通，完成重医附一院地下通道项目建设，缓解地面交通压力。</w:t>
      </w:r>
      <w:r>
        <w:rPr>
          <w:rFonts w:hint="default" w:ascii="Times New Roman" w:hAnsi="Times New Roman" w:eastAsia="方正仿宋_GBK" w:cs="Times New Roman"/>
          <w:b w:val="0"/>
          <w:bCs w:val="0"/>
          <w:color w:val="auto"/>
          <w:sz w:val="32"/>
          <w:szCs w:val="32"/>
          <w:highlight w:val="none"/>
          <w:u w:val="none" w:color="auto"/>
          <w:lang w:val="en-US" w:eastAsia="zh-CN"/>
        </w:rPr>
        <w:t>推动山城步道、两岸亲水步道体系建设，深化与产业街区、重点商圈的联动互通，拓展空间价值。优化停车位供给管理，</w:t>
      </w:r>
      <w:r>
        <w:rPr>
          <w:rFonts w:hint="default" w:ascii="Times New Roman" w:hAnsi="Times New Roman" w:eastAsia="方正仿宋_GBK" w:cs="Times New Roman"/>
          <w:b w:val="0"/>
          <w:bCs w:val="0"/>
          <w:color w:val="auto"/>
          <w:spacing w:val="-6"/>
          <w:sz w:val="32"/>
          <w:szCs w:val="32"/>
          <w:highlight w:val="none"/>
          <w:u w:val="none" w:color="auto"/>
          <w:lang w:val="en-US" w:eastAsia="zh-CN"/>
        </w:rPr>
        <w:t>推动医院、商圈、景区等高需求场所与周边停车资源共享，促进停车资源全天错峰高效利用。</w:t>
      </w:r>
    </w:p>
    <w:p w14:paraId="35D9F7F4">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cs="Times New Roman"/>
          <w:color w:val="auto"/>
          <w:highlight w:val="none"/>
          <w:u w:val="none" w:color="auto"/>
          <w:lang w:val="en-US"/>
        </w:rPr>
      </w:pPr>
      <w:bookmarkStart w:id="1476" w:name="_Toc24374"/>
      <w:bookmarkStart w:id="1477" w:name="_Toc5141"/>
      <w:bookmarkStart w:id="1478" w:name="_Toc25419"/>
      <w:bookmarkStart w:id="1479" w:name="_Toc9704"/>
      <w:bookmarkStart w:id="1480" w:name="_Toc2815"/>
      <w:bookmarkStart w:id="1481" w:name="_Toc21456"/>
      <w:bookmarkStart w:id="1482" w:name="_Toc29870"/>
      <w:bookmarkStart w:id="1483" w:name="_Toc28683"/>
      <w:bookmarkStart w:id="1484" w:name="_Toc10821"/>
      <w:bookmarkStart w:id="1485" w:name="_Toc17174"/>
      <w:bookmarkStart w:id="1486" w:name="_Toc9030"/>
      <w:bookmarkStart w:id="1487" w:name="_Toc802"/>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第二节 提质升级市政基础设施</w:t>
      </w:r>
      <w:bookmarkEnd w:id="1476"/>
      <w:bookmarkEnd w:id="1477"/>
      <w:bookmarkEnd w:id="1478"/>
      <w:bookmarkEnd w:id="1479"/>
      <w:bookmarkEnd w:id="1480"/>
      <w:bookmarkEnd w:id="1481"/>
      <w:bookmarkEnd w:id="1482"/>
      <w:bookmarkEnd w:id="1483"/>
      <w:bookmarkEnd w:id="1484"/>
      <w:bookmarkEnd w:id="1485"/>
      <w:bookmarkEnd w:id="1486"/>
      <w:bookmarkEnd w:id="1487"/>
    </w:p>
    <w:p w14:paraId="2745AE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加快老旧管网改造更新，重点开展重庆站站北路等路段管网改造，确保漏损率控制在8%以内</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。构建管网智</w:t>
      </w:r>
      <w:r>
        <w:rPr>
          <w:rFonts w:hint="default" w:ascii="Times New Roman" w:hAnsi="Times New Roman" w:eastAsia="方正仿宋_GBK" w:cs="Times New Roman"/>
          <w:color w:val="auto"/>
          <w:sz w:val="32"/>
          <w:szCs w:val="32"/>
          <w:highlight w:val="none"/>
          <w:u w:val="none" w:color="auto"/>
          <w:lang w:val="en-US" w:eastAsia="zh-CN"/>
        </w:rPr>
        <w:t>慧监测系统，加快实施排水系统雨污分流改造工程，基本实现全域雨污分流，</w:t>
      </w:r>
      <w:r>
        <w:rPr>
          <w:rFonts w:hint="default" w:ascii="Times New Roman" w:hAnsi="Times New Roman" w:eastAsia="方正仿宋_GBK" w:cs="Times New Roman"/>
          <w:b w:val="0"/>
          <w:bCs w:val="0"/>
          <w:color w:val="auto"/>
          <w:sz w:val="32"/>
          <w:szCs w:val="32"/>
          <w:highlight w:val="none"/>
          <w:u w:val="none" w:color="auto"/>
          <w:lang w:val="en-US" w:eastAsia="zh-CN"/>
        </w:rPr>
        <w:t>推动城市生活污水集中收集率达到85%以上。</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开展</w:t>
      </w:r>
      <w:r>
        <w:rPr>
          <w:rFonts w:hint="default" w:ascii="Times New Roman" w:hAnsi="Times New Roman" w:eastAsia="方正仿宋_GBK" w:cs="Times New Roman"/>
          <w:b w:val="0"/>
          <w:bCs w:val="0"/>
          <w:color w:val="auto"/>
          <w:sz w:val="32"/>
          <w:szCs w:val="32"/>
          <w:highlight w:val="none"/>
          <w:u w:val="none" w:color="auto"/>
          <w:lang w:val="en-US" w:eastAsia="zh-CN"/>
        </w:rPr>
        <w:t>城镇燃气安全排查整治，</w:t>
      </w:r>
      <w:r>
        <w:rPr>
          <w:rFonts w:hint="default" w:ascii="Times New Roman" w:hAnsi="Times New Roman" w:eastAsia="方正仿宋_GBK" w:cs="Times New Roman"/>
          <w:color w:val="auto"/>
          <w:sz w:val="32"/>
          <w:szCs w:val="32"/>
          <w:highlight w:val="none"/>
          <w:u w:val="none" w:color="auto"/>
          <w:lang w:eastAsia="zh-CN"/>
        </w:rPr>
        <w:t>老旧燃气管网改造完成率</w:t>
      </w:r>
      <w:r>
        <w:rPr>
          <w:rFonts w:hint="default" w:ascii="Times New Roman" w:hAnsi="Times New Roman" w:eastAsia="方正仿宋_GBK" w:cs="Times New Roman"/>
          <w:color w:val="auto"/>
          <w:sz w:val="32"/>
          <w:szCs w:val="32"/>
          <w:highlight w:val="none"/>
          <w:u w:val="none" w:color="auto"/>
          <w:lang w:val="en-US" w:eastAsia="zh-CN"/>
        </w:rPr>
        <w:t>达到100%。提升</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供水保障能力，实施渝中区水厂改扩建。</w:t>
      </w:r>
      <w:r>
        <w:rPr>
          <w:rFonts w:hint="default" w:ascii="Times New Roman" w:hAnsi="Times New Roman" w:eastAsia="方正仿宋_GBK" w:cs="Times New Roman"/>
          <w:color w:val="auto"/>
          <w:sz w:val="32"/>
          <w:szCs w:val="32"/>
          <w:highlight w:val="none"/>
          <w:u w:val="none" w:color="auto"/>
          <w:lang w:val="en-US" w:eastAsia="zh-CN"/>
        </w:rPr>
        <w:t>配置智能垃圾收集、化粪池监测等环卫设备，完成新改建公厕40座。统筹</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开展海绵城市建设和城市内涝治理，</w:t>
      </w:r>
      <w:r>
        <w:rPr>
          <w:rFonts w:hint="default" w:ascii="Times New Roman" w:hAnsi="Times New Roman" w:eastAsia="方正仿宋_GBK" w:cs="Times New Roman"/>
          <w:color w:val="auto"/>
          <w:sz w:val="32"/>
          <w:szCs w:val="32"/>
          <w:highlight w:val="none"/>
          <w:u w:val="none" w:color="auto"/>
        </w:rPr>
        <w:t>加强排涝管渠涵闸等设施设备检查和安全监测设施配置</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推进</w:t>
      </w:r>
      <w:r>
        <w:rPr>
          <w:rFonts w:hint="default" w:ascii="Times New Roman" w:hAnsi="Times New Roman" w:eastAsia="方正仿宋_GBK" w:cs="Times New Roman"/>
          <w:color w:val="auto"/>
          <w:sz w:val="32"/>
          <w:szCs w:val="32"/>
          <w:highlight w:val="none"/>
          <w:u w:val="none" w:color="auto"/>
        </w:rPr>
        <w:t>防洪重点区域</w:t>
      </w:r>
      <w:r>
        <w:rPr>
          <w:rFonts w:hint="default" w:ascii="Times New Roman" w:hAnsi="Times New Roman" w:eastAsia="方正仿宋_GBK" w:cs="Times New Roman"/>
          <w:color w:val="auto"/>
          <w:sz w:val="32"/>
          <w:szCs w:val="32"/>
          <w:highlight w:val="none"/>
          <w:u w:val="none" w:color="auto"/>
          <w:lang w:val="en-US" w:eastAsia="zh-CN"/>
        </w:rPr>
        <w:t>和薄弱环节动态管理，实施</w:t>
      </w:r>
      <w:r>
        <w:rPr>
          <w:rFonts w:hint="default" w:ascii="Times New Roman" w:hAnsi="Times New Roman" w:eastAsia="方正仿宋_GBK" w:cs="Times New Roman"/>
          <w:color w:val="auto"/>
          <w:sz w:val="32"/>
          <w:szCs w:val="32"/>
          <w:highlight w:val="none"/>
          <w:u w:val="none" w:color="auto"/>
        </w:rPr>
        <w:t>堤线布置和河流护岸工程</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提升城市韧性</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加快布局超快充、换电站等新型基础设施，提升城市基础设施服务能力。</w:t>
      </w:r>
    </w:p>
    <w:p w14:paraId="6C357DE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488" w:name="_Toc29989"/>
      <w:bookmarkStart w:id="1489" w:name="_Toc27993"/>
      <w:bookmarkStart w:id="1490" w:name="_Toc2751"/>
      <w:bookmarkStart w:id="1491" w:name="_Toc4384"/>
      <w:r>
        <w:rPr>
          <w:rFonts w:hint="default" w:ascii="Times New Roman" w:hAnsi="Times New Roman" w:eastAsia="方正楷体_GBK" w:cs="Times New Roman"/>
          <w:b w:val="0"/>
          <w:bCs w:val="0"/>
          <w:color w:val="auto"/>
          <w:sz w:val="32"/>
          <w:szCs w:val="32"/>
          <w:highlight w:val="none"/>
          <w:u w:val="none" w:color="auto"/>
          <w:lang w:val="en-US" w:eastAsia="zh-CN"/>
        </w:rPr>
        <w:t>第三节 完善新型基础设施</w:t>
      </w:r>
      <w:bookmarkEnd w:id="1488"/>
      <w:bookmarkEnd w:id="1489"/>
      <w:bookmarkEnd w:id="1490"/>
      <w:bookmarkEnd w:id="1491"/>
    </w:p>
    <w:p w14:paraId="396A7BF7">
      <w:pPr>
        <w:keepNext w:val="0"/>
        <w:keepLines w:val="0"/>
        <w:pageBreakBefore w:val="0"/>
        <w:kinsoku/>
        <w:wordWrap/>
        <w:topLinePunct w:val="0"/>
        <w:autoSpaceDE/>
        <w:autoSpaceDN/>
        <w:bidi w:val="0"/>
        <w:adjustRightInd w:val="0"/>
        <w:snapToGrid w:val="0"/>
        <w:spacing w:line="600" w:lineRule="exact"/>
        <w:ind w:firstLine="640" w:firstLineChars="200"/>
        <w:rPr>
          <w:rFonts w:hint="default" w:ascii="Times New Roman" w:hAnsi="Times New Roman" w:cs="Times New Roman"/>
          <w:color w:val="auto"/>
          <w:spacing w:val="-6"/>
          <w:highlight w:val="none"/>
          <w:u w:val="none" w:color="auto"/>
        </w:rPr>
      </w:pPr>
      <w:r>
        <w:rPr>
          <w:rFonts w:hint="default" w:ascii="Times New Roman" w:hAnsi="Times New Roman" w:eastAsia="方正仿宋_GBK" w:cs="Times New Roman"/>
          <w:bCs/>
          <w:color w:val="auto"/>
          <w:sz w:val="32"/>
          <w:szCs w:val="32"/>
          <w:highlight w:val="none"/>
          <w:u w:val="none" w:color="auto"/>
        </w:rPr>
        <w:t>依托西部算电协同创新中心，加快构建算力多元、智算突出、互联互通、弹性调度、高效存储、绿色低碳、安全可靠的多层次算力体系</w:t>
      </w:r>
      <w:r>
        <w:rPr>
          <w:rFonts w:hint="default" w:ascii="Times New Roman" w:hAnsi="Times New Roman" w:eastAsia="方正仿宋_GBK" w:cs="Times New Roman"/>
          <w:bCs/>
          <w:color w:val="auto"/>
          <w:sz w:val="32"/>
          <w:szCs w:val="32"/>
          <w:highlight w:val="none"/>
          <w:u w:val="none" w:color="auto"/>
          <w:lang w:eastAsia="zh-CN"/>
        </w:rPr>
        <w:t>，</w:t>
      </w:r>
      <w:r>
        <w:rPr>
          <w:rFonts w:ascii="Times New Roman" w:hAnsi="Times New Roman" w:eastAsia="方正仿宋_GBK" w:cs="Times New Roman"/>
          <w:bCs/>
          <w:color w:val="auto"/>
          <w:kern w:val="2"/>
          <w:sz w:val="32"/>
          <w:szCs w:val="32"/>
          <w:highlight w:val="none"/>
        </w:rPr>
        <w:t>立足打造西部</w:t>
      </w:r>
      <w:r>
        <w:rPr>
          <w:rFonts w:hint="default" w:ascii="Times New Roman" w:hAnsi="Times New Roman" w:eastAsia="方正仿宋_GBK" w:cs="Times New Roman"/>
          <w:bCs/>
          <w:color w:val="auto"/>
          <w:kern w:val="2"/>
          <w:sz w:val="32"/>
          <w:szCs w:val="32"/>
          <w:highlight w:val="none"/>
          <w:lang w:val="en-US" w:eastAsia="zh-CN"/>
        </w:rPr>
        <w:t>算电</w:t>
      </w:r>
      <w:r>
        <w:rPr>
          <w:rFonts w:ascii="Times New Roman" w:hAnsi="Times New Roman" w:eastAsia="方正仿宋_GBK" w:cs="Times New Roman"/>
          <w:bCs/>
          <w:color w:val="auto"/>
          <w:kern w:val="2"/>
          <w:sz w:val="32"/>
          <w:szCs w:val="32"/>
          <w:highlight w:val="none"/>
        </w:rPr>
        <w:t>枢纽核心节点，推动建设跨区域、低时延的算力链路通道。</w:t>
      </w:r>
      <w:r>
        <w:rPr>
          <w:rFonts w:hint="default" w:ascii="Times New Roman" w:hAnsi="Times New Roman" w:eastAsia="方正仿宋_GBK" w:cs="Times New Roman"/>
          <w:bCs/>
          <w:color w:val="auto"/>
          <w:sz w:val="32"/>
          <w:szCs w:val="32"/>
          <w:highlight w:val="none"/>
          <w:u w:val="none" w:color="auto"/>
          <w:lang w:val="en-US" w:eastAsia="zh-CN"/>
        </w:rPr>
        <w:t>完善</w:t>
      </w:r>
      <w:r>
        <w:rPr>
          <w:rFonts w:hint="default" w:ascii="Times New Roman" w:hAnsi="Times New Roman" w:eastAsia="方正仿宋_GBK" w:cs="Times New Roman"/>
          <w:bCs/>
          <w:color w:val="auto"/>
          <w:sz w:val="32"/>
          <w:szCs w:val="32"/>
          <w:highlight w:val="none"/>
          <w:u w:val="none" w:color="auto"/>
        </w:rPr>
        <w:t>5G-A</w:t>
      </w:r>
      <w:r>
        <w:rPr>
          <w:rFonts w:hint="default" w:ascii="Times New Roman" w:hAnsi="Times New Roman" w:eastAsia="方正仿宋_GBK" w:cs="Times New Roman"/>
          <w:bCs/>
          <w:color w:val="auto"/>
          <w:sz w:val="32"/>
          <w:szCs w:val="32"/>
          <w:highlight w:val="none"/>
          <w:u w:val="none" w:color="auto"/>
          <w:lang w:val="en-US" w:eastAsia="zh-CN"/>
        </w:rPr>
        <w:t>/6G网络、万兆网络</w:t>
      </w:r>
      <w:r>
        <w:rPr>
          <w:rFonts w:hint="default" w:ascii="Times New Roman" w:hAnsi="Times New Roman" w:eastAsia="方正仿宋_GBK" w:cs="Times New Roman"/>
          <w:bCs/>
          <w:color w:val="auto"/>
          <w:sz w:val="32"/>
          <w:szCs w:val="32"/>
          <w:highlight w:val="none"/>
          <w:u w:val="none" w:color="auto"/>
        </w:rPr>
        <w:t>、</w:t>
      </w:r>
      <w:r>
        <w:rPr>
          <w:rFonts w:hint="default" w:ascii="Times New Roman" w:hAnsi="Times New Roman" w:eastAsia="方正仿宋_GBK" w:cs="Times New Roman"/>
          <w:bCs/>
          <w:color w:val="auto"/>
          <w:sz w:val="32"/>
          <w:szCs w:val="32"/>
          <w:highlight w:val="none"/>
          <w:u w:val="none" w:color="auto"/>
          <w:lang w:val="en-US" w:eastAsia="zh-CN"/>
        </w:rPr>
        <w:t>卫星互联网、</w:t>
      </w:r>
      <w:r>
        <w:rPr>
          <w:rFonts w:hint="default" w:ascii="Times New Roman" w:hAnsi="Times New Roman" w:eastAsia="方正仿宋_GBK" w:cs="Times New Roman"/>
          <w:bCs/>
          <w:color w:val="auto"/>
          <w:sz w:val="32"/>
          <w:szCs w:val="32"/>
          <w:highlight w:val="none"/>
          <w:u w:val="none" w:color="auto"/>
        </w:rPr>
        <w:t>视联网等基础设施</w:t>
      </w:r>
      <w:r>
        <w:rPr>
          <w:rFonts w:hint="default" w:ascii="Times New Roman" w:hAnsi="Times New Roman" w:eastAsia="方正仿宋_GBK" w:cs="Times New Roman"/>
          <w:bCs/>
          <w:color w:val="auto"/>
          <w:sz w:val="32"/>
          <w:szCs w:val="32"/>
          <w:highlight w:val="none"/>
          <w:u w:val="none" w:color="auto"/>
          <w:lang w:val="en-US" w:eastAsia="zh-CN"/>
        </w:rPr>
        <w:t>建设</w:t>
      </w:r>
      <w:r>
        <w:rPr>
          <w:rFonts w:hint="default" w:ascii="Times New Roman" w:hAnsi="Times New Roman" w:eastAsia="方正仿宋_GBK" w:cs="Times New Roman"/>
          <w:bCs/>
          <w:color w:val="auto"/>
          <w:sz w:val="32"/>
          <w:szCs w:val="32"/>
          <w:highlight w:val="none"/>
          <w:u w:val="none" w:color="auto"/>
        </w:rPr>
        <w:t>，</w:t>
      </w:r>
      <w:r>
        <w:rPr>
          <w:rFonts w:hint="default" w:ascii="Times New Roman" w:hAnsi="Times New Roman" w:eastAsia="方正仿宋_GBK" w:cs="Times New Roman"/>
          <w:bCs/>
          <w:color w:val="auto"/>
          <w:sz w:val="32"/>
          <w:szCs w:val="32"/>
          <w:highlight w:val="none"/>
          <w:u w:val="none" w:color="auto"/>
          <w:lang w:val="en-US" w:eastAsia="zh-CN"/>
        </w:rPr>
        <w:t>深入推进IPv6规模部署应用和服务提升，打造一批万兆小区、楼宇，</w:t>
      </w:r>
      <w:r>
        <w:rPr>
          <w:rFonts w:hint="default" w:ascii="Times New Roman" w:hAnsi="Times New Roman" w:eastAsia="方正仿宋_GBK" w:cs="Times New Roman"/>
          <w:bCs/>
          <w:color w:val="auto"/>
          <w:spacing w:val="-6"/>
          <w:sz w:val="32"/>
          <w:szCs w:val="32"/>
          <w:highlight w:val="none"/>
          <w:u w:val="none" w:color="auto"/>
        </w:rPr>
        <w:t>支撑AI应用落地</w:t>
      </w:r>
      <w:r>
        <w:rPr>
          <w:rFonts w:hint="default" w:ascii="Times New Roman" w:hAnsi="Times New Roman" w:eastAsia="方正仿宋_GBK" w:cs="Times New Roman"/>
          <w:bCs/>
          <w:color w:val="auto"/>
          <w:spacing w:val="-6"/>
          <w:sz w:val="32"/>
          <w:szCs w:val="32"/>
          <w:highlight w:val="none"/>
          <w:u w:val="none" w:color="auto"/>
          <w:lang w:eastAsia="zh-CN"/>
        </w:rPr>
        <w:t>。</w:t>
      </w:r>
    </w:p>
    <w:p w14:paraId="1B60280E">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专栏12  现代化基础设施重点项目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7D7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972E200">
            <w:pPr>
              <w:keepNext w:val="0"/>
              <w:keepLines w:val="0"/>
              <w:pageBreakBefore w:val="0"/>
              <w:widowControl w:val="0"/>
              <w:numPr>
                <w:ilvl w:val="-1"/>
                <w:numId w:val="0"/>
              </w:numPr>
              <w:kinsoku/>
              <w:wordWrap/>
              <w:overflowPunct/>
              <w:topLinePunct w:val="0"/>
              <w:autoSpaceDE/>
              <w:autoSpaceDN/>
              <w:bidi w:val="0"/>
              <w:adjustRightInd/>
              <w:snapToGrid w:val="0"/>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1.交通基础设施。</w:t>
            </w:r>
            <w:r>
              <w:rPr>
                <w:rFonts w:hint="default" w:ascii="Times New Roman" w:hAnsi="Times New Roman" w:eastAsia="方正仿宋_GBK" w:cs="Times New Roman"/>
                <w:color w:val="auto"/>
                <w:sz w:val="24"/>
                <w:szCs w:val="24"/>
                <w:highlight w:val="none"/>
                <w:u w:val="none" w:color="auto"/>
                <w:vertAlign w:val="baseline"/>
                <w:lang w:val="en-US" w:eastAsia="zh-CN"/>
              </w:rPr>
              <w:t>轨道十八号线北延伸段、轨道二十七号线（渝中区段）、轨道二十六号线（渝中区段）、朝天门两江隧道、曾家岩嘉陵江大桥人民路连接线、红云路道路工程等互联互通项目，重庆长滨片区陕西路周边老旧小区停车场、白象居周边老旧小区停车场、卡福厂片区老旧小区配套停车库、虎头岩片区老旧小区公共停车库等停车项目。</w:t>
            </w:r>
          </w:p>
          <w:p w14:paraId="31A2F35C">
            <w:pPr>
              <w:keepNext w:val="0"/>
              <w:keepLines w:val="0"/>
              <w:pageBreakBefore w:val="0"/>
              <w:widowControl w:val="0"/>
              <w:numPr>
                <w:ilvl w:val="-1"/>
                <w:numId w:val="0"/>
              </w:numPr>
              <w:kinsoku/>
              <w:wordWrap/>
              <w:overflowPunct/>
              <w:topLinePunct w:val="0"/>
              <w:autoSpaceDE/>
              <w:autoSpaceDN/>
              <w:bidi w:val="0"/>
              <w:adjustRightInd/>
              <w:snapToGrid w:val="0"/>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2.市政管网基础设施。</w:t>
            </w:r>
            <w:r>
              <w:rPr>
                <w:rFonts w:hint="default" w:ascii="Times New Roman" w:hAnsi="Times New Roman" w:eastAsia="方正仿宋_GBK" w:cs="Times New Roman"/>
                <w:color w:val="auto"/>
                <w:sz w:val="24"/>
                <w:highlight w:val="none"/>
                <w:u w:val="none" w:color="auto"/>
              </w:rPr>
              <w:t>长滨片区城市排水防涝工程</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长江沿线流域、上清寺片区、解放碑片区、洪崖洞上游片区</w:t>
            </w:r>
            <w:r>
              <w:rPr>
                <w:rFonts w:hint="default" w:ascii="Times New Roman" w:hAnsi="Times New Roman" w:eastAsia="方正仿宋_GBK" w:cs="Times New Roman"/>
                <w:color w:val="auto"/>
                <w:sz w:val="24"/>
                <w:highlight w:val="none"/>
                <w:u w:val="none" w:color="auto"/>
                <w:lang w:val="en-US" w:eastAsia="zh-CN"/>
              </w:rPr>
              <w:t>等</w:t>
            </w:r>
            <w:r>
              <w:rPr>
                <w:rFonts w:hint="default" w:ascii="Times New Roman" w:hAnsi="Times New Roman" w:eastAsia="方正仿宋_GBK" w:cs="Times New Roman"/>
                <w:color w:val="auto"/>
                <w:sz w:val="24"/>
                <w:highlight w:val="none"/>
                <w:u w:val="none" w:color="auto"/>
              </w:rPr>
              <w:t>雨水通道改造项目</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污水系统源头溯源排查整治工程</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老旧污水管网更新换代工程</w:t>
            </w:r>
            <w:r>
              <w:rPr>
                <w:rFonts w:hint="default" w:ascii="Times New Roman" w:hAnsi="Times New Roman" w:eastAsia="方正仿宋_GBK" w:cs="Times New Roman"/>
                <w:color w:val="auto"/>
                <w:sz w:val="24"/>
                <w:highlight w:val="none"/>
                <w:u w:val="none" w:color="auto"/>
                <w:lang w:eastAsia="zh-CN"/>
              </w:rPr>
              <w:t>，</w:t>
            </w:r>
            <w:r>
              <w:rPr>
                <w:rFonts w:hint="default" w:ascii="Times New Roman" w:hAnsi="Times New Roman" w:eastAsia="方正仿宋_GBK" w:cs="Times New Roman"/>
                <w:color w:val="auto"/>
                <w:sz w:val="24"/>
                <w:highlight w:val="none"/>
                <w:u w:val="none" w:color="auto"/>
              </w:rPr>
              <w:t>重庆站片区排水管网及设施改造项目，上清寺片区、解放碑片区、洪崖洞片区、长江二路147号等小区老旧供水管网更新改造项目，渝中区燃气、排水设施老化更新改造项目</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6B2A540E">
            <w:pPr>
              <w:keepNext w:val="0"/>
              <w:keepLines w:val="0"/>
              <w:pageBreakBefore w:val="0"/>
              <w:widowControl w:val="0"/>
              <w:numPr>
                <w:ilvl w:val="-1"/>
                <w:numId w:val="0"/>
              </w:numPr>
              <w:kinsoku/>
              <w:wordWrap/>
              <w:overflowPunct/>
              <w:topLinePunct w:val="0"/>
              <w:autoSpaceDE/>
              <w:autoSpaceDN/>
              <w:bidi w:val="0"/>
              <w:adjustRightInd/>
              <w:snapToGrid w:val="0"/>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3.新型基础设施。</w:t>
            </w:r>
            <w:r>
              <w:rPr>
                <w:rFonts w:hint="default" w:ascii="Times New Roman" w:hAnsi="Times New Roman" w:eastAsia="方正仿宋_GBK" w:cs="Times New Roman"/>
                <w:color w:val="auto"/>
                <w:sz w:val="24"/>
                <w:szCs w:val="24"/>
                <w:highlight w:val="none"/>
                <w:u w:val="none" w:color="auto"/>
                <w:vertAlign w:val="baseline"/>
                <w:lang w:val="en-US" w:eastAsia="zh-CN"/>
              </w:rPr>
              <w:t>建设西部产业创新算力调度服务平台，建设5G-A/6G网络、万兆网络、卫星互联网、视联网等基础设施，打造一批万兆小区。</w:t>
            </w:r>
          </w:p>
        </w:tc>
      </w:tr>
    </w:tbl>
    <w:p w14:paraId="1382BBA6">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492" w:name="_Toc30340"/>
      <w:bookmarkStart w:id="1493" w:name="_Toc6282"/>
      <w:bookmarkStart w:id="1494" w:name="_Toc19693"/>
      <w:bookmarkStart w:id="1495" w:name="_Toc2277"/>
      <w:bookmarkStart w:id="1496" w:name="_Toc31093"/>
      <w:bookmarkStart w:id="1497" w:name="_Toc19174"/>
      <w:bookmarkStart w:id="1498" w:name="_Toc27786"/>
      <w:bookmarkStart w:id="1499" w:name="_Toc8120"/>
      <w:bookmarkStart w:id="1500" w:name="_Toc24953"/>
      <w:bookmarkStart w:id="1501" w:name="_Toc14548"/>
      <w:bookmarkStart w:id="1502" w:name="_Toc12054"/>
      <w:bookmarkStart w:id="1503" w:name="_Toc20360"/>
      <w:r>
        <w:rPr>
          <w:rFonts w:hint="default" w:ascii="Times New Roman" w:hAnsi="Times New Roman" w:eastAsia="方正黑体_GBK" w:cs="Times New Roman"/>
          <w:color w:val="auto"/>
          <w:sz w:val="32"/>
          <w:szCs w:val="32"/>
          <w:highlight w:val="none"/>
          <w:u w:val="none" w:color="auto"/>
          <w:lang w:val="en-US" w:eastAsia="zh-CN"/>
        </w:rPr>
        <w:t>第三十五章 提升城市精细化管理水平</w:t>
      </w:r>
      <w:bookmarkEnd w:id="1492"/>
      <w:bookmarkEnd w:id="1493"/>
      <w:bookmarkEnd w:id="1494"/>
      <w:bookmarkEnd w:id="1495"/>
      <w:bookmarkEnd w:id="1496"/>
      <w:bookmarkEnd w:id="1497"/>
      <w:bookmarkEnd w:id="1498"/>
      <w:bookmarkEnd w:id="1499"/>
      <w:bookmarkEnd w:id="1500"/>
      <w:bookmarkEnd w:id="1501"/>
      <w:bookmarkEnd w:id="1502"/>
      <w:bookmarkEnd w:id="1503"/>
    </w:p>
    <w:p w14:paraId="5DC60E47">
      <w:pPr>
        <w:keepNext w:val="0"/>
        <w:keepLines w:val="0"/>
        <w:pageBreakBefore w:val="0"/>
        <w:kinsoku/>
        <w:wordWrap/>
        <w:topLinePunct w:val="0"/>
        <w:autoSpaceDE/>
        <w:autoSpaceDN/>
        <w:bidi w:val="0"/>
        <w:spacing w:line="600" w:lineRule="exact"/>
        <w:ind w:left="0" w:leftChars="0" w:firstLine="640" w:firstLineChars="200"/>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color w:val="auto"/>
          <w:spacing w:val="0"/>
          <w:sz w:val="32"/>
          <w:szCs w:val="32"/>
          <w:highlight w:val="none"/>
          <w:u w:val="none" w:color="auto"/>
          <w:lang w:val="en-US" w:eastAsia="zh-CN"/>
        </w:rPr>
        <w:t>牢固树立全生命周期、全域景区式城市</w:t>
      </w:r>
      <w:r>
        <w:rPr>
          <w:rFonts w:hint="default" w:ascii="Times New Roman" w:hAnsi="Times New Roman" w:eastAsia="方正仿宋_GBK" w:cs="Times New Roman"/>
          <w:color w:val="auto"/>
          <w:sz w:val="32"/>
          <w:szCs w:val="32"/>
          <w:highlight w:val="none"/>
          <w:u w:val="none" w:color="auto"/>
          <w:lang w:eastAsia="zh-CN"/>
        </w:rPr>
        <w:t>管理</w:t>
      </w:r>
      <w:r>
        <w:rPr>
          <w:rFonts w:hint="default" w:ascii="Times New Roman" w:hAnsi="Times New Roman" w:eastAsia="方正仿宋_GBK" w:cs="Times New Roman"/>
          <w:color w:val="auto"/>
          <w:spacing w:val="0"/>
          <w:sz w:val="32"/>
          <w:szCs w:val="32"/>
          <w:highlight w:val="none"/>
          <w:u w:val="none" w:color="auto"/>
          <w:lang w:val="en-US" w:eastAsia="zh-CN"/>
        </w:rPr>
        <w:t>理念，全面迭代市容秩序、环境卫生、市政设施、园林绿化等管理标准。</w:t>
      </w:r>
      <w:r>
        <w:rPr>
          <w:rFonts w:hint="default" w:ascii="Times New Roman" w:hAnsi="Times New Roman" w:eastAsia="方正仿宋_GBK" w:cs="Times New Roman"/>
          <w:b w:val="0"/>
          <w:bCs w:val="0"/>
          <w:color w:val="auto"/>
          <w:sz w:val="32"/>
          <w:szCs w:val="32"/>
          <w:highlight w:val="none"/>
          <w:u w:val="none" w:color="auto"/>
          <w:lang w:val="en-US" w:eastAsia="zh-CN"/>
        </w:rPr>
        <w:t>加快公共设施数字化、智能化升级，</w:t>
      </w:r>
      <w:r>
        <w:rPr>
          <w:rFonts w:hint="default" w:ascii="Times New Roman" w:hAnsi="Times New Roman" w:eastAsia="方正仿宋_GBK" w:cs="Times New Roman"/>
          <w:color w:val="auto"/>
          <w:spacing w:val="0"/>
          <w:sz w:val="32"/>
          <w:szCs w:val="32"/>
          <w:highlight w:val="none"/>
          <w:u w:val="none" w:color="auto"/>
          <w:lang w:val="en-US" w:eastAsia="zh-CN"/>
        </w:rPr>
        <w:t>以数字手段提升管理效能，构建路桥隧数字化安全监管体系，持续完善城市运行管理服务平台核心功能，深化城市</w:t>
      </w:r>
      <w:r>
        <w:rPr>
          <w:rFonts w:hint="default" w:ascii="Times New Roman" w:hAnsi="Times New Roman" w:eastAsia="方正仿宋_GBK" w:cs="Times New Roman"/>
          <w:color w:val="auto"/>
          <w:sz w:val="32"/>
          <w:szCs w:val="32"/>
          <w:highlight w:val="none"/>
          <w:u w:val="none" w:color="auto"/>
          <w:lang w:eastAsia="zh-CN"/>
        </w:rPr>
        <w:t>管理</w:t>
      </w:r>
      <w:r>
        <w:rPr>
          <w:rFonts w:hint="default" w:ascii="Times New Roman" w:hAnsi="Times New Roman" w:eastAsia="方正仿宋_GBK" w:cs="Times New Roman"/>
          <w:color w:val="auto"/>
          <w:spacing w:val="0"/>
          <w:sz w:val="32"/>
          <w:szCs w:val="32"/>
          <w:highlight w:val="none"/>
          <w:u w:val="none" w:color="auto"/>
          <w:lang w:val="en-US" w:eastAsia="zh-CN"/>
        </w:rPr>
        <w:t>问题快响快处闭环机制。</w:t>
      </w:r>
      <w:r>
        <w:rPr>
          <w:rFonts w:hint="default" w:ascii="Times New Roman" w:hAnsi="Times New Roman" w:eastAsia="方正仿宋_GBK" w:cs="Times New Roman"/>
          <w:b w:val="0"/>
          <w:bCs w:val="0"/>
          <w:color w:val="auto"/>
          <w:sz w:val="32"/>
          <w:szCs w:val="32"/>
          <w:highlight w:val="none"/>
          <w:u w:val="none" w:color="auto"/>
          <w:lang w:val="en-US" w:eastAsia="zh-CN"/>
        </w:rPr>
        <w:t>实现市容环卫等城市部件感知全覆盖，推动街区、商圈基础设施智能化。依托城市数字孪生系统，深化道路、桥梁、隧道等领域数字孪生技术管理应用，增设电子标识牌、传感器网络与智能监控设备，构建智慧交通体系。</w:t>
      </w:r>
      <w:r>
        <w:rPr>
          <w:rFonts w:hint="default" w:ascii="Times New Roman" w:hAnsi="Times New Roman" w:eastAsia="方正仿宋_GBK" w:cs="Times New Roman"/>
          <w:color w:val="auto"/>
          <w:spacing w:val="0"/>
          <w:sz w:val="32"/>
          <w:szCs w:val="32"/>
          <w:highlight w:val="none"/>
          <w:u w:val="none" w:color="auto"/>
          <w:lang w:val="en-US" w:eastAsia="zh-CN"/>
        </w:rPr>
        <w:t>系统推进背街小巷、边角地微改造、精提升，建设</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物联、数联、智联</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三位一体感知网络，持续扩大感知设备覆盖范围，重点加强背街小巷和老旧小区等区域的感知终端布设。持续提升城市秩序与执法能力。</w:t>
      </w:r>
      <w:r>
        <w:rPr>
          <w:rFonts w:hint="default" w:ascii="Times New Roman" w:hAnsi="Times New Roman" w:eastAsia="方正仿宋_GBK" w:cs="Times New Roman"/>
          <w:color w:val="auto"/>
          <w:sz w:val="32"/>
          <w:szCs w:val="32"/>
          <w:highlight w:val="none"/>
          <w:u w:val="none" w:color="auto"/>
        </w:rPr>
        <w:t>积极引导社会公众力量参与城市精细化</w:t>
      </w:r>
      <w:r>
        <w:rPr>
          <w:rFonts w:hint="default" w:ascii="Times New Roman" w:hAnsi="Times New Roman" w:eastAsia="方正仿宋_GBK" w:cs="Times New Roman"/>
          <w:color w:val="auto"/>
          <w:sz w:val="32"/>
          <w:szCs w:val="32"/>
          <w:highlight w:val="none"/>
          <w:u w:val="none" w:color="auto"/>
          <w:lang w:eastAsia="zh-CN"/>
        </w:rPr>
        <w:t>管理，通过</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群众点单</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方式搜集改造需求，开展城市治理进社区工作，引导经营主体参与，支持多领域专业力量和服务机构参与城市更新，健全规划师、建筑师、工程师</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三师</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eastAsia="zh-CN"/>
        </w:rPr>
        <w:t>等行业专家参与公共决策制度，迭代升级城市管理常态机制。</w:t>
      </w:r>
    </w:p>
    <w:bookmarkEnd w:id="1401"/>
    <w:p w14:paraId="7D0F28A1">
      <w:pPr>
        <w:keepNext w:val="0"/>
        <w:keepLines w:val="0"/>
        <w:pageBreakBefore w:val="0"/>
        <w:kinsoku/>
        <w:wordWrap/>
        <w:topLinePunct w:val="0"/>
        <w:autoSpaceDE/>
        <w:autoSpaceDN/>
        <w:bidi w:val="0"/>
        <w:spacing w:line="600" w:lineRule="exact"/>
        <w:jc w:val="center"/>
        <w:outlineLvl w:val="9"/>
        <w:rPr>
          <w:rFonts w:hint="default" w:ascii="Times New Roman" w:hAnsi="Times New Roman" w:eastAsia="方正黑体_GBK" w:cs="Times New Roman"/>
          <w:color w:val="auto"/>
          <w:kern w:val="44"/>
          <w:sz w:val="32"/>
          <w:szCs w:val="32"/>
          <w:highlight w:val="none"/>
          <w:u w:val="none" w:color="auto"/>
        </w:rPr>
      </w:pPr>
    </w:p>
    <w:p w14:paraId="26B260F9">
      <w:pPr>
        <w:keepNext w:val="0"/>
        <w:keepLines w:val="0"/>
        <w:pageBreakBefore w:val="0"/>
        <w:kinsoku/>
        <w:wordWrap/>
        <w:topLinePunct w:val="0"/>
        <w:autoSpaceDE/>
        <w:autoSpaceDN/>
        <w:bidi w:val="0"/>
        <w:spacing w:line="600" w:lineRule="exact"/>
        <w:jc w:val="center"/>
        <w:outlineLvl w:val="0"/>
        <w:rPr>
          <w:rFonts w:hint="default" w:ascii="Times New Roman" w:hAnsi="Times New Roman" w:eastAsia="方正黑体_GBK" w:cs="Times New Roman"/>
          <w:color w:val="auto"/>
          <w:kern w:val="44"/>
          <w:sz w:val="32"/>
          <w:szCs w:val="32"/>
          <w:highlight w:val="none"/>
          <w:u w:val="none" w:color="auto"/>
        </w:rPr>
      </w:pPr>
      <w:bookmarkStart w:id="1504" w:name="_Toc26431"/>
      <w:bookmarkStart w:id="1505" w:name="_Toc20364"/>
      <w:bookmarkStart w:id="1506" w:name="_Toc14500"/>
      <w:bookmarkStart w:id="1507" w:name="_Toc30297"/>
      <w:r>
        <w:rPr>
          <w:rFonts w:hint="default" w:ascii="Times New Roman" w:hAnsi="Times New Roman" w:eastAsia="方正黑体_GBK" w:cs="Times New Roman"/>
          <w:color w:val="auto"/>
          <w:kern w:val="44"/>
          <w:sz w:val="32"/>
          <w:szCs w:val="32"/>
          <w:highlight w:val="none"/>
          <w:u w:val="none" w:color="auto"/>
        </w:rPr>
        <w:t>第</w:t>
      </w:r>
      <w:r>
        <w:rPr>
          <w:rFonts w:hint="default" w:ascii="Times New Roman" w:hAnsi="Times New Roman" w:eastAsia="方正黑体_GBK" w:cs="Times New Roman"/>
          <w:color w:val="auto"/>
          <w:kern w:val="44"/>
          <w:sz w:val="32"/>
          <w:szCs w:val="32"/>
          <w:highlight w:val="none"/>
          <w:u w:val="none" w:color="auto"/>
          <w:lang w:val="en-US" w:eastAsia="zh-CN"/>
        </w:rPr>
        <w:t>十</w:t>
      </w:r>
      <w:r>
        <w:rPr>
          <w:rFonts w:hint="default" w:ascii="Times New Roman" w:hAnsi="Times New Roman" w:eastAsia="方正黑体_GBK" w:cs="Times New Roman"/>
          <w:color w:val="auto"/>
          <w:kern w:val="44"/>
          <w:sz w:val="32"/>
          <w:szCs w:val="32"/>
          <w:highlight w:val="none"/>
          <w:u w:val="none" w:color="auto"/>
        </w:rPr>
        <w:t>篇 加快建设新时代文化</w:t>
      </w:r>
      <w:r>
        <w:rPr>
          <w:rFonts w:hint="default" w:ascii="Times New Roman" w:hAnsi="Times New Roman" w:eastAsia="方正黑体_GBK" w:cs="Times New Roman"/>
          <w:color w:val="auto"/>
          <w:kern w:val="44"/>
          <w:sz w:val="32"/>
          <w:szCs w:val="32"/>
          <w:highlight w:val="none"/>
          <w:u w:val="none" w:color="auto"/>
          <w:lang w:val="en-US" w:eastAsia="zh-CN"/>
        </w:rPr>
        <w:t>旅游</w:t>
      </w:r>
      <w:r>
        <w:rPr>
          <w:rFonts w:hint="default" w:ascii="Times New Roman" w:hAnsi="Times New Roman" w:eastAsia="方正黑体_GBK" w:cs="Times New Roman"/>
          <w:color w:val="auto"/>
          <w:kern w:val="44"/>
          <w:sz w:val="32"/>
          <w:szCs w:val="32"/>
          <w:highlight w:val="none"/>
          <w:u w:val="none" w:color="auto"/>
        </w:rPr>
        <w:t>强区</w:t>
      </w:r>
      <w:r>
        <w:rPr>
          <w:rFonts w:hint="default" w:ascii="Times New Roman" w:hAnsi="Times New Roman" w:eastAsia="方正黑体_GBK" w:cs="Times New Roman"/>
          <w:color w:val="auto"/>
          <w:kern w:val="44"/>
          <w:sz w:val="32"/>
          <w:szCs w:val="32"/>
          <w:highlight w:val="none"/>
          <w:u w:val="none" w:color="auto"/>
          <w:lang w:val="en-US" w:eastAsia="zh-CN"/>
        </w:rPr>
        <w:t xml:space="preserve"> </w:t>
      </w:r>
      <w:r>
        <w:rPr>
          <w:rFonts w:hint="default" w:ascii="Times New Roman" w:hAnsi="Times New Roman" w:eastAsia="方正黑体_GBK" w:cs="Times New Roman"/>
          <w:color w:val="auto"/>
          <w:kern w:val="44"/>
          <w:sz w:val="32"/>
          <w:szCs w:val="32"/>
          <w:highlight w:val="none"/>
          <w:u w:val="none" w:color="auto"/>
        </w:rPr>
        <w:t>全面提升社会文明程度</w:t>
      </w:r>
      <w:bookmarkEnd w:id="1504"/>
      <w:bookmarkEnd w:id="1505"/>
      <w:bookmarkEnd w:id="1506"/>
      <w:bookmarkEnd w:id="1507"/>
    </w:p>
    <w:p w14:paraId="474874B1">
      <w:pPr>
        <w:keepNext w:val="0"/>
        <w:keepLines w:val="0"/>
        <w:pageBreakBefore w:val="0"/>
        <w:widowControl w:val="0"/>
        <w:tabs>
          <w:tab w:val="right" w:leader="dot" w:pos="8844"/>
        </w:tabs>
        <w:kinsoku/>
        <w:wordWrap/>
        <w:topLinePunct w:val="0"/>
        <w:autoSpaceDE/>
        <w:autoSpaceDN/>
        <w:bidi w:val="0"/>
        <w:spacing w:line="600" w:lineRule="exact"/>
        <w:ind w:firstLine="640" w:firstLineChars="200"/>
        <w:jc w:val="left"/>
        <w:outlineLvl w:val="9"/>
        <w:rPr>
          <w:rFonts w:hint="default" w:ascii="Times New Roman" w:hAnsi="Times New Roman" w:eastAsia="方正仿宋_GBK" w:cs="Times New Roman"/>
          <w:color w:val="auto"/>
          <w:kern w:val="2"/>
          <w:sz w:val="32"/>
          <w:szCs w:val="32"/>
          <w:highlight w:val="none"/>
          <w:u w:val="none" w:color="auto"/>
          <w:lang w:val="en-US" w:eastAsia="zh-CN" w:bidi="ar-SA"/>
        </w:rPr>
      </w:pPr>
    </w:p>
    <w:p w14:paraId="11FA8F5B">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left"/>
        <w:textAlignment w:val="auto"/>
        <w:outlineLvl w:val="9"/>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坚持马克思主义在意识形态领域的指导地位，坚持以文化人、以文育人、以文聚人，聚焦文明素养提升、文化资源活化、文化产业升级，加快建设兼具文化实力与发展活力的新时代文化旅游强区。</w:t>
      </w:r>
    </w:p>
    <w:p w14:paraId="6E8F2FA8">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jc w:val="center"/>
        <w:textAlignment w:val="auto"/>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1508" w:name="_Toc19078"/>
      <w:bookmarkStart w:id="1509" w:name="_Toc3915"/>
      <w:bookmarkStart w:id="1510" w:name="_Toc23528"/>
      <w:bookmarkStart w:id="1511" w:name="_Toc24121"/>
      <w:r>
        <w:rPr>
          <w:rFonts w:hint="default" w:ascii="Times New Roman" w:hAnsi="Times New Roman" w:eastAsia="方正黑体_GBK" w:cs="Times New Roman"/>
          <w:color w:val="auto"/>
          <w:kern w:val="2"/>
          <w:sz w:val="32"/>
          <w:szCs w:val="32"/>
          <w:highlight w:val="none"/>
          <w:u w:val="none" w:color="auto"/>
          <w:lang w:val="en-US" w:eastAsia="zh-CN" w:bidi="ar-SA"/>
        </w:rPr>
        <w:t>第三十六章 全面践行社会主义核心价值观</w:t>
      </w:r>
      <w:bookmarkEnd w:id="1508"/>
      <w:bookmarkEnd w:id="1509"/>
      <w:bookmarkEnd w:id="1510"/>
      <w:bookmarkEnd w:id="1511"/>
    </w:p>
    <w:p w14:paraId="6C25010B">
      <w:pPr>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加强社会主义精神文明建设，弘扬</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坚韧、忠勇、开放、争先</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城市精神，提升公民文明素养，引领社会崇德向善文化繁荣新风尚。</w:t>
      </w:r>
    </w:p>
    <w:p w14:paraId="49D2A1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12" w:name="_Toc19342"/>
      <w:bookmarkStart w:id="1513" w:name="_Toc1122"/>
      <w:bookmarkStart w:id="1514" w:name="_Toc9475"/>
      <w:bookmarkStart w:id="1515" w:name="_Toc5968"/>
      <w:r>
        <w:rPr>
          <w:rFonts w:hint="default" w:ascii="Times New Roman" w:hAnsi="Times New Roman" w:eastAsia="方正楷体_GBK" w:cs="Times New Roman"/>
          <w:color w:val="auto"/>
          <w:sz w:val="32"/>
          <w:szCs w:val="32"/>
          <w:highlight w:val="none"/>
          <w:lang w:val="en-US" w:eastAsia="zh-CN"/>
        </w:rPr>
        <w:t xml:space="preserve">第一节 </w:t>
      </w:r>
      <w:bookmarkEnd w:id="1512"/>
      <w:r>
        <w:rPr>
          <w:rFonts w:hint="default" w:ascii="Times New Roman" w:hAnsi="Times New Roman" w:eastAsia="方正楷体_GBK" w:cs="Times New Roman"/>
          <w:color w:val="auto"/>
          <w:sz w:val="32"/>
          <w:szCs w:val="32"/>
          <w:highlight w:val="none"/>
          <w:lang w:val="en-US" w:eastAsia="zh-CN"/>
        </w:rPr>
        <w:t>推动理想信念教育常态化制度化</w:t>
      </w:r>
      <w:bookmarkEnd w:id="1513"/>
      <w:bookmarkEnd w:id="1514"/>
      <w:bookmarkEnd w:id="1515"/>
    </w:p>
    <w:p w14:paraId="462C79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深入实施党</w:t>
      </w:r>
      <w:r>
        <w:rPr>
          <w:rFonts w:hint="default" w:ascii="Times New Roman" w:hAnsi="Times New Roman" w:eastAsia="方正仿宋_GBK" w:cs="Times New Roman"/>
          <w:color w:val="auto"/>
          <w:sz w:val="32"/>
          <w:szCs w:val="32"/>
          <w:highlight w:val="none"/>
        </w:rPr>
        <w:t>的创新理论凝心铸魂工程，建强</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渝中理韵</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宣讲品牌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加强大众化、通俗化宣传普及</w:t>
      </w:r>
      <w:r>
        <w:rPr>
          <w:rFonts w:hint="default" w:ascii="Times New Roman" w:hAnsi="Times New Roman" w:eastAsia="方正仿宋_GBK" w:cs="Times New Roman"/>
          <w:color w:val="auto"/>
          <w:sz w:val="32"/>
          <w:szCs w:val="32"/>
          <w:highlight w:val="none"/>
        </w:rPr>
        <w:t>，打造覆盖全区、上下贯通、深入基层的理论学习矩阵。弘扬红岩精神，加快打造新时代</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红岩先锋</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变革型组织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深化大中小学思政课一体化建设</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夯实思想政治工作基层实践阵地。深化党建统领网格治理提升行动，健全落实区带街道、街道带社区网格机制。</w:t>
      </w:r>
    </w:p>
    <w:p w14:paraId="49CAF450">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0" w:firstLineChars="0"/>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16" w:name="_Toc771"/>
      <w:bookmarkStart w:id="1517" w:name="_Toc4987"/>
      <w:bookmarkStart w:id="1518" w:name="_Toc32598"/>
      <w:bookmarkStart w:id="1519" w:name="_Toc32397"/>
      <w:r>
        <w:rPr>
          <w:rFonts w:hint="default" w:ascii="Times New Roman" w:hAnsi="Times New Roman" w:eastAsia="方正楷体_GBK" w:cs="Times New Roman"/>
          <w:color w:val="auto"/>
          <w:sz w:val="32"/>
          <w:szCs w:val="32"/>
          <w:highlight w:val="none"/>
          <w:lang w:val="en-US" w:eastAsia="zh-CN"/>
        </w:rPr>
        <w:t>第二节 巩固壮大主流思想舆论</w:t>
      </w:r>
      <w:bookmarkEnd w:id="1516"/>
      <w:bookmarkEnd w:id="1517"/>
      <w:bookmarkEnd w:id="1518"/>
    </w:p>
    <w:p w14:paraId="185A93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加强网络文明建设，推动网络视听和广播电视一体化监管，培育积极健康向上向善的网络文化。</w:t>
      </w:r>
      <w:r>
        <w:rPr>
          <w:rFonts w:hint="eastAsia" w:ascii="Times New Roman" w:hAnsi="Times New Roman" w:eastAsia="方正仿宋_GBK" w:cs="Times New Roman"/>
          <w:color w:val="auto"/>
          <w:sz w:val="32"/>
          <w:szCs w:val="32"/>
          <w:highlight w:val="none"/>
          <w:lang w:val="en-US" w:eastAsia="zh-CN"/>
        </w:rPr>
        <w:t>深化主流媒体系统性变革，强化新媒体平台内容建设和管理。</w:t>
      </w:r>
      <w:r>
        <w:rPr>
          <w:rFonts w:hint="default" w:ascii="Times New Roman" w:hAnsi="Times New Roman" w:eastAsia="方正仿宋_GBK" w:cs="Times New Roman"/>
          <w:color w:val="auto"/>
          <w:sz w:val="32"/>
          <w:szCs w:val="32"/>
          <w:highlight w:val="none"/>
          <w:lang w:val="en-US" w:eastAsia="zh-CN"/>
        </w:rPr>
        <w:t>积极探索运用政务新媒体开展政策解读、信息发布。</w:t>
      </w:r>
      <w:r>
        <w:rPr>
          <w:rFonts w:hint="default" w:ascii="Times New Roman" w:hAnsi="Times New Roman" w:eastAsia="方正仿宋_GBK" w:cs="Times New Roman"/>
          <w:color w:val="auto"/>
          <w:sz w:val="32"/>
          <w:szCs w:val="32"/>
          <w:highlight w:val="none"/>
        </w:rPr>
        <w:t>广泛开展各领域文明交流互鉴，提质建设西部国际传播中心渝中分中心，提升国际传播效能。</w:t>
      </w:r>
      <w:r>
        <w:rPr>
          <w:rFonts w:hint="default" w:ascii="Times New Roman" w:hAnsi="Times New Roman" w:eastAsia="方正仿宋_GBK" w:cs="Times New Roman"/>
          <w:color w:val="auto"/>
          <w:sz w:val="32"/>
          <w:szCs w:val="32"/>
          <w:highlight w:val="none"/>
          <w:lang w:val="en-US" w:eastAsia="zh-CN"/>
        </w:rPr>
        <w:t>加强未成年人网络保护。</w:t>
      </w:r>
    </w:p>
    <w:p w14:paraId="03E2DB8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20" w:name="_Toc1787"/>
      <w:bookmarkStart w:id="1521" w:name="_Toc20649"/>
      <w:bookmarkStart w:id="1522" w:name="_Toc1400"/>
      <w:r>
        <w:rPr>
          <w:rFonts w:hint="default" w:ascii="Times New Roman" w:hAnsi="Times New Roman" w:eastAsia="方正楷体_GBK" w:cs="Times New Roman"/>
          <w:color w:val="auto"/>
          <w:sz w:val="32"/>
          <w:szCs w:val="32"/>
          <w:highlight w:val="none"/>
        </w:rPr>
        <w:t>第</w:t>
      </w:r>
      <w:r>
        <w:rPr>
          <w:rFonts w:hint="default" w:ascii="Times New Roman" w:hAnsi="Times New Roman" w:eastAsia="方正楷体_GBK" w:cs="Times New Roman"/>
          <w:color w:val="auto"/>
          <w:sz w:val="32"/>
          <w:szCs w:val="32"/>
          <w:highlight w:val="none"/>
          <w:lang w:val="en-US" w:eastAsia="zh-CN"/>
        </w:rPr>
        <w:t>三</w:t>
      </w:r>
      <w:r>
        <w:rPr>
          <w:rFonts w:hint="default" w:ascii="Times New Roman" w:hAnsi="Times New Roman" w:eastAsia="方正楷体_GBK" w:cs="Times New Roman"/>
          <w:color w:val="auto"/>
          <w:sz w:val="32"/>
          <w:szCs w:val="32"/>
          <w:highlight w:val="none"/>
        </w:rPr>
        <w:t xml:space="preserve">节 </w:t>
      </w:r>
      <w:r>
        <w:rPr>
          <w:rFonts w:hint="default" w:ascii="Times New Roman" w:hAnsi="Times New Roman" w:eastAsia="方正楷体_GBK" w:cs="Times New Roman"/>
          <w:color w:val="auto"/>
          <w:sz w:val="32"/>
          <w:szCs w:val="32"/>
          <w:highlight w:val="none"/>
          <w:lang w:val="en-US" w:eastAsia="zh-CN"/>
        </w:rPr>
        <w:t>推进新时代精神文明</w:t>
      </w:r>
      <w:bookmarkEnd w:id="1519"/>
      <w:r>
        <w:rPr>
          <w:rFonts w:hint="default" w:ascii="Times New Roman" w:hAnsi="Times New Roman" w:eastAsia="方正楷体_GBK" w:cs="Times New Roman"/>
          <w:color w:val="auto"/>
          <w:sz w:val="32"/>
          <w:szCs w:val="32"/>
          <w:highlight w:val="none"/>
          <w:lang w:val="en-US" w:eastAsia="zh-CN"/>
        </w:rPr>
        <w:t>建设</w:t>
      </w:r>
      <w:bookmarkEnd w:id="1520"/>
      <w:bookmarkEnd w:id="1521"/>
      <w:bookmarkEnd w:id="1522"/>
    </w:p>
    <w:p w14:paraId="6B6BF7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实施文明创建提质扩面工程和文明实践提质增效行动，持续打造“文明有范儿”示范治理空间，建设“城市文明常态治理”综合场景，擦亮“全国文明城区”金字招牌。深入实施“渝见新风尚”城市文明建设促进行动</w:t>
      </w:r>
      <w:r>
        <w:rPr>
          <w:rFonts w:hint="default" w:ascii="Times New Roman" w:hAnsi="Times New Roman" w:eastAsia="方正仿宋_GBK" w:cs="Times New Roman"/>
          <w:color w:val="auto"/>
          <w:sz w:val="32"/>
          <w:szCs w:val="32"/>
          <w:highlight w:val="none"/>
          <w:lang w:val="en-US" w:eastAsia="zh-CN"/>
        </w:rPr>
        <w:t>。深入实施“渝见新风尚”城市文明建设促进行动。推进家庭家教家风建设，不断加强和改进未成年人思想道德建设。深化时代楷模等典型选树宣传，</w:t>
      </w:r>
      <w:r>
        <w:rPr>
          <w:rFonts w:hint="default" w:ascii="Times New Roman" w:hAnsi="Times New Roman" w:eastAsia="方正仿宋_GBK" w:cs="Times New Roman"/>
          <w:color w:val="auto"/>
          <w:sz w:val="32"/>
          <w:szCs w:val="32"/>
          <w:highlight w:val="none"/>
        </w:rPr>
        <w:t>常态化开展</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道德模范</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身边好人</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评选表彰，发挥榜样示范效应。</w:t>
      </w:r>
    </w:p>
    <w:p w14:paraId="64F777BF">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1"/>
        <w:rPr>
          <w:rFonts w:hint="default" w:ascii="Times New Roman" w:hAnsi="Times New Roman" w:eastAsia="方正黑体_GBK" w:cs="Times New Roman"/>
          <w:color w:val="auto"/>
          <w:sz w:val="32"/>
          <w:szCs w:val="32"/>
          <w:highlight w:val="none"/>
          <w:lang w:val="en-US" w:eastAsia="zh-CN"/>
        </w:rPr>
      </w:pPr>
      <w:bookmarkStart w:id="1523" w:name="_Toc28380"/>
      <w:bookmarkStart w:id="1524" w:name="_Toc24381"/>
      <w:bookmarkStart w:id="1525" w:name="_Toc10594"/>
      <w:bookmarkStart w:id="1526" w:name="_Toc20899"/>
      <w:r>
        <w:rPr>
          <w:rFonts w:hint="default" w:ascii="Times New Roman" w:hAnsi="Times New Roman" w:eastAsia="方正黑体_GBK" w:cs="Times New Roman"/>
          <w:color w:val="auto"/>
          <w:sz w:val="32"/>
          <w:szCs w:val="32"/>
          <w:highlight w:val="none"/>
          <w:lang w:val="en-US" w:eastAsia="zh-CN"/>
        </w:rPr>
        <w:t>第三十七章 加强历史文化保护传承</w:t>
      </w:r>
      <w:bookmarkEnd w:id="1523"/>
      <w:bookmarkEnd w:id="1524"/>
      <w:bookmarkEnd w:id="1525"/>
      <w:bookmarkEnd w:id="1526"/>
    </w:p>
    <w:p w14:paraId="7B974F85">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树立大文化遗产观，统筹推进文化遗产系统性保护、历史研究阐释与成果转化、文化遗产活化利用，讲好母城文化故事，持续擦亮</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人文渝中</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金字招牌。</w:t>
      </w:r>
    </w:p>
    <w:p w14:paraId="7A779DEA">
      <w:pPr>
        <w:keepNext w:val="0"/>
        <w:keepLines w:val="0"/>
        <w:pageBreakBefore w:val="0"/>
        <w:widowControl w:val="0"/>
        <w:numPr>
          <w:ilvl w:val="0"/>
          <w:numId w:val="0"/>
        </w:numPr>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27" w:name="_Toc17883"/>
      <w:bookmarkStart w:id="1528" w:name="_Toc15445"/>
      <w:bookmarkStart w:id="1529" w:name="_Toc10389"/>
      <w:bookmarkStart w:id="1530" w:name="_Toc13006"/>
      <w:r>
        <w:rPr>
          <w:rFonts w:hint="default" w:ascii="Times New Roman" w:hAnsi="Times New Roman" w:eastAsia="方正楷体_GBK" w:cs="Times New Roman"/>
          <w:color w:val="auto"/>
          <w:sz w:val="32"/>
          <w:szCs w:val="32"/>
          <w:highlight w:val="none"/>
          <w:lang w:val="en-US" w:eastAsia="zh-CN"/>
        </w:rPr>
        <w:t>第一节 加强文物系统性保护</w:t>
      </w:r>
      <w:bookmarkEnd w:id="1527"/>
      <w:bookmarkEnd w:id="1528"/>
      <w:bookmarkEnd w:id="1529"/>
      <w:bookmarkEnd w:id="1530"/>
      <w:r>
        <w:rPr>
          <w:rFonts w:hint="default" w:ascii="Times New Roman" w:hAnsi="Times New Roman" w:eastAsia="方正楷体_GBK" w:cs="Times New Roman"/>
          <w:color w:val="auto"/>
          <w:sz w:val="32"/>
          <w:szCs w:val="32"/>
          <w:highlight w:val="none"/>
          <w:lang w:val="en-US" w:eastAsia="zh-CN"/>
        </w:rPr>
        <w:t xml:space="preserve"> </w:t>
      </w:r>
    </w:p>
    <w:p w14:paraId="393E92B0">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扎实开展第四次全国文物普查，全面摸清文物底数，完善全区文物</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四有</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工作，推动文物保护由抢救性保护向抢救性与预防性保护并重转变。重点推进石质文物病害分析、重点文物结构稳定动态监测、文物三维建模及数字化场景构建、文物安全智能巡查等科技</w:t>
      </w:r>
      <w:r>
        <w:rPr>
          <w:rFonts w:hint="default" w:ascii="Times New Roman" w:hAnsi="Times New Roman" w:eastAsia="方正仿宋_GBK" w:cs="Times New Roman"/>
          <w:color w:val="auto"/>
          <w:sz w:val="32"/>
          <w:szCs w:val="32"/>
          <w:highlight w:val="none"/>
          <w:lang w:val="en-US" w:eastAsia="zh-CN"/>
        </w:rPr>
        <w:t>应</w:t>
      </w:r>
      <w:r>
        <w:rPr>
          <w:rFonts w:hint="default" w:ascii="Times New Roman" w:hAnsi="Times New Roman" w:eastAsia="方正仿宋_GBK" w:cs="Times New Roman"/>
          <w:color w:val="auto"/>
          <w:sz w:val="32"/>
          <w:szCs w:val="32"/>
          <w:highlight w:val="none"/>
        </w:rPr>
        <w:t>用</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进一步</w:t>
      </w:r>
      <w:r>
        <w:rPr>
          <w:rFonts w:hint="default" w:ascii="Times New Roman" w:hAnsi="Times New Roman" w:eastAsia="方正仿宋_GBK" w:cs="Times New Roman"/>
          <w:color w:val="auto"/>
          <w:sz w:val="32"/>
          <w:szCs w:val="32"/>
          <w:highlight w:val="none"/>
        </w:rPr>
        <w:t>提高文物保护科技化与智能化水平。健全文物工程管理、重点项目联动、开放利用评估、社会监督及研究阐释社会参与等机制</w:t>
      </w:r>
      <w:r>
        <w:rPr>
          <w:rFonts w:hint="default" w:ascii="Times New Roman" w:hAnsi="Times New Roman" w:eastAsia="方正仿宋_GBK" w:cs="Times New Roman"/>
          <w:color w:val="auto"/>
          <w:sz w:val="32"/>
          <w:szCs w:val="32"/>
          <w:highlight w:val="none"/>
          <w:lang w:eastAsia="zh-CN"/>
        </w:rPr>
        <w:t>，推动文物保护与利用并举。</w:t>
      </w:r>
    </w:p>
    <w:p w14:paraId="39D090A6">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31" w:name="_Toc8965"/>
      <w:bookmarkStart w:id="1532" w:name="_Toc16825"/>
      <w:bookmarkStart w:id="1533" w:name="_Toc5193"/>
      <w:bookmarkStart w:id="1534" w:name="_Toc12136"/>
      <w:r>
        <w:rPr>
          <w:rFonts w:hint="default" w:ascii="Times New Roman" w:hAnsi="Times New Roman" w:eastAsia="方正楷体_GBK" w:cs="Times New Roman"/>
          <w:color w:val="auto"/>
          <w:sz w:val="32"/>
          <w:szCs w:val="32"/>
          <w:highlight w:val="none"/>
          <w:lang w:val="en-US" w:eastAsia="zh-CN"/>
        </w:rPr>
        <w:t>第二节 深化母城文化研究阐释与成果转化</w:t>
      </w:r>
      <w:bookmarkEnd w:id="1531"/>
      <w:bookmarkEnd w:id="1532"/>
      <w:bookmarkEnd w:id="1533"/>
      <w:bookmarkEnd w:id="1534"/>
    </w:p>
    <w:p w14:paraId="7B30F2F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探索成立母城文化研究会与组建历史文化研究智库，鼓励高校、科研机构及社会力量参与母城文化研究，建强多层次母城文化专业研究力量。</w:t>
      </w:r>
      <w:r>
        <w:rPr>
          <w:rFonts w:hint="default" w:ascii="Times New Roman" w:hAnsi="Times New Roman" w:eastAsia="方正仿宋_GBK" w:cs="Times New Roman"/>
          <w:color w:val="auto"/>
          <w:sz w:val="32"/>
          <w:szCs w:val="32"/>
          <w:highlight w:val="none"/>
        </w:rPr>
        <w:t>重点推进老鼓楼衙署遗址</w:t>
      </w:r>
      <w:r>
        <w:rPr>
          <w:rFonts w:hint="default" w:ascii="Times New Roman" w:hAnsi="Times New Roman" w:eastAsia="方正仿宋_GBK" w:cs="Times New Roman"/>
          <w:color w:val="auto"/>
          <w:sz w:val="32"/>
          <w:szCs w:val="32"/>
          <w:highlight w:val="none"/>
          <w:lang w:val="en-US" w:eastAsia="zh-CN"/>
        </w:rPr>
        <w:t>申遗研究</w:t>
      </w: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九开八闭</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城门历史文化挖掘、渝中老建筑故事梳理、红色资源阐释，推出具有学术代表性和地域特色的研究成果。常态化开展母城文化培训、主题展览、学术讲座、交流研讨等活动，</w:t>
      </w:r>
      <w:r>
        <w:rPr>
          <w:rFonts w:hint="default" w:ascii="Times New Roman" w:hAnsi="Times New Roman" w:eastAsia="方正仿宋_GBK" w:cs="Times New Roman"/>
          <w:color w:val="auto"/>
          <w:sz w:val="32"/>
          <w:szCs w:val="32"/>
          <w:highlight w:val="none"/>
          <w:lang w:val="en-US" w:eastAsia="zh-CN"/>
        </w:rPr>
        <w:t>促进母城文化交流传播。</w:t>
      </w:r>
    </w:p>
    <w:p w14:paraId="7645BD2D">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outlineLvl w:val="2"/>
        <w:rPr>
          <w:rFonts w:hint="default" w:ascii="Times New Roman" w:hAnsi="Times New Roman" w:eastAsia="方正仿宋_GBK" w:cs="Times New Roman"/>
          <w:color w:val="auto"/>
          <w:sz w:val="32"/>
          <w:szCs w:val="32"/>
          <w:highlight w:val="none"/>
          <w:lang w:val="en-US" w:eastAsia="zh-CN"/>
        </w:rPr>
      </w:pPr>
      <w:bookmarkStart w:id="1535" w:name="_Toc19121"/>
      <w:bookmarkStart w:id="1536" w:name="_Toc28344"/>
      <w:bookmarkStart w:id="1537" w:name="_Toc17086"/>
      <w:bookmarkStart w:id="1538" w:name="_Toc23678"/>
      <w:r>
        <w:rPr>
          <w:rFonts w:hint="default" w:ascii="Times New Roman" w:hAnsi="Times New Roman" w:eastAsia="方正楷体_GBK" w:cs="Times New Roman"/>
          <w:color w:val="auto"/>
          <w:sz w:val="32"/>
          <w:szCs w:val="32"/>
          <w:highlight w:val="none"/>
          <w:lang w:val="en-US" w:eastAsia="zh-CN"/>
        </w:rPr>
        <w:t>第三节 加强文化遗产活化利用</w:t>
      </w:r>
      <w:bookmarkEnd w:id="1535"/>
      <w:bookmarkEnd w:id="1536"/>
      <w:bookmarkEnd w:id="1537"/>
      <w:bookmarkEnd w:id="1538"/>
    </w:p>
    <w:p w14:paraId="768FC7C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推动重要文物资源保护利用，</w:t>
      </w:r>
      <w:r>
        <w:rPr>
          <w:rFonts w:hint="default" w:ascii="Times New Roman" w:hAnsi="Times New Roman" w:eastAsia="方正仿宋_GBK" w:cs="Times New Roman"/>
          <w:color w:val="auto"/>
          <w:sz w:val="32"/>
          <w:szCs w:val="32"/>
          <w:highlight w:val="none"/>
        </w:rPr>
        <w:t>实施老鼓楼衙署遗址、重庆古城墙等文物保护重点工程，强化科技赋能</w:t>
      </w:r>
      <w:r>
        <w:rPr>
          <w:rFonts w:hint="default" w:ascii="Times New Roman" w:hAnsi="Times New Roman" w:eastAsia="方正仿宋_GBK" w:cs="Times New Roman"/>
          <w:color w:val="auto"/>
          <w:sz w:val="32"/>
          <w:szCs w:val="32"/>
          <w:highlight w:val="none"/>
          <w:lang w:eastAsia="zh-CN"/>
        </w:rPr>
        <w:t>，加强动态监测与数字化场景建设</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加强革命文物等保护利用，建设红岩文化公园等特色地标，争创国家文物保护利用示范区。</w:t>
      </w:r>
      <w:r>
        <w:rPr>
          <w:rFonts w:hint="default" w:ascii="Times New Roman" w:hAnsi="Times New Roman" w:eastAsia="方正仿宋_GBK" w:cs="Times New Roman"/>
          <w:color w:val="auto"/>
          <w:sz w:val="32"/>
          <w:szCs w:val="32"/>
          <w:highlight w:val="none"/>
        </w:rPr>
        <w:t>加强非遗整体性保护与传承，</w:t>
      </w:r>
      <w:r>
        <w:rPr>
          <w:rFonts w:hint="default" w:ascii="Times New Roman" w:hAnsi="Times New Roman" w:eastAsia="方正仿宋_GBK" w:cs="Times New Roman"/>
          <w:color w:val="auto"/>
          <w:sz w:val="32"/>
          <w:szCs w:val="32"/>
          <w:highlight w:val="none"/>
          <w:lang w:val="en-US" w:eastAsia="zh-CN"/>
        </w:rPr>
        <w:t>实施传统技艺、传统医药、传统工艺等非遗焕新计划，</w:t>
      </w:r>
      <w:r>
        <w:rPr>
          <w:rFonts w:hint="default" w:ascii="Times New Roman" w:hAnsi="Times New Roman" w:eastAsia="方正仿宋_GBK" w:cs="Times New Roman"/>
          <w:color w:val="auto"/>
          <w:sz w:val="32"/>
          <w:szCs w:val="32"/>
          <w:highlight w:val="none"/>
        </w:rPr>
        <w:t>推出一批特色非遗文创</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IP</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。促进闲置资源合理利用，推进国民参政会旧址、白象街等片区等合理植入文化展示、休闲体验等业态</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完善历史类、专题类、行业类等博物馆布局，提升中小博物馆策展、社教、讲解等能力</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探索打造数字博物馆。</w:t>
      </w:r>
    </w:p>
    <w:p w14:paraId="17A9AD4B">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1"/>
        <w:rPr>
          <w:rFonts w:hint="default" w:ascii="Times New Roman" w:hAnsi="Times New Roman" w:eastAsia="方正黑体_GBK" w:cs="Times New Roman"/>
          <w:color w:val="auto"/>
          <w:sz w:val="32"/>
          <w:szCs w:val="32"/>
          <w:highlight w:val="none"/>
          <w:lang w:val="en-US" w:eastAsia="zh-CN"/>
        </w:rPr>
      </w:pPr>
      <w:bookmarkStart w:id="1539" w:name="_Toc23199"/>
      <w:bookmarkStart w:id="1540" w:name="_Toc9761"/>
      <w:bookmarkStart w:id="1541" w:name="_Toc16168"/>
      <w:bookmarkStart w:id="1542" w:name="_Toc22848"/>
      <w:r>
        <w:rPr>
          <w:rFonts w:hint="default" w:ascii="Times New Roman" w:hAnsi="Times New Roman" w:eastAsia="方正黑体_GBK" w:cs="Times New Roman"/>
          <w:color w:val="auto"/>
          <w:sz w:val="32"/>
          <w:szCs w:val="32"/>
          <w:highlight w:val="none"/>
          <w:lang w:val="en-US" w:eastAsia="zh-CN"/>
        </w:rPr>
        <w:t>第三十八章 大力繁荣发展文化事业</w:t>
      </w:r>
      <w:bookmarkEnd w:id="1539"/>
      <w:bookmarkEnd w:id="1540"/>
      <w:bookmarkEnd w:id="1541"/>
      <w:bookmarkEnd w:id="1542"/>
    </w:p>
    <w:p w14:paraId="797EA92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创新公共文化产品内容与供给模式，增强文化原创能力，更好满足人民群众高品质、多样化文化需求。</w:t>
      </w:r>
    </w:p>
    <w:p w14:paraId="16A70247">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rPr>
      </w:pPr>
      <w:bookmarkStart w:id="1543" w:name="_Toc29274"/>
      <w:bookmarkStart w:id="1544" w:name="_Toc8655"/>
      <w:bookmarkStart w:id="1545" w:name="_Toc21309"/>
      <w:bookmarkStart w:id="1546" w:name="_Toc29128"/>
      <w:r>
        <w:rPr>
          <w:rFonts w:hint="default" w:ascii="Times New Roman" w:hAnsi="Times New Roman" w:eastAsia="方正楷体_GBK" w:cs="Times New Roman"/>
          <w:color w:val="auto"/>
          <w:sz w:val="32"/>
          <w:szCs w:val="32"/>
          <w:highlight w:val="none"/>
        </w:rPr>
        <w:t>第</w:t>
      </w:r>
      <w:r>
        <w:rPr>
          <w:rFonts w:hint="default" w:ascii="Times New Roman" w:hAnsi="Times New Roman" w:eastAsia="方正楷体_GBK" w:cs="Times New Roman"/>
          <w:color w:val="auto"/>
          <w:sz w:val="32"/>
          <w:szCs w:val="32"/>
          <w:highlight w:val="none"/>
          <w:lang w:val="en-US" w:eastAsia="zh-CN"/>
        </w:rPr>
        <w:t>一</w:t>
      </w:r>
      <w:r>
        <w:rPr>
          <w:rFonts w:hint="default" w:ascii="Times New Roman" w:hAnsi="Times New Roman" w:eastAsia="方正楷体_GBK" w:cs="Times New Roman"/>
          <w:color w:val="auto"/>
          <w:sz w:val="32"/>
          <w:szCs w:val="32"/>
          <w:highlight w:val="none"/>
        </w:rPr>
        <w:t>节 深入推进文化惠民</w:t>
      </w:r>
      <w:bookmarkEnd w:id="1543"/>
      <w:bookmarkEnd w:id="1544"/>
      <w:bookmarkEnd w:id="1545"/>
      <w:bookmarkEnd w:id="1546"/>
    </w:p>
    <w:p w14:paraId="16A46E9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实施公共文化服务提质增效行动，</w:t>
      </w:r>
      <w:r>
        <w:rPr>
          <w:rFonts w:hint="default" w:ascii="Times New Roman" w:hAnsi="Times New Roman" w:eastAsia="方正仿宋_GBK" w:cs="Times New Roman"/>
          <w:color w:val="auto"/>
          <w:sz w:val="32"/>
          <w:szCs w:val="32"/>
          <w:highlight w:val="none"/>
          <w:lang w:val="en-US" w:eastAsia="zh-CN"/>
        </w:rPr>
        <w:t>优化</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区域文化地标+基层文化客厅+新型文化空间</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三级设施网络。</w:t>
      </w:r>
      <w:r>
        <w:rPr>
          <w:rFonts w:hint="default" w:ascii="Times New Roman" w:hAnsi="Times New Roman" w:eastAsia="方正仿宋_GBK" w:cs="Times New Roman"/>
          <w:color w:val="auto"/>
          <w:sz w:val="32"/>
          <w:szCs w:val="32"/>
          <w:highlight w:val="none"/>
        </w:rPr>
        <w:t>巩固拓展公共文化阵地，融合打造城市书房、文化驿站、文博展馆等</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沉浸</w:t>
      </w:r>
      <w:r>
        <w:rPr>
          <w:rFonts w:hint="default" w:ascii="Times New Roman" w:hAnsi="Times New Roman" w:eastAsia="方正仿宋_GBK" w:cs="Times New Roman"/>
          <w:color w:val="auto"/>
          <w:sz w:val="32"/>
          <w:szCs w:val="32"/>
          <w:highlight w:val="none"/>
          <w:lang w:val="en-US" w:eastAsia="zh-CN"/>
        </w:rPr>
        <w:t>式</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新型文化空间。</w:t>
      </w:r>
      <w:r>
        <w:rPr>
          <w:rFonts w:hint="default" w:ascii="Times New Roman" w:hAnsi="Times New Roman" w:eastAsia="方正仿宋_GBK" w:cs="Times New Roman"/>
          <w:b w:val="0"/>
          <w:bCs w:val="0"/>
          <w:color w:val="auto"/>
          <w:sz w:val="32"/>
          <w:szCs w:val="40"/>
          <w:highlight w:val="none"/>
        </w:rPr>
        <w:t>推动优质文化资源直达基层，持续擦亮</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乐响渝中</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城墙故事会</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渝中讲坛</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等群众文化品牌，常态化开展</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戏曲进校园</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非遗进社区</w:t>
      </w:r>
      <w:r>
        <w:rPr>
          <w:rFonts w:hint="eastAsia" w:ascii="Times New Roman" w:hAnsi="Times New Roman" w:eastAsia="方正仿宋_GBK" w:cs="方正仿宋_GBK"/>
          <w:b w:val="0"/>
          <w:bCs w:val="0"/>
          <w:color w:val="auto"/>
          <w:sz w:val="32"/>
          <w:szCs w:val="40"/>
          <w:highlight w:val="none"/>
          <w:lang w:eastAsia="zh-CN"/>
        </w:rPr>
        <w:t>”</w:t>
      </w:r>
      <w:r>
        <w:rPr>
          <w:rFonts w:hint="default" w:ascii="Times New Roman" w:hAnsi="Times New Roman" w:eastAsia="方正仿宋_GBK" w:cs="Times New Roman"/>
          <w:b w:val="0"/>
          <w:bCs w:val="0"/>
          <w:color w:val="auto"/>
          <w:sz w:val="32"/>
          <w:szCs w:val="40"/>
          <w:highlight w:val="none"/>
        </w:rPr>
        <w:t>等文化进基层实践活动，强化全民阅读和全民艺术普及，推进书香渝中建设。</w:t>
      </w:r>
      <w:r>
        <w:rPr>
          <w:rFonts w:hint="default" w:ascii="Times New Roman" w:hAnsi="Times New Roman" w:eastAsia="方正仿宋_GBK" w:cs="Times New Roman"/>
          <w:color w:val="auto"/>
          <w:sz w:val="32"/>
          <w:szCs w:val="32"/>
          <w:highlight w:val="none"/>
        </w:rPr>
        <w:t>创新社会力量丰富公共文化服务新模式，形成开放多元的供给体系。稳步推动公共文化设施所有权、使用权分置改革，推进博物馆IP授权文创产品开发。</w:t>
      </w:r>
    </w:p>
    <w:p w14:paraId="4F8F5B97">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47" w:name="_Toc28130"/>
      <w:bookmarkStart w:id="1548" w:name="_Toc20014"/>
      <w:bookmarkStart w:id="1549" w:name="_Toc826"/>
      <w:bookmarkStart w:id="1550" w:name="_Toc2063"/>
      <w:r>
        <w:rPr>
          <w:rFonts w:hint="default" w:ascii="Times New Roman" w:hAnsi="Times New Roman" w:eastAsia="方正楷体_GBK" w:cs="Times New Roman"/>
          <w:color w:val="auto"/>
          <w:sz w:val="32"/>
          <w:szCs w:val="32"/>
          <w:highlight w:val="none"/>
          <w:lang w:val="en-US" w:eastAsia="zh-CN"/>
        </w:rPr>
        <w:t>第二节 推动文化艺术创新发展</w:t>
      </w:r>
      <w:bookmarkEnd w:id="1547"/>
      <w:bookmarkEnd w:id="1548"/>
      <w:bookmarkEnd w:id="1549"/>
      <w:bookmarkEnd w:id="1550"/>
    </w:p>
    <w:p w14:paraId="028DF315">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实施文艺精品创作工程，</w:t>
      </w:r>
      <w:r>
        <w:rPr>
          <w:rFonts w:hint="default" w:ascii="Times New Roman" w:hAnsi="Times New Roman" w:eastAsia="方正仿宋_GBK" w:cs="Times New Roman"/>
          <w:color w:val="auto"/>
          <w:sz w:val="32"/>
          <w:szCs w:val="32"/>
          <w:highlight w:val="none"/>
        </w:rPr>
        <w:t>深挖巴渝文化、抗战文化、革命文化、统战文化和移民文化内涵，鼓励文化企业、文化名家发挥工匠精神，不断推出</w:t>
      </w:r>
      <w:r>
        <w:rPr>
          <w:rFonts w:hint="default" w:ascii="Times New Roman" w:hAnsi="Times New Roman" w:eastAsia="方正仿宋_GBK" w:cs="Times New Roman"/>
          <w:color w:val="auto"/>
          <w:sz w:val="32"/>
          <w:szCs w:val="32"/>
          <w:highlight w:val="none"/>
          <w:lang w:val="en-US" w:eastAsia="zh-CN"/>
        </w:rPr>
        <w:t>弘扬</w:t>
      </w:r>
      <w:r>
        <w:rPr>
          <w:rFonts w:hint="default" w:ascii="Times New Roman" w:hAnsi="Times New Roman" w:eastAsia="方正仿宋_GBK" w:cs="Times New Roman"/>
          <w:color w:val="auto"/>
          <w:sz w:val="32"/>
          <w:szCs w:val="32"/>
          <w:highlight w:val="none"/>
          <w:lang w:eastAsia="zh-CN"/>
        </w:rPr>
        <w:t>母城</w:t>
      </w:r>
      <w:r>
        <w:rPr>
          <w:rFonts w:hint="default" w:ascii="Times New Roman" w:hAnsi="Times New Roman" w:eastAsia="方正仿宋_GBK" w:cs="Times New Roman"/>
          <w:color w:val="auto"/>
          <w:sz w:val="32"/>
          <w:szCs w:val="32"/>
          <w:highlight w:val="none"/>
          <w:lang w:val="en-US" w:eastAsia="zh-CN"/>
        </w:rPr>
        <w:t>文化</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反映时代新气象的文艺精品。</w:t>
      </w:r>
      <w:r>
        <w:rPr>
          <w:rFonts w:hint="default" w:ascii="Times New Roman" w:hAnsi="Times New Roman" w:eastAsia="方正仿宋_GBK" w:cs="Times New Roman"/>
          <w:color w:val="auto"/>
          <w:sz w:val="32"/>
          <w:szCs w:val="32"/>
          <w:highlight w:val="none"/>
          <w:lang w:eastAsia="zh-CN"/>
        </w:rPr>
        <w:t>落实重庆文化英才工程，引育高水平高层次文化人才队伍。</w:t>
      </w:r>
      <w:r>
        <w:rPr>
          <w:rFonts w:hint="default" w:ascii="Times New Roman" w:hAnsi="Times New Roman" w:eastAsia="方正仿宋_GBK" w:cs="Times New Roman"/>
          <w:color w:val="auto"/>
          <w:sz w:val="32"/>
          <w:szCs w:val="32"/>
          <w:highlight w:val="none"/>
        </w:rPr>
        <w:t>用好院团资源，提升演艺剧场，全力打造解放碑中央艺术区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加强文艺理论研究，积极开展文艺评论，促进创作生产健康发展。积极引入专业艺术拍卖机构、优质艺术展览资源，常态化举办沉浸式艺术展、艺术品鉴会等活动。</w:t>
      </w:r>
    </w:p>
    <w:p w14:paraId="5318379A">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1"/>
        <w:rPr>
          <w:rFonts w:hint="default" w:ascii="Times New Roman" w:hAnsi="Times New Roman" w:eastAsia="方正黑体_GBK" w:cs="Times New Roman"/>
          <w:color w:val="auto"/>
          <w:sz w:val="32"/>
          <w:szCs w:val="32"/>
          <w:highlight w:val="none"/>
          <w:lang w:val="en-US" w:eastAsia="zh-CN"/>
        </w:rPr>
      </w:pPr>
      <w:bookmarkStart w:id="1551" w:name="_Toc3636"/>
      <w:bookmarkStart w:id="1552" w:name="_Toc20643"/>
      <w:bookmarkStart w:id="1553" w:name="_Toc29447"/>
      <w:bookmarkStart w:id="1554" w:name="_Toc13713"/>
      <w:r>
        <w:rPr>
          <w:rFonts w:hint="default" w:ascii="Times New Roman" w:hAnsi="Times New Roman" w:eastAsia="方正黑体_GBK" w:cs="Times New Roman"/>
          <w:color w:val="auto"/>
          <w:sz w:val="32"/>
          <w:szCs w:val="32"/>
          <w:highlight w:val="none"/>
          <w:lang w:val="en-US" w:eastAsia="zh-CN"/>
        </w:rPr>
        <w:t>第三十九章 完善现代文化产业体系</w:t>
      </w:r>
      <w:bookmarkEnd w:id="1551"/>
      <w:bookmarkEnd w:id="1552"/>
      <w:bookmarkEnd w:id="1553"/>
      <w:bookmarkEnd w:id="1554"/>
    </w:p>
    <w:p w14:paraId="2548319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健全文化市场管理和生产经营机制，培育壮大市场主体，推动文化产业创新发展，加快构建多元包容、活力迸发、健康有序的现代文化产业市场，文化及相关产业增加值占GDP比重达到7.3%。</w:t>
      </w:r>
    </w:p>
    <w:p w14:paraId="3C2DB3E4">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55" w:name="_Toc32240"/>
      <w:bookmarkStart w:id="1556" w:name="_Toc10825"/>
      <w:bookmarkStart w:id="1557" w:name="_Toc19655"/>
      <w:bookmarkStart w:id="1558" w:name="_Toc29475"/>
      <w:r>
        <w:rPr>
          <w:rFonts w:hint="default" w:ascii="Times New Roman" w:hAnsi="Times New Roman" w:eastAsia="方正楷体_GBK" w:cs="Times New Roman"/>
          <w:color w:val="auto"/>
          <w:sz w:val="32"/>
          <w:szCs w:val="32"/>
          <w:highlight w:val="none"/>
          <w:lang w:val="en-US" w:eastAsia="zh-CN"/>
        </w:rPr>
        <w:t>第一节 推动传统文化产业转型升级</w:t>
      </w:r>
      <w:bookmarkEnd w:id="1555"/>
      <w:bookmarkEnd w:id="1556"/>
      <w:bookmarkEnd w:id="1557"/>
      <w:bookmarkEnd w:id="1558"/>
    </w:p>
    <w:p w14:paraId="0B2EF33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bookmarkStart w:id="1559" w:name="OLE_LINK12"/>
      <w:bookmarkStart w:id="1560" w:name="OLE_LINK21"/>
      <w:r>
        <w:rPr>
          <w:rFonts w:hint="default" w:ascii="Times New Roman" w:hAnsi="Times New Roman" w:eastAsia="方正仿宋_GBK" w:cs="Times New Roman"/>
          <w:color w:val="auto"/>
          <w:sz w:val="32"/>
          <w:szCs w:val="32"/>
          <w:highlight w:val="none"/>
          <w:lang w:val="en-US" w:eastAsia="zh-CN"/>
        </w:rPr>
        <w:t>支持</w:t>
      </w:r>
      <w:r>
        <w:rPr>
          <w:rFonts w:hint="default" w:ascii="Times New Roman" w:hAnsi="Times New Roman" w:eastAsia="方正仿宋_GBK" w:cs="Times New Roman"/>
          <w:color w:val="auto"/>
          <w:sz w:val="32"/>
          <w:szCs w:val="32"/>
          <w:highlight w:val="none"/>
        </w:rPr>
        <w:t>新华出版、重庆报业集团等龙头</w:t>
      </w:r>
      <w:r>
        <w:rPr>
          <w:rFonts w:hint="default" w:ascii="Times New Roman" w:hAnsi="Times New Roman" w:eastAsia="方正仿宋_GBK" w:cs="Times New Roman"/>
          <w:color w:val="auto"/>
          <w:sz w:val="32"/>
          <w:szCs w:val="32"/>
          <w:highlight w:val="none"/>
          <w:lang w:val="en-US" w:eastAsia="zh-CN"/>
        </w:rPr>
        <w:t>新闻出版、印刷发行等传统业态加快数智化赋能、信息化转型，打通内容生产—数字传播—IP衍生产业闭环，提升融合出版、网络出版、智能出版发展能级。</w:t>
      </w:r>
      <w:bookmarkStart w:id="1561" w:name="OLE_LINK7"/>
      <w:r>
        <w:rPr>
          <w:rFonts w:hint="default" w:ascii="Times New Roman" w:hAnsi="Times New Roman" w:eastAsia="方正仿宋_GBK" w:cs="Times New Roman"/>
          <w:color w:val="auto"/>
          <w:sz w:val="32"/>
          <w:szCs w:val="32"/>
          <w:highlight w:val="none"/>
        </w:rPr>
        <w:t>着力做强创意设计产业</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依托黄花园、桂花园等文创产业园，引导传统广告、设计企业向文旅IP创意设计与数字交互领域转型升级</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重点培育一批深度融合母城文化、红色基因、山水风貌等独特标识</w:t>
      </w:r>
      <w:r>
        <w:rPr>
          <w:rFonts w:hint="default" w:ascii="Times New Roman" w:hAnsi="Times New Roman" w:eastAsia="方正仿宋_GBK" w:cs="Times New Roman"/>
          <w:color w:val="auto"/>
          <w:sz w:val="32"/>
          <w:szCs w:val="32"/>
          <w:highlight w:val="none"/>
          <w:lang w:val="en-US" w:eastAsia="zh-CN"/>
        </w:rPr>
        <w:t>兼</w:t>
      </w:r>
      <w:r>
        <w:rPr>
          <w:rFonts w:hint="default" w:ascii="Times New Roman" w:hAnsi="Times New Roman" w:eastAsia="方正仿宋_GBK" w:cs="Times New Roman"/>
          <w:color w:val="auto"/>
          <w:sz w:val="32"/>
          <w:szCs w:val="32"/>
          <w:highlight w:val="none"/>
        </w:rPr>
        <w:t>具娱乐性交互性的原创现象级IP。</w:t>
      </w:r>
      <w:bookmarkEnd w:id="1561"/>
      <w:bookmarkStart w:id="1562" w:name="OLE_LINK8"/>
      <w:r>
        <w:rPr>
          <w:rFonts w:hint="default" w:ascii="Times New Roman" w:hAnsi="Times New Roman" w:eastAsia="方正仿宋_GBK" w:cs="Times New Roman"/>
          <w:color w:val="auto"/>
          <w:sz w:val="32"/>
          <w:szCs w:val="32"/>
          <w:highlight w:val="none"/>
          <w:lang w:val="en-US" w:eastAsia="zh-CN"/>
        </w:rPr>
        <w:t>发展壮大演出经济，</w:t>
      </w:r>
      <w:r>
        <w:rPr>
          <w:rFonts w:hint="default" w:ascii="Times New Roman" w:hAnsi="Times New Roman" w:eastAsia="方正仿宋_GBK" w:cs="Times New Roman"/>
          <w:color w:val="auto"/>
          <w:sz w:val="32"/>
          <w:szCs w:val="32"/>
          <w:highlight w:val="none"/>
        </w:rPr>
        <w:t>支持在区国有文艺院团改革</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探索引导社会多元主体参与文艺精品项目创作，发展壮大院团演艺、旅游演艺，加快引育</w:t>
      </w:r>
      <w:r>
        <w:rPr>
          <w:rFonts w:hint="default" w:ascii="Times New Roman" w:hAnsi="Times New Roman" w:eastAsia="方正仿宋_GBK" w:cs="Times New Roman"/>
          <w:color w:val="auto"/>
          <w:sz w:val="32"/>
          <w:szCs w:val="32"/>
          <w:highlight w:val="none"/>
        </w:rPr>
        <w:t>一批具有市场号召力的驻场演出品牌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开发演艺衍生品市场</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布局中小剧场及特色展演空间，打造演艺街区和艺术商圈。</w:t>
      </w:r>
    </w:p>
    <w:bookmarkEnd w:id="1562"/>
    <w:p w14:paraId="7D2EE79C">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63" w:name="_Toc21419"/>
      <w:bookmarkStart w:id="1564" w:name="_Toc20940"/>
      <w:bookmarkStart w:id="1565" w:name="_Toc8502"/>
      <w:bookmarkStart w:id="1566" w:name="_Toc23099"/>
      <w:r>
        <w:rPr>
          <w:rFonts w:hint="default" w:ascii="Times New Roman" w:hAnsi="Times New Roman" w:eastAsia="方正楷体_GBK" w:cs="Times New Roman"/>
          <w:color w:val="auto"/>
          <w:sz w:val="32"/>
          <w:szCs w:val="32"/>
          <w:highlight w:val="none"/>
          <w:lang w:val="en-US" w:eastAsia="zh-CN"/>
        </w:rPr>
        <w:t>第二节 大力发展新质文化产业</w:t>
      </w:r>
      <w:bookmarkEnd w:id="1563"/>
      <w:bookmarkEnd w:id="1564"/>
      <w:bookmarkEnd w:id="1565"/>
      <w:bookmarkEnd w:id="1566"/>
    </w:p>
    <w:p w14:paraId="61E55E1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bookmarkStart w:id="1567" w:name="OLE_LINK10"/>
      <w:r>
        <w:rPr>
          <w:rFonts w:hint="default" w:ascii="Times New Roman" w:hAnsi="Times New Roman" w:eastAsia="方正仿宋_GBK" w:cs="Times New Roman"/>
          <w:color w:val="auto"/>
          <w:sz w:val="32"/>
          <w:szCs w:val="32"/>
          <w:highlight w:val="none"/>
          <w:lang w:val="en-US" w:eastAsia="zh-CN"/>
        </w:rPr>
        <w:t>加快发展数字内容产业，培育壮大网络视听、数字娱乐、网络文学、生成式人工智能（AIGC）等数字文化新业态，</w:t>
      </w:r>
      <w:r>
        <w:rPr>
          <w:rFonts w:hint="default" w:ascii="Times New Roman" w:hAnsi="Times New Roman" w:eastAsia="方正仿宋_GBK" w:cs="Times New Roman"/>
          <w:color w:val="auto"/>
          <w:sz w:val="32"/>
          <w:szCs w:val="32"/>
          <w:highlight w:val="none"/>
        </w:rPr>
        <w:t>打造具有区域影响力的数字文化创意集群</w:t>
      </w:r>
      <w:r>
        <w:rPr>
          <w:rFonts w:hint="default" w:ascii="Times New Roman" w:hAnsi="Times New Roman" w:eastAsia="方正仿宋_GBK" w:cs="Times New Roman"/>
          <w:color w:val="auto"/>
          <w:sz w:val="32"/>
          <w:szCs w:val="32"/>
          <w:highlight w:val="none"/>
          <w:lang w:val="en-US" w:eastAsia="zh-CN"/>
        </w:rPr>
        <w:t>。</w:t>
      </w:r>
      <w:bookmarkEnd w:id="1567"/>
      <w:bookmarkStart w:id="1568" w:name="OLE_LINK11"/>
      <w:r>
        <w:rPr>
          <w:rFonts w:hint="default" w:ascii="Times New Roman" w:hAnsi="Times New Roman" w:eastAsia="方正仿宋_GBK" w:cs="Times New Roman"/>
          <w:color w:val="auto"/>
          <w:sz w:val="32"/>
          <w:szCs w:val="32"/>
          <w:highlight w:val="none"/>
          <w:lang w:val="en-US" w:eastAsia="zh-CN"/>
        </w:rPr>
        <w:t>着力发展游戏动漫产业，</w:t>
      </w:r>
      <w:r>
        <w:rPr>
          <w:rFonts w:hint="default" w:ascii="Times New Roman" w:hAnsi="Times New Roman" w:eastAsia="方正仿宋_GBK" w:cs="Times New Roman"/>
          <w:color w:val="auto"/>
          <w:sz w:val="32"/>
          <w:szCs w:val="32"/>
          <w:highlight w:val="none"/>
        </w:rPr>
        <w:t>依托镜尘动漫、彩色铅笔动漫等</w:t>
      </w:r>
      <w:r>
        <w:rPr>
          <w:rFonts w:hint="default" w:ascii="Times New Roman" w:hAnsi="Times New Roman" w:eastAsia="方正仿宋_GBK" w:cs="Times New Roman"/>
          <w:color w:val="auto"/>
          <w:sz w:val="32"/>
          <w:szCs w:val="32"/>
          <w:highlight w:val="none"/>
          <w:lang w:val="en-US" w:eastAsia="zh-CN"/>
        </w:rPr>
        <w:t>龙头</w:t>
      </w:r>
      <w:r>
        <w:rPr>
          <w:rFonts w:hint="default" w:ascii="Times New Roman" w:hAnsi="Times New Roman" w:eastAsia="方正仿宋_GBK" w:cs="Times New Roman"/>
          <w:color w:val="auto"/>
          <w:sz w:val="32"/>
          <w:szCs w:val="32"/>
          <w:highlight w:val="none"/>
        </w:rPr>
        <w:t>企业，推动</w:t>
      </w:r>
      <w:r>
        <w:rPr>
          <w:rFonts w:hint="default" w:ascii="Times New Roman" w:hAnsi="Times New Roman" w:eastAsia="方正仿宋_GBK" w:cs="Times New Roman"/>
          <w:color w:val="auto"/>
          <w:sz w:val="32"/>
          <w:szCs w:val="32"/>
          <w:highlight w:val="none"/>
          <w:lang w:val="en-US" w:eastAsia="zh-CN"/>
        </w:rPr>
        <w:t>游戏动漫和电竞产业</w:t>
      </w:r>
      <w:r>
        <w:rPr>
          <w:rFonts w:hint="default" w:ascii="Times New Roman" w:hAnsi="Times New Roman" w:eastAsia="方正仿宋_GBK" w:cs="Times New Roman"/>
          <w:color w:val="auto"/>
          <w:sz w:val="32"/>
          <w:szCs w:val="32"/>
          <w:highlight w:val="none"/>
        </w:rPr>
        <w:t>与科技、文旅、国潮等元素跨界融合，</w:t>
      </w:r>
      <w:r>
        <w:rPr>
          <w:rFonts w:hint="default" w:ascii="Times New Roman" w:hAnsi="Times New Roman" w:eastAsia="方正仿宋_GBK" w:cs="Times New Roman"/>
          <w:color w:val="auto"/>
          <w:sz w:val="32"/>
          <w:szCs w:val="32"/>
          <w:highlight w:val="none"/>
          <w:lang w:val="en-US" w:eastAsia="zh-CN"/>
        </w:rPr>
        <w:t>开发一批兼具</w:t>
      </w:r>
      <w:r>
        <w:rPr>
          <w:rFonts w:hint="default" w:ascii="Times New Roman" w:hAnsi="Times New Roman" w:eastAsia="方正仿宋_GBK" w:cs="Times New Roman"/>
          <w:color w:val="auto"/>
          <w:sz w:val="32"/>
          <w:szCs w:val="32"/>
          <w:highlight w:val="none"/>
        </w:rPr>
        <w:t>文化影响力与市场竞争力的产业新生态</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推动</w:t>
      </w:r>
      <w:r>
        <w:rPr>
          <w:rFonts w:hint="default" w:ascii="Times New Roman" w:hAnsi="Times New Roman" w:eastAsia="方正仿宋_GBK" w:cs="Times New Roman"/>
          <w:color w:val="auto"/>
          <w:sz w:val="32"/>
          <w:szCs w:val="32"/>
          <w:highlight w:val="none"/>
          <w:u w:val="none" w:color="auto"/>
          <w:lang w:eastAsia="zh-CN"/>
        </w:rPr>
        <w:t>智能文化装备与数字内容产业协同发展，</w:t>
      </w:r>
      <w:r>
        <w:rPr>
          <w:rFonts w:hint="default" w:ascii="Times New Roman" w:hAnsi="Times New Roman" w:eastAsia="方正仿宋_GBK" w:cs="Times New Roman"/>
          <w:b w:val="0"/>
          <w:bCs w:val="0"/>
          <w:color w:val="auto"/>
          <w:sz w:val="32"/>
          <w:szCs w:val="32"/>
          <w:highlight w:val="none"/>
          <w:u w:val="none" w:color="auto"/>
        </w:rPr>
        <w:t>壮大数字</w:t>
      </w:r>
      <w:r>
        <w:rPr>
          <w:rFonts w:hint="default" w:ascii="Times New Roman" w:hAnsi="Times New Roman" w:eastAsia="方正仿宋_GBK" w:cs="Times New Roman"/>
          <w:b w:val="0"/>
          <w:bCs w:val="0"/>
          <w:color w:val="auto"/>
          <w:sz w:val="32"/>
          <w:szCs w:val="32"/>
          <w:highlight w:val="none"/>
          <w:u w:val="none" w:color="auto"/>
          <w:lang w:val="en-US" w:eastAsia="zh-CN"/>
        </w:rPr>
        <w:t>展演、沉浸式体验和虚拟现实大空间设施</w:t>
      </w:r>
      <w:r>
        <w:rPr>
          <w:rFonts w:hint="default" w:ascii="Times New Roman" w:hAnsi="Times New Roman" w:eastAsia="方正仿宋_GBK" w:cs="Times New Roman"/>
          <w:b w:val="0"/>
          <w:bCs w:val="0"/>
          <w:color w:val="auto"/>
          <w:sz w:val="32"/>
          <w:szCs w:val="32"/>
          <w:highlight w:val="none"/>
          <w:u w:val="none" w:color="auto"/>
        </w:rPr>
        <w:t>等</w:t>
      </w:r>
      <w:r>
        <w:rPr>
          <w:rFonts w:hint="default" w:ascii="Times New Roman" w:hAnsi="Times New Roman" w:eastAsia="方正仿宋_GBK" w:cs="Times New Roman"/>
          <w:b w:val="0"/>
          <w:bCs w:val="0"/>
          <w:color w:val="auto"/>
          <w:sz w:val="32"/>
          <w:szCs w:val="32"/>
          <w:highlight w:val="none"/>
          <w:u w:val="none" w:color="auto"/>
          <w:lang w:val="en-US" w:eastAsia="zh-CN"/>
        </w:rPr>
        <w:t>装备供给，加快培育虚拟现实娱乐、云演艺、云展览等业态。</w:t>
      </w:r>
      <w:bookmarkEnd w:id="1568"/>
      <w:r>
        <w:rPr>
          <w:rFonts w:hint="default" w:ascii="Times New Roman" w:hAnsi="Times New Roman" w:eastAsia="方正仿宋_GBK" w:cs="Times New Roman"/>
          <w:b w:val="0"/>
          <w:bCs w:val="0"/>
          <w:color w:val="auto"/>
          <w:sz w:val="32"/>
          <w:szCs w:val="32"/>
          <w:highlight w:val="none"/>
          <w:u w:val="none" w:color="auto"/>
          <w:lang w:val="en-US" w:eastAsia="zh-CN"/>
        </w:rPr>
        <w:t>发展网络影视和影视实景拍摄、配套服务等业态，</w:t>
      </w:r>
      <w:r>
        <w:rPr>
          <w:rFonts w:hint="default" w:ascii="Times New Roman" w:hAnsi="Times New Roman" w:eastAsia="方正仿宋_GBK" w:cs="Times New Roman"/>
          <w:color w:val="auto"/>
          <w:sz w:val="32"/>
          <w:szCs w:val="32"/>
          <w:highlight w:val="none"/>
          <w:lang w:val="en-US" w:eastAsia="zh-CN"/>
        </w:rPr>
        <w:t>促进广电视听内容精品化，聚焦重大题材与母城文化，大力发展超高清、微短剧，打造具有国际影响力的原创IP。</w:t>
      </w:r>
    </w:p>
    <w:bookmarkEnd w:id="1559"/>
    <w:bookmarkEnd w:id="1560"/>
    <w:p w14:paraId="3AA62E93">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69" w:name="_Toc29940"/>
      <w:bookmarkStart w:id="1570" w:name="_Toc20305"/>
      <w:bookmarkStart w:id="1571" w:name="_Toc25035"/>
      <w:bookmarkStart w:id="1572" w:name="_Toc1697"/>
      <w:r>
        <w:rPr>
          <w:rFonts w:hint="default" w:ascii="Times New Roman" w:hAnsi="Times New Roman" w:eastAsia="方正楷体_GBK" w:cs="Times New Roman"/>
          <w:color w:val="auto"/>
          <w:sz w:val="32"/>
          <w:szCs w:val="32"/>
          <w:highlight w:val="none"/>
          <w:lang w:val="en-US" w:eastAsia="zh-CN"/>
        </w:rPr>
        <w:t>第三节 完善文化产业发展生态</w:t>
      </w:r>
      <w:bookmarkEnd w:id="1569"/>
      <w:bookmarkEnd w:id="1570"/>
      <w:bookmarkEnd w:id="1571"/>
      <w:bookmarkEnd w:id="1572"/>
    </w:p>
    <w:p w14:paraId="6238D5F8">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落实重大文化产业项目带动战略，实施龙头企业</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领航</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、优强企业</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倍增</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和专精特新企业</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育苗</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计划，集聚和培育一批领军企业和</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小巨人</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企业。高标准建设游戏动漫产业园、化龙桥国际视听产业园，着力打造主业突出、特色鲜明、带动性强的数字文化产业集群。提升国泰艺术中心、重庆市歌剧院等演艺空间效益，推动影院、剧场设备智能化升级，提高运营市场化、专业化水平。健全版权确权、运用、保护、交易全链条，强化版权对文化产业发展的支撑作用。</w:t>
      </w:r>
    </w:p>
    <w:p w14:paraId="315C1A3F">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1"/>
        <w:rPr>
          <w:rFonts w:hint="default" w:ascii="Times New Roman" w:hAnsi="Times New Roman" w:eastAsia="方正黑体_GBK" w:cs="Times New Roman"/>
          <w:color w:val="auto"/>
          <w:sz w:val="32"/>
          <w:szCs w:val="32"/>
          <w:highlight w:val="none"/>
          <w:lang w:val="en-US" w:eastAsia="zh-CN"/>
        </w:rPr>
      </w:pPr>
      <w:bookmarkStart w:id="1573" w:name="_Toc22791"/>
      <w:bookmarkStart w:id="1574" w:name="_Toc1605"/>
      <w:bookmarkStart w:id="1575" w:name="_Toc20284"/>
      <w:bookmarkStart w:id="1576" w:name="_Toc25672"/>
      <w:r>
        <w:rPr>
          <w:rFonts w:hint="default" w:ascii="Times New Roman" w:hAnsi="Times New Roman" w:eastAsia="方正黑体_GBK" w:cs="Times New Roman"/>
          <w:color w:val="auto"/>
          <w:sz w:val="32"/>
          <w:szCs w:val="32"/>
          <w:highlight w:val="none"/>
          <w:lang w:val="en-US" w:eastAsia="zh-CN"/>
        </w:rPr>
        <w:t>第四十章 打造世界知名文化旅游目的地核心区</w:t>
      </w:r>
      <w:bookmarkEnd w:id="1573"/>
      <w:bookmarkEnd w:id="1574"/>
      <w:bookmarkEnd w:id="1575"/>
      <w:bookmarkEnd w:id="1576"/>
    </w:p>
    <w:p w14:paraId="5F375D7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坚持以文塑旅、以旅彰文，推动文化和旅游深度融合，做靓</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雄奇山水 新韵重庆</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文旅品牌渝中标志性场景，不断提升国际旅游影响力。</w:t>
      </w:r>
    </w:p>
    <w:p w14:paraId="19DC085D">
      <w:pPr>
        <w:keepNext w:val="0"/>
        <w:keepLines w:val="0"/>
        <w:pageBreakBefore w:val="0"/>
        <w:widowControl w:val="0"/>
        <w:numPr>
          <w:ilvl w:val="-1"/>
          <w:numId w:val="0"/>
        </w:numPr>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77" w:name="_Toc12411"/>
      <w:bookmarkStart w:id="1578" w:name="_Toc5928"/>
      <w:bookmarkStart w:id="1579" w:name="_Toc2388"/>
      <w:bookmarkStart w:id="1580" w:name="_Toc28624"/>
      <w:r>
        <w:rPr>
          <w:rFonts w:hint="default" w:ascii="Times New Roman" w:hAnsi="Times New Roman" w:eastAsia="方正楷体_GBK" w:cs="Times New Roman"/>
          <w:color w:val="auto"/>
          <w:sz w:val="32"/>
          <w:szCs w:val="32"/>
          <w:highlight w:val="none"/>
          <w:lang w:val="en-US" w:eastAsia="zh-CN"/>
        </w:rPr>
        <w:t>第一节 优化大都市文旅发展格局</w:t>
      </w:r>
      <w:bookmarkEnd w:id="1577"/>
      <w:bookmarkEnd w:id="1578"/>
      <w:bookmarkEnd w:id="1579"/>
      <w:bookmarkEnd w:id="1580"/>
    </w:p>
    <w:p w14:paraId="5A1AA53F">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以</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九开八闭</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古城墙遗址为脉络，做优解放碑、</w:t>
      </w:r>
      <w:r>
        <w:rPr>
          <w:rFonts w:hint="default" w:ascii="Times New Roman" w:hAnsi="Times New Roman" w:eastAsia="方正仿宋_GBK" w:cs="Times New Roman"/>
          <w:color w:val="auto"/>
          <w:sz w:val="32"/>
          <w:szCs w:val="32"/>
          <w:highlight w:val="none"/>
          <w:lang w:val="en-US" w:eastAsia="zh-CN"/>
        </w:rPr>
        <w:t>朝天门、洪崖洞、十八梯、山城巷</w:t>
      </w:r>
      <w:r>
        <w:rPr>
          <w:rFonts w:hint="default" w:ascii="Times New Roman" w:hAnsi="Times New Roman" w:eastAsia="方正仿宋_GBK" w:cs="Times New Roman"/>
          <w:color w:val="auto"/>
          <w:sz w:val="32"/>
          <w:szCs w:val="32"/>
          <w:highlight w:val="none"/>
        </w:rPr>
        <w:t>等城市文旅地标，打造集历史寻踪、文化体验与都市休闲于一体的沉浸式母城记忆体验环。以大田湾体育场、劳动人民文化宫、人民大礼堂及中山三路沿线为核心，以环贰厂人文生态走廊为拓展，建设具有全国影响力的西南大区文体科创走廊</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以中法学校旧址、李子坝抗战遗址公园、红岩革命纪念馆为轴线，打造国家级红色</w:t>
      </w:r>
      <w:r>
        <w:rPr>
          <w:rFonts w:hint="default" w:ascii="Times New Roman" w:hAnsi="Times New Roman" w:eastAsia="方正仿宋_GBK" w:cs="Times New Roman"/>
          <w:color w:val="auto"/>
          <w:sz w:val="32"/>
          <w:szCs w:val="32"/>
          <w:highlight w:val="none"/>
          <w:lang w:val="en-US" w:eastAsia="zh-CN"/>
        </w:rPr>
        <w:t>记忆走廊</w:t>
      </w:r>
      <w:r>
        <w:rPr>
          <w:rFonts w:hint="default" w:ascii="Times New Roman" w:hAnsi="Times New Roman" w:eastAsia="方正仿宋_GBK" w:cs="Times New Roman"/>
          <w:color w:val="auto"/>
          <w:sz w:val="32"/>
          <w:szCs w:val="32"/>
          <w:highlight w:val="none"/>
        </w:rPr>
        <w:t>。升级山水都市风貌景观品质，推动大溪沟、化龙桥、李子坝等段滨江步道建设，修复提升鹅岭—虎头岩山脊线，</w:t>
      </w:r>
      <w:r>
        <w:rPr>
          <w:rFonts w:hint="default" w:ascii="Times New Roman" w:hAnsi="Times New Roman" w:eastAsia="方正仿宋_GBK" w:cs="Times New Roman"/>
          <w:color w:val="auto"/>
          <w:sz w:val="32"/>
          <w:szCs w:val="32"/>
          <w:highlight w:val="none"/>
          <w:lang w:val="en-US" w:eastAsia="zh-CN"/>
        </w:rPr>
        <w:t>推动</w:t>
      </w:r>
      <w:r>
        <w:rPr>
          <w:rFonts w:hint="default" w:ascii="Times New Roman" w:hAnsi="Times New Roman" w:eastAsia="方正仿宋_GBK" w:cs="Times New Roman"/>
          <w:color w:val="auto"/>
          <w:sz w:val="32"/>
          <w:szCs w:val="32"/>
          <w:highlight w:val="none"/>
        </w:rPr>
        <w:t>滨水空间与山地空间景观贯通与功能联动。</w:t>
      </w:r>
    </w:p>
    <w:p w14:paraId="16E42098">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81" w:name="_Toc18333"/>
      <w:bookmarkStart w:id="1582" w:name="_Toc26884"/>
      <w:bookmarkStart w:id="1583" w:name="_Toc28966"/>
      <w:bookmarkStart w:id="1584" w:name="_Toc32211"/>
      <w:r>
        <w:rPr>
          <w:rFonts w:hint="default" w:ascii="Times New Roman" w:hAnsi="Times New Roman" w:eastAsia="方正楷体_GBK" w:cs="Times New Roman"/>
          <w:color w:val="auto"/>
          <w:sz w:val="32"/>
          <w:szCs w:val="32"/>
          <w:highlight w:val="none"/>
          <w:lang w:val="en-US" w:eastAsia="zh-CN"/>
        </w:rPr>
        <w:t>第二节 丰富高品质旅游产品供给</w:t>
      </w:r>
      <w:bookmarkEnd w:id="1581"/>
      <w:bookmarkEnd w:id="1582"/>
      <w:bookmarkEnd w:id="1583"/>
      <w:bookmarkEnd w:id="1584"/>
    </w:p>
    <w:p w14:paraId="585A5A1E">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rPr>
        <w:t>深化国家全域旅游示范区、首批国家文化和旅游消费示范城市建设，推进十八梯、鹅岭贰厂等旅游休闲街区优化提升，支持传统风貌区、老旧厂房改造为文商旅综合体，锻造都市旅游核心产品。</w:t>
      </w:r>
      <w:r>
        <w:rPr>
          <w:rFonts w:hint="default" w:ascii="Times New Roman" w:hAnsi="Times New Roman" w:eastAsia="方正仿宋_GBK" w:cs="Times New Roman"/>
          <w:color w:val="auto"/>
          <w:sz w:val="32"/>
          <w:szCs w:val="32"/>
          <w:highlight w:val="none"/>
          <w:lang w:val="en-US" w:eastAsia="zh-CN"/>
        </w:rPr>
        <w:t>推动文化遗址、文化元素、自然景观融入</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两江四岸</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城市建设，实施夜景灯饰提升工程，推动</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两江游</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高端化、主题化发展，</w:t>
      </w:r>
      <w:r>
        <w:rPr>
          <w:rFonts w:hint="default" w:ascii="Times New Roman" w:hAnsi="Times New Roman" w:eastAsia="方正仿宋_GBK" w:cs="Times New Roman"/>
          <w:color w:val="auto"/>
          <w:sz w:val="32"/>
          <w:szCs w:val="32"/>
          <w:highlight w:val="none"/>
        </w:rPr>
        <w:t>升级</w:t>
      </w:r>
      <w:r>
        <w:rPr>
          <w:rFonts w:hint="default" w:ascii="Times New Roman" w:hAnsi="Times New Roman" w:eastAsia="方正仿宋_GBK" w:cs="Times New Roman"/>
          <w:color w:val="auto"/>
          <w:sz w:val="32"/>
          <w:szCs w:val="32"/>
          <w:highlight w:val="none"/>
          <w:lang w:val="en-US" w:eastAsia="zh-CN"/>
        </w:rPr>
        <w:t>打造</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云端观景</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特色场景</w:t>
      </w:r>
      <w:r>
        <w:rPr>
          <w:rFonts w:hint="default" w:ascii="Times New Roman" w:hAnsi="Times New Roman" w:eastAsia="方正仿宋_GBK" w:cs="Times New Roman"/>
          <w:color w:val="auto"/>
          <w:sz w:val="32"/>
          <w:szCs w:val="32"/>
          <w:highlight w:val="none"/>
        </w:rPr>
        <w:t>，构建</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江、岸、台、楼</w:t>
      </w:r>
      <w:r>
        <w:rPr>
          <w:rFonts w:hint="eastAsia" w:ascii="Times New Roman" w:hAnsi="Times New Roman" w:eastAsia="方正仿宋_GBK" w:cs="方正仿宋_GBK"/>
          <w:color w:val="auto"/>
          <w:sz w:val="32"/>
          <w:szCs w:val="32"/>
          <w:highlight w:val="none"/>
          <w:lang w:eastAsia="zh-CN"/>
        </w:rPr>
        <w:t>”</w:t>
      </w:r>
      <w:r>
        <w:rPr>
          <w:rFonts w:hint="default" w:ascii="Times New Roman" w:hAnsi="Times New Roman" w:eastAsia="方正仿宋_GBK" w:cs="Times New Roman"/>
          <w:color w:val="auto"/>
          <w:sz w:val="32"/>
          <w:szCs w:val="32"/>
          <w:highlight w:val="none"/>
        </w:rPr>
        <w:t>联动旅游体系</w:t>
      </w:r>
      <w:r>
        <w:rPr>
          <w:rFonts w:hint="default" w:ascii="Times New Roman" w:hAnsi="Times New Roman" w:eastAsia="方正仿宋_GBK" w:cs="Times New Roman"/>
          <w:color w:val="auto"/>
          <w:sz w:val="32"/>
          <w:szCs w:val="32"/>
          <w:highlight w:val="none"/>
          <w:lang w:val="en-US" w:eastAsia="zh-CN"/>
        </w:rPr>
        <w:t>。大力发展</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微短剧+文旅</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，培育</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漫剧+文旅</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，打造一批融入山城江城、8D魔幻等元素的精品短剧漫剧，营造跟着微短剧来渝旅游打卡新风尚。实施旅游景区</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微改造、精提升</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，提质升级索道、扶梯、巴士、天台、防空洞等特色文旅融合产品。</w:t>
      </w:r>
    </w:p>
    <w:p w14:paraId="221C1F8F">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2"/>
        <w:rPr>
          <w:rFonts w:hint="default" w:ascii="Times New Roman" w:hAnsi="Times New Roman" w:eastAsia="方正楷体_GBK" w:cs="Times New Roman"/>
          <w:color w:val="auto"/>
          <w:sz w:val="32"/>
          <w:szCs w:val="32"/>
          <w:highlight w:val="none"/>
          <w:lang w:val="en-US" w:eastAsia="zh-CN"/>
        </w:rPr>
      </w:pPr>
      <w:bookmarkStart w:id="1585" w:name="_Toc14258"/>
      <w:bookmarkStart w:id="1586" w:name="_Toc5441"/>
      <w:bookmarkStart w:id="1587" w:name="_Toc14621"/>
      <w:bookmarkStart w:id="1588" w:name="_Toc9640"/>
      <w:r>
        <w:rPr>
          <w:rFonts w:hint="default" w:ascii="Times New Roman" w:hAnsi="Times New Roman" w:eastAsia="方正楷体_GBK" w:cs="Times New Roman"/>
          <w:color w:val="auto"/>
          <w:sz w:val="32"/>
          <w:szCs w:val="32"/>
          <w:highlight w:val="none"/>
          <w:lang w:val="en-US" w:eastAsia="zh-CN"/>
        </w:rPr>
        <w:t>第三节 提升旅游服务智能化国际化水平</w:t>
      </w:r>
      <w:bookmarkEnd w:id="1585"/>
      <w:bookmarkEnd w:id="1586"/>
      <w:bookmarkEnd w:id="1587"/>
      <w:bookmarkEnd w:id="1588"/>
    </w:p>
    <w:p w14:paraId="08664F31">
      <w:pPr>
        <w:spacing w:line="594" w:lineRule="exact"/>
        <w:ind w:firstLine="640" w:firstLineChars="200"/>
        <w:rPr>
          <w:rFonts w:ascii="Times New Roman" w:hAnsi="Times New Roman" w:eastAsia="宋体" w:cs="Times New Roman"/>
          <w:color w:val="auto"/>
        </w:rPr>
      </w:pPr>
      <w:r>
        <w:rPr>
          <w:rFonts w:hint="default" w:ascii="Times New Roman" w:hAnsi="Times New Roman" w:eastAsia="方正仿宋_GBK" w:cs="Times New Roman"/>
          <w:color w:val="auto"/>
          <w:sz w:val="32"/>
          <w:szCs w:val="32"/>
          <w:highlight w:val="none"/>
          <w:lang w:val="en-US" w:eastAsia="zh-CN"/>
        </w:rPr>
        <w:t>升级打造</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一键游渝中</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智慧文旅门户，推出景点购票、演出购票、场馆预约、社交互动等新功能，积极发展全域智慧旅游，完善旅游服务体系。加强与国际友城合作，推动资源互享与客源互送，织密国内国外文旅协作网络。迭代应急广播建设。深化全域支付便利化示范区建设，在重点商圈、景点景区等境外旅客高频消费场所增设外币兑换点、自助兑换机，提升入境支付便利化水平。构建国际文旅服务体系，完善多语种标识指引，推出双语文旅地图。开展城市品牌推介活动，筛选推广区域特色传播元素，构建国际数字营销矩阵，持续拓展入境游客消费市场。</w:t>
      </w:r>
    </w:p>
    <w:bookmarkEnd w:id="1402"/>
    <w:bookmarkEnd w:id="1403"/>
    <w:p w14:paraId="08251EE2">
      <w:pPr>
        <w:bidi w:val="0"/>
        <w:jc w:val="center"/>
        <w:rPr>
          <w:rFonts w:hint="default" w:ascii="Times New Roman" w:hAnsi="Times New Roman" w:eastAsia="方正黑体_GBK" w:cs="Times New Roman"/>
          <w:color w:val="auto"/>
          <w:sz w:val="28"/>
          <w:szCs w:val="28"/>
          <w:highlight w:val="none"/>
          <w:lang w:val="en-US" w:eastAsia="zh-CN"/>
        </w:rPr>
      </w:pPr>
      <w:bookmarkStart w:id="1589" w:name="_Toc31620"/>
      <w:bookmarkStart w:id="1590" w:name="_Toc13694"/>
      <w:r>
        <w:rPr>
          <w:rFonts w:hint="default" w:ascii="Times New Roman" w:hAnsi="Times New Roman" w:eastAsia="方正黑体_GBK" w:cs="Times New Roman"/>
          <w:color w:val="auto"/>
          <w:sz w:val="28"/>
          <w:szCs w:val="28"/>
          <w:highlight w:val="none"/>
          <w:lang w:val="en-US" w:eastAsia="zh-CN"/>
        </w:rPr>
        <w:t>专栏13 文化旅游强区建设重点项目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559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4346A5DD">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1.文物保护利用工程。</w:t>
            </w:r>
            <w:r>
              <w:rPr>
                <w:rFonts w:hint="default" w:ascii="Times New Roman" w:hAnsi="Times New Roman" w:eastAsia="方正仿宋_GBK" w:cs="Times New Roman"/>
                <w:color w:val="auto"/>
                <w:sz w:val="24"/>
                <w:szCs w:val="24"/>
                <w:highlight w:val="none"/>
                <w:u w:val="none" w:color="auto"/>
                <w:vertAlign w:val="baseline"/>
                <w:lang w:val="en-US" w:eastAsia="zh-CN"/>
              </w:rPr>
              <w:t>实施老鼓楼衙署遗址保护展示工程、重庆古城墙保护与展示项目、抗战金融旧址群保护与展示项目、文物建筑抢险加固工程等。</w:t>
            </w:r>
          </w:p>
          <w:p w14:paraId="188EEF14">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2.大鹅岭景区建设。</w:t>
            </w:r>
            <w:r>
              <w:rPr>
                <w:rFonts w:hint="default" w:ascii="Times New Roman" w:hAnsi="Times New Roman" w:eastAsia="方正仿宋_GBK" w:cs="Times New Roman"/>
                <w:color w:val="auto"/>
                <w:sz w:val="24"/>
                <w:szCs w:val="24"/>
                <w:highlight w:val="none"/>
                <w:u w:val="none" w:color="auto"/>
                <w:vertAlign w:val="baseline"/>
                <w:lang w:val="en-US" w:eastAsia="zh-CN"/>
              </w:rPr>
              <w:t>推动鹅岭天梯、天鹅剧场、崖线索道、关岳庙文旅业态提升及印制二厂南坡、李子坝历史文化街区（大公报片区）、嘉陵新村片区等城市更新项目建设。</w:t>
            </w:r>
          </w:p>
          <w:p w14:paraId="6AEDF21A">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3.重大公共文化设施。</w:t>
            </w:r>
            <w:r>
              <w:rPr>
                <w:rFonts w:hint="default" w:ascii="Times New Roman" w:hAnsi="Times New Roman" w:eastAsia="方正仿宋_GBK" w:cs="Times New Roman"/>
                <w:color w:val="auto"/>
                <w:sz w:val="24"/>
                <w:szCs w:val="24"/>
                <w:highlight w:val="none"/>
                <w:u w:val="none" w:color="auto"/>
                <w:vertAlign w:val="baseline"/>
                <w:lang w:val="en-US" w:eastAsia="zh-CN"/>
              </w:rPr>
              <w:t>提升国泰艺术中心演出服务水平。推动重庆中国三峡博物馆改扩建、文图大厦提档升级改造。</w:t>
            </w:r>
          </w:p>
        </w:tc>
      </w:tr>
    </w:tbl>
    <w:p w14:paraId="4241C3C6">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contextualSpacing/>
        <w:textAlignment w:val="center"/>
        <w:outlineLvl w:val="9"/>
        <w:rPr>
          <w:rFonts w:hint="default" w:ascii="Times New Roman" w:hAnsi="Times New Roman" w:eastAsia="方正黑体_GBK" w:cs="Times New Roman"/>
          <w:b w:val="0"/>
          <w:bCs w:val="0"/>
          <w:color w:val="auto"/>
          <w:sz w:val="32"/>
          <w:szCs w:val="40"/>
          <w:highlight w:val="none"/>
          <w:u w:val="none" w:color="auto"/>
          <w:lang w:val="en-US" w:eastAsia="zh-CN"/>
        </w:rPr>
      </w:pPr>
    </w:p>
    <w:p w14:paraId="7FEDA2A9">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contextualSpacing/>
        <w:jc w:val="center"/>
        <w:textAlignment w:val="center"/>
        <w:outlineLvl w:val="0"/>
        <w:rPr>
          <w:rFonts w:hint="default" w:ascii="Times New Roman" w:hAnsi="Times New Roman" w:eastAsia="方正黑体_GBK" w:cs="Times New Roman"/>
          <w:b w:val="0"/>
          <w:bCs w:val="0"/>
          <w:color w:val="auto"/>
          <w:sz w:val="32"/>
          <w:szCs w:val="40"/>
          <w:highlight w:val="none"/>
          <w:u w:val="none" w:color="auto"/>
          <w:lang w:val="en-US" w:eastAsia="zh-CN"/>
        </w:rPr>
      </w:pPr>
      <w:bookmarkStart w:id="1591" w:name="_Toc4338"/>
      <w:bookmarkStart w:id="1592" w:name="_Toc9347"/>
      <w:bookmarkStart w:id="1593" w:name="_Toc26688"/>
      <w:bookmarkStart w:id="1594" w:name="_Toc17427"/>
      <w:bookmarkStart w:id="1595" w:name="_Toc14102"/>
      <w:bookmarkStart w:id="1596" w:name="_Toc17666"/>
      <w:bookmarkStart w:id="1597" w:name="_Toc29476"/>
      <w:bookmarkStart w:id="1598" w:name="_Toc31601"/>
      <w:bookmarkStart w:id="1599" w:name="_Toc31578"/>
      <w:bookmarkStart w:id="1600" w:name="_Toc23975"/>
      <w:bookmarkStart w:id="1601" w:name="_Toc11430"/>
      <w:bookmarkStart w:id="1602" w:name="_Toc508"/>
      <w:r>
        <w:rPr>
          <w:rFonts w:hint="default" w:ascii="Times New Roman" w:hAnsi="Times New Roman" w:eastAsia="方正黑体_GBK" w:cs="Times New Roman"/>
          <w:b w:val="0"/>
          <w:bCs w:val="0"/>
          <w:color w:val="auto"/>
          <w:sz w:val="32"/>
          <w:szCs w:val="40"/>
          <w:highlight w:val="none"/>
          <w:u w:val="none" w:color="auto"/>
          <w:lang w:val="en-US" w:eastAsia="zh-CN"/>
        </w:rPr>
        <w:t>第十一篇 顺应人民美好生活新期待 以生活品质全面提升推动共同富裕取得更多实质性突破</w:t>
      </w:r>
      <w:bookmarkEnd w:id="1591"/>
      <w:bookmarkEnd w:id="1592"/>
      <w:bookmarkEnd w:id="1593"/>
      <w:bookmarkEnd w:id="1594"/>
      <w:bookmarkEnd w:id="1595"/>
      <w:bookmarkEnd w:id="1596"/>
      <w:bookmarkEnd w:id="1597"/>
      <w:bookmarkEnd w:id="1598"/>
      <w:bookmarkEnd w:id="1599"/>
      <w:bookmarkEnd w:id="1600"/>
      <w:bookmarkEnd w:id="1601"/>
      <w:bookmarkEnd w:id="1602"/>
    </w:p>
    <w:p w14:paraId="7EA6A5C1">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outlineLvl w:val="9"/>
        <w:rPr>
          <w:rFonts w:hint="default" w:ascii="Times New Roman" w:hAnsi="Times New Roman" w:eastAsia="方正仿宋_GBK" w:cs="Times New Roman"/>
          <w:b w:val="0"/>
          <w:bCs w:val="0"/>
          <w:color w:val="auto"/>
          <w:sz w:val="32"/>
          <w:szCs w:val="40"/>
          <w:highlight w:val="none"/>
          <w:u w:val="none" w:color="auto"/>
          <w:lang w:val="en-US" w:eastAsia="zh-CN"/>
        </w:rPr>
      </w:pPr>
      <w:bookmarkStart w:id="1603" w:name="_Toc5280"/>
    </w:p>
    <w:p w14:paraId="6BC5D2CB">
      <w:pPr>
        <w:keepNext w:val="0"/>
        <w:keepLines w:val="0"/>
        <w:pageBreakBefore w:val="0"/>
        <w:pBdr>
          <w:top w:val="none" w:color="000000" w:sz="0" w:space="0"/>
          <w:left w:val="none" w:color="000000" w:sz="0" w:space="2"/>
          <w:bottom w:val="none" w:color="000000" w:sz="0" w:space="10"/>
          <w:right w:val="none" w:color="000000" w:sz="0" w:space="0"/>
        </w:pBdr>
        <w:kinsoku/>
        <w:wordWrap/>
        <w:overflowPunct w:val="0"/>
        <w:topLinePunct w:val="0"/>
        <w:autoSpaceDE/>
        <w:autoSpaceDN/>
        <w:bidi w:val="0"/>
        <w:adjustRightInd w:val="0"/>
        <w:snapToGrid w:val="0"/>
        <w:spacing w:line="600" w:lineRule="exact"/>
        <w:ind w:firstLine="640" w:firstLineChars="200"/>
        <w:contextualSpacing/>
        <w:textAlignment w:val="center"/>
        <w:outlineLvl w:val="9"/>
        <w:rPr>
          <w:rFonts w:hint="default" w:ascii="Times New Roman" w:hAnsi="Times New Roman" w:eastAsia="方正仿宋_GBK" w:cs="Times New Roman"/>
          <w:b w:val="0"/>
          <w:bCs w:val="0"/>
          <w:color w:val="auto"/>
          <w:sz w:val="32"/>
          <w:szCs w:val="40"/>
          <w:highlight w:val="none"/>
          <w:u w:val="none" w:color="auto"/>
          <w:lang w:val="en-US" w:eastAsia="zh-CN"/>
        </w:rPr>
      </w:pPr>
      <w:r>
        <w:rPr>
          <w:rFonts w:hint="default" w:ascii="Times New Roman" w:hAnsi="Times New Roman" w:eastAsia="方正仿宋_GBK" w:cs="Times New Roman"/>
          <w:b w:val="0"/>
          <w:bCs w:val="0"/>
          <w:color w:val="auto"/>
          <w:sz w:val="32"/>
          <w:szCs w:val="40"/>
          <w:highlight w:val="none"/>
          <w:u w:val="none" w:color="auto"/>
          <w:lang w:val="en-US" w:eastAsia="zh-CN"/>
        </w:rPr>
        <w:t>深入践行</w:t>
      </w:r>
      <w:r>
        <w:rPr>
          <w:rFonts w:hint="eastAsia" w:ascii="Times New Roman" w:hAnsi="Times New Roman" w:eastAsia="方正仿宋_GBK" w:cs="方正仿宋_GBK"/>
          <w:b w:val="0"/>
          <w:bCs w:val="0"/>
          <w:color w:val="auto"/>
          <w:sz w:val="32"/>
          <w:szCs w:val="40"/>
          <w:highlight w:val="none"/>
          <w:u w:val="none" w:color="auto"/>
          <w:lang w:val="en-US" w:eastAsia="zh-CN"/>
        </w:rPr>
        <w:t>“</w:t>
      </w:r>
      <w:r>
        <w:rPr>
          <w:rFonts w:hint="default" w:ascii="Times New Roman" w:hAnsi="Times New Roman" w:eastAsia="方正仿宋_GBK" w:cs="Times New Roman"/>
          <w:b w:val="0"/>
          <w:bCs w:val="0"/>
          <w:color w:val="auto"/>
          <w:sz w:val="32"/>
          <w:szCs w:val="40"/>
          <w:highlight w:val="none"/>
          <w:u w:val="none" w:color="auto"/>
          <w:lang w:val="en-US" w:eastAsia="zh-CN"/>
        </w:rPr>
        <w:t>中国式现代化，民生为大</w:t>
      </w:r>
      <w:r>
        <w:rPr>
          <w:rFonts w:hint="eastAsia" w:ascii="Times New Roman" w:hAnsi="Times New Roman" w:eastAsia="方正仿宋_GBK" w:cs="方正仿宋_GBK"/>
          <w:b w:val="0"/>
          <w:bCs w:val="0"/>
          <w:color w:val="auto"/>
          <w:sz w:val="32"/>
          <w:szCs w:val="40"/>
          <w:highlight w:val="none"/>
          <w:u w:val="none" w:color="auto"/>
          <w:lang w:val="en-US" w:eastAsia="zh-CN"/>
        </w:rPr>
        <w:t>”</w:t>
      </w:r>
      <w:r>
        <w:rPr>
          <w:rFonts w:hint="default" w:ascii="Times New Roman" w:hAnsi="Times New Roman" w:eastAsia="方正仿宋_GBK" w:cs="Times New Roman"/>
          <w:b w:val="0"/>
          <w:bCs w:val="0"/>
          <w:color w:val="auto"/>
          <w:sz w:val="32"/>
          <w:szCs w:val="40"/>
          <w:highlight w:val="none"/>
          <w:u w:val="none" w:color="auto"/>
          <w:lang w:val="en-US" w:eastAsia="zh-CN"/>
        </w:rPr>
        <w:t>理念，坚持尽力而为、量力而行，加强普惠性、基础性、兜底性民生建设，解决好人民群众急难愁盼问题，不断满足人民群众对美好生活的向往。</w:t>
      </w:r>
    </w:p>
    <w:p w14:paraId="44DB9D20">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604" w:name="_Toc10121"/>
      <w:bookmarkStart w:id="1605" w:name="_Toc18716"/>
      <w:bookmarkStart w:id="1606" w:name="_Toc6280"/>
      <w:bookmarkStart w:id="1607" w:name="_Toc28847"/>
      <w:bookmarkStart w:id="1608" w:name="_Toc21077"/>
      <w:bookmarkStart w:id="1609" w:name="_Toc26374"/>
      <w:bookmarkStart w:id="1610" w:name="_Toc32054"/>
      <w:bookmarkStart w:id="1611" w:name="_Toc26632"/>
      <w:bookmarkStart w:id="1612" w:name="_Toc27637"/>
      <w:bookmarkStart w:id="1613" w:name="_Toc26558"/>
      <w:bookmarkStart w:id="1614" w:name="_Toc21513"/>
      <w:bookmarkStart w:id="1615" w:name="_Toc30078"/>
      <w:r>
        <w:rPr>
          <w:rFonts w:hint="default" w:ascii="Times New Roman" w:hAnsi="Times New Roman" w:eastAsia="方正黑体_GBK" w:cs="Times New Roman"/>
          <w:color w:val="auto"/>
          <w:sz w:val="32"/>
          <w:szCs w:val="32"/>
          <w:highlight w:val="none"/>
          <w:u w:val="none" w:color="auto"/>
          <w:lang w:val="en-US" w:eastAsia="zh-CN"/>
        </w:rPr>
        <w:t>第四十一章 千方百计促进就业创业增收</w:t>
      </w:r>
      <w:bookmarkEnd w:id="1604"/>
      <w:bookmarkEnd w:id="1605"/>
      <w:bookmarkEnd w:id="1606"/>
      <w:bookmarkEnd w:id="1607"/>
      <w:bookmarkEnd w:id="1608"/>
      <w:bookmarkEnd w:id="1609"/>
      <w:bookmarkEnd w:id="1610"/>
      <w:bookmarkEnd w:id="1611"/>
      <w:bookmarkEnd w:id="1612"/>
      <w:bookmarkEnd w:id="1613"/>
      <w:bookmarkEnd w:id="1614"/>
      <w:bookmarkEnd w:id="1615"/>
    </w:p>
    <w:p w14:paraId="069C697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1616" w:name="_Toc22221"/>
      <w:r>
        <w:rPr>
          <w:rFonts w:hint="default" w:ascii="Times New Roman" w:hAnsi="Times New Roman" w:eastAsia="方正仿宋_GBK" w:cs="Times New Roman"/>
          <w:color w:val="auto"/>
          <w:sz w:val="32"/>
          <w:szCs w:val="32"/>
          <w:highlight w:val="none"/>
          <w:u w:val="none" w:color="auto"/>
          <w:lang w:val="en-US" w:eastAsia="zh-CN"/>
        </w:rPr>
        <w:t>深入实施就业优先战略，健全就业创业服务体系，加强劳动者权益保障，稳步促进居民收入持续增加。</w:t>
      </w:r>
    </w:p>
    <w:p w14:paraId="75C19BC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617" w:name="_Toc12334"/>
      <w:bookmarkStart w:id="1618" w:name="_Toc2172"/>
      <w:bookmarkStart w:id="1619" w:name="_Toc6325"/>
      <w:bookmarkStart w:id="1620" w:name="_Toc14361"/>
      <w:bookmarkStart w:id="1621" w:name="_Toc12915"/>
      <w:bookmarkStart w:id="1622" w:name="_Toc8366"/>
      <w:bookmarkStart w:id="1623" w:name="_Toc24104"/>
      <w:bookmarkStart w:id="1624" w:name="_Toc12065"/>
      <w:bookmarkStart w:id="1625" w:name="_Toc11053"/>
      <w:bookmarkStart w:id="1626" w:name="_Toc19838"/>
      <w:bookmarkStart w:id="1627" w:name="_Toc29578"/>
      <w:bookmarkStart w:id="1628" w:name="_Toc4474"/>
      <w:r>
        <w:rPr>
          <w:rFonts w:hint="default" w:ascii="Times New Roman" w:hAnsi="Times New Roman" w:eastAsia="方正楷体_GBK" w:cs="Times New Roman"/>
          <w:color w:val="auto"/>
          <w:sz w:val="32"/>
          <w:szCs w:val="32"/>
          <w:highlight w:val="none"/>
          <w:u w:val="none" w:color="auto"/>
          <w:lang w:val="en-US" w:eastAsia="zh-CN"/>
        </w:rPr>
        <w:t>第一节 更大力度稳定和扩大就业</w:t>
      </w:r>
      <w:bookmarkEnd w:id="1617"/>
      <w:bookmarkEnd w:id="1618"/>
      <w:bookmarkEnd w:id="1619"/>
      <w:bookmarkEnd w:id="1620"/>
      <w:bookmarkEnd w:id="1621"/>
      <w:bookmarkEnd w:id="1622"/>
      <w:bookmarkEnd w:id="1623"/>
      <w:bookmarkEnd w:id="1624"/>
      <w:bookmarkEnd w:id="1625"/>
      <w:bookmarkEnd w:id="1626"/>
      <w:bookmarkEnd w:id="1627"/>
      <w:bookmarkEnd w:id="1628"/>
    </w:p>
    <w:p w14:paraId="77DB39E6">
      <w:pPr>
        <w:pStyle w:val="17"/>
        <w:keepNext w:val="0"/>
        <w:keepLines w:val="0"/>
        <w:pageBreakBefore w:val="0"/>
        <w:widowControl/>
        <w:pBdr>
          <w:bottom w:val="none" w:color="auto" w:sz="0" w:space="0"/>
        </w:pBdr>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深入实施就业优先战略，</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eastAsia="zh-CN"/>
        </w:rPr>
        <w:t>促进就业与财政、金融、产业、投资、消费等政策协同发力</w:t>
      </w:r>
      <w:r>
        <w:rPr>
          <w:rFonts w:hint="default" w:ascii="Times New Roman" w:hAnsi="Times New Roman" w:eastAsia="方正仿宋_GBK" w:cs="Times New Roman"/>
          <w:color w:val="auto"/>
          <w:sz w:val="32"/>
          <w:szCs w:val="24"/>
          <w:highlight w:val="none"/>
          <w:u w:val="none" w:color="auto"/>
        </w:rPr>
        <w:t>。</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val="en-US" w:eastAsia="zh-CN"/>
        </w:rPr>
        <w:t>围绕现代生产性服务业、低空经济等重点产业，创造更多高质量就业岗位。实施经营主体稳岗扩岗工程，统筹用好就业创业政策，引导各类主体更好履行稳岗扩岗社会责任，城镇新增就业累计</w:t>
      </w:r>
      <w:r>
        <w:rPr>
          <w:rStyle w:val="23"/>
          <w:rFonts w:hint="eastAsia" w:ascii="Times New Roman" w:hAnsi="Times New Roman" w:eastAsia="方正仿宋_GBK" w:cs="Times New Roman"/>
          <w:b w:val="0"/>
          <w:bCs/>
          <w:i w:val="0"/>
          <w:iCs w:val="0"/>
          <w:caps w:val="0"/>
          <w:color w:val="auto"/>
          <w:spacing w:val="0"/>
          <w:sz w:val="32"/>
          <w:szCs w:val="32"/>
          <w:highlight w:val="none"/>
          <w:u w:val="none" w:color="auto"/>
          <w:lang w:val="en-US" w:eastAsia="zh-CN"/>
        </w:rPr>
        <w:t>24</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val="en-US" w:eastAsia="zh-CN"/>
        </w:rPr>
        <w:t>万人以上。</w:t>
      </w:r>
      <w:r>
        <w:rPr>
          <w:rFonts w:hint="default" w:ascii="Times New Roman" w:hAnsi="Times New Roman" w:eastAsia="方正仿宋_GBK" w:cs="Times New Roman"/>
          <w:color w:val="auto"/>
          <w:sz w:val="32"/>
          <w:szCs w:val="32"/>
          <w:highlight w:val="none"/>
          <w:u w:val="none" w:color="auto"/>
          <w:lang w:val="en-US" w:eastAsia="zh-CN"/>
        </w:rPr>
        <w:t>完善岗位归集发布与供需精准匹配机制，加强就业信息资源库和公共服务平台建设</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highlight w:val="none"/>
          <w:u w:val="none" w:color="auto"/>
          <w:lang w:eastAsia="zh-CN"/>
        </w:rPr>
        <w:t>深入实施</w:t>
      </w:r>
      <w:r>
        <w:rPr>
          <w:rFonts w:hint="eastAsia" w:ascii="Times New Roman" w:hAnsi="Times New Roman" w:eastAsia="方正仿宋_GBK" w:cs="方正仿宋_GBK"/>
          <w:color w:val="auto"/>
          <w:sz w:val="32"/>
          <w:highlight w:val="none"/>
          <w:u w:val="none" w:color="auto"/>
          <w:lang w:eastAsia="zh-CN"/>
        </w:rPr>
        <w:t>“</w:t>
      </w:r>
      <w:r>
        <w:rPr>
          <w:rFonts w:hint="default" w:ascii="Times New Roman" w:hAnsi="Times New Roman" w:eastAsia="方正仿宋_GBK" w:cs="Times New Roman"/>
          <w:color w:val="auto"/>
          <w:sz w:val="32"/>
          <w:highlight w:val="none"/>
          <w:u w:val="none" w:color="auto"/>
          <w:lang w:eastAsia="zh-CN"/>
        </w:rPr>
        <w:t>技能照亮前程</w:t>
      </w:r>
      <w:r>
        <w:rPr>
          <w:rFonts w:hint="eastAsia" w:ascii="Times New Roman" w:hAnsi="Times New Roman" w:eastAsia="方正仿宋_GBK" w:cs="方正仿宋_GBK"/>
          <w:color w:val="auto"/>
          <w:sz w:val="32"/>
          <w:highlight w:val="none"/>
          <w:u w:val="none" w:color="auto"/>
          <w:lang w:eastAsia="zh-CN"/>
        </w:rPr>
        <w:t>”</w:t>
      </w:r>
      <w:r>
        <w:rPr>
          <w:rFonts w:hint="default" w:ascii="Times New Roman" w:hAnsi="Times New Roman" w:eastAsia="方正仿宋_GBK" w:cs="Times New Roman"/>
          <w:color w:val="auto"/>
          <w:sz w:val="32"/>
          <w:highlight w:val="none"/>
          <w:u w:val="none" w:color="auto"/>
          <w:lang w:eastAsia="zh-CN"/>
        </w:rPr>
        <w:t>培训行动</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eastAsia="zh-CN"/>
        </w:rPr>
        <w:t>构建产业、教学、评价衔接融通的技能生态链</w:t>
      </w:r>
      <w:r>
        <w:rPr>
          <w:rFonts w:hint="default" w:ascii="Times New Roman" w:hAnsi="Times New Roman" w:eastAsia="方正仿宋_GBK" w:cs="Times New Roman"/>
          <w:color w:val="auto"/>
          <w:sz w:val="32"/>
          <w:szCs w:val="32"/>
          <w:highlight w:val="none"/>
          <w:u w:val="none" w:color="auto"/>
          <w:lang w:val="en-US" w:eastAsia="zh-CN"/>
        </w:rPr>
        <w:t>。统筹用好税费减免、贷款支持、就业补贴等政策，完成补贴性培训3.5万人次以上。</w:t>
      </w:r>
      <w:r>
        <w:rPr>
          <w:rFonts w:hint="default" w:ascii="Times New Roman" w:hAnsi="Times New Roman" w:eastAsia="方正仿宋_GBK" w:cs="Times New Roman"/>
          <w:color w:val="auto"/>
          <w:sz w:val="32"/>
          <w:szCs w:val="24"/>
          <w:highlight w:val="none"/>
          <w:u w:val="none" w:color="auto"/>
        </w:rPr>
        <w:t>推进居民</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家门口</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就业服务驿站（零工市场）、自助求职点位建设</w:t>
      </w:r>
      <w:r>
        <w:rPr>
          <w:rFonts w:hint="default" w:ascii="Times New Roman" w:hAnsi="Times New Roman" w:eastAsia="方正仿宋_GBK" w:cs="Times New Roman"/>
          <w:color w:val="auto"/>
          <w:sz w:val="32"/>
          <w:szCs w:val="24"/>
          <w:highlight w:val="none"/>
          <w:u w:val="none" w:color="auto"/>
          <w:lang w:eastAsia="zh-CN"/>
        </w:rPr>
        <w:t>。</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eastAsia="zh-CN"/>
        </w:rPr>
        <w:t>健全就业困难人员分级分类援助机制，确保零就业家庭动态清零。</w:t>
      </w:r>
      <w:r>
        <w:rPr>
          <w:rFonts w:hint="default" w:ascii="Times New Roman" w:hAnsi="Times New Roman" w:eastAsia="方正仿宋_GBK" w:cs="Times New Roman"/>
          <w:color w:val="auto"/>
          <w:sz w:val="32"/>
          <w:szCs w:val="32"/>
          <w:highlight w:val="none"/>
          <w:u w:val="none" w:color="auto"/>
          <w:lang w:val="en-US" w:eastAsia="zh-CN"/>
        </w:rPr>
        <w:t>整治劳动用工等领域突出违法问题，加强灵活就业和新就业形态权益保障，营造更加公平有序的就业环境。</w:t>
      </w:r>
    </w:p>
    <w:p w14:paraId="218374F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629" w:name="_Toc6564"/>
      <w:bookmarkStart w:id="1630" w:name="_Toc20612"/>
      <w:bookmarkStart w:id="1631" w:name="_Toc1174"/>
      <w:bookmarkStart w:id="1632" w:name="_Toc11660"/>
      <w:bookmarkStart w:id="1633" w:name="_Toc30003"/>
      <w:bookmarkStart w:id="1634" w:name="_Toc15758"/>
      <w:bookmarkStart w:id="1635" w:name="_Toc27889"/>
      <w:bookmarkStart w:id="1636" w:name="_Toc25288"/>
      <w:bookmarkStart w:id="1637" w:name="_Toc27831"/>
      <w:bookmarkStart w:id="1638" w:name="_Toc4064"/>
      <w:bookmarkStart w:id="1639" w:name="_Toc8710"/>
      <w:bookmarkStart w:id="1640" w:name="_Toc23662"/>
      <w:r>
        <w:rPr>
          <w:rFonts w:hint="default" w:ascii="Times New Roman" w:hAnsi="Times New Roman" w:eastAsia="方正楷体_GBK" w:cs="Times New Roman"/>
          <w:color w:val="auto"/>
          <w:sz w:val="32"/>
          <w:szCs w:val="32"/>
          <w:highlight w:val="none"/>
          <w:u w:val="none" w:color="auto"/>
          <w:lang w:val="en-US" w:eastAsia="zh-CN"/>
        </w:rPr>
        <w:t>第二节 强化吸引人才集聚的创业服务</w:t>
      </w:r>
      <w:bookmarkEnd w:id="1629"/>
      <w:bookmarkEnd w:id="1630"/>
      <w:bookmarkEnd w:id="1631"/>
      <w:bookmarkEnd w:id="1632"/>
      <w:bookmarkEnd w:id="1633"/>
      <w:bookmarkEnd w:id="1634"/>
      <w:bookmarkEnd w:id="1635"/>
      <w:bookmarkEnd w:id="1636"/>
      <w:bookmarkEnd w:id="1637"/>
      <w:bookmarkEnd w:id="1638"/>
      <w:bookmarkEnd w:id="1639"/>
      <w:bookmarkEnd w:id="1640"/>
    </w:p>
    <w:p w14:paraId="42E2DF4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Style w:val="22"/>
          <w:rFonts w:hint="default" w:ascii="Times New Roman" w:hAnsi="Times New Roman" w:eastAsia="方正仿宋_GBK" w:cs="Times New Roman"/>
          <w:b w:val="0"/>
          <w:bCs w:val="0"/>
          <w:i w:val="0"/>
          <w:iCs w:val="0"/>
          <w:caps w:val="0"/>
          <w:color w:val="auto"/>
          <w:spacing w:val="0"/>
          <w:sz w:val="32"/>
          <w:szCs w:val="24"/>
          <w:highlight w:val="none"/>
          <w:u w:val="none" w:color="auto"/>
          <w:lang w:eastAsia="zh-CN"/>
        </w:rPr>
        <w:t>积极构建创新引领创业、创业带动就业的良好局面</w:t>
      </w:r>
      <w:r>
        <w:rPr>
          <w:rFonts w:hint="default"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强化</w:t>
      </w:r>
      <w:r>
        <w:rPr>
          <w:rFonts w:hint="default" w:ascii="Times New Roman" w:hAnsi="Times New Roman" w:eastAsia="方正仿宋_GBK" w:cs="Times New Roman"/>
          <w:color w:val="auto"/>
          <w:sz w:val="32"/>
          <w:szCs w:val="24"/>
          <w:highlight w:val="none"/>
          <w:u w:val="none" w:color="auto"/>
        </w:rPr>
        <w:t>渝中创业孵化基地、重庆一厂影视园创业孵化基地、重庆数字商务产业园</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重庆国际医疗服务产业基地</w:t>
      </w:r>
      <w:r>
        <w:rPr>
          <w:rFonts w:hint="default" w:ascii="Times New Roman" w:hAnsi="Times New Roman" w:eastAsia="方正仿宋_GBK" w:cs="Times New Roman"/>
          <w:color w:val="auto"/>
          <w:sz w:val="32"/>
          <w:szCs w:val="24"/>
          <w:highlight w:val="none"/>
          <w:u w:val="none" w:color="auto"/>
        </w:rPr>
        <w:t>等创业孵化载体</w:t>
      </w:r>
      <w:r>
        <w:rPr>
          <w:rFonts w:hint="default" w:ascii="Times New Roman" w:hAnsi="Times New Roman" w:eastAsia="方正仿宋_GBK" w:cs="Times New Roman"/>
          <w:color w:val="auto"/>
          <w:sz w:val="32"/>
          <w:szCs w:val="24"/>
          <w:highlight w:val="none"/>
          <w:u w:val="none" w:color="auto"/>
          <w:lang w:val="en-US" w:eastAsia="zh-CN"/>
        </w:rPr>
        <w:t>建设</w:t>
      </w:r>
      <w:r>
        <w:rPr>
          <w:rFonts w:hint="default" w:ascii="Times New Roman" w:hAnsi="Times New Roman" w:eastAsia="方正仿宋_GBK" w:cs="Times New Roman"/>
          <w:color w:val="auto"/>
          <w:sz w:val="32"/>
          <w:szCs w:val="24"/>
          <w:highlight w:val="none"/>
          <w:u w:val="none" w:color="auto"/>
          <w:lang w:eastAsia="zh-CN"/>
        </w:rPr>
        <w:t>，提升创业孵化基地</w:t>
      </w:r>
      <w:r>
        <w:rPr>
          <w:rFonts w:hint="default" w:ascii="Times New Roman" w:hAnsi="Times New Roman" w:eastAsia="方正仿宋_GBK" w:cs="Times New Roman"/>
          <w:color w:val="auto"/>
          <w:sz w:val="32"/>
          <w:szCs w:val="24"/>
          <w:highlight w:val="none"/>
          <w:u w:val="none" w:color="auto"/>
          <w:lang w:val="en-US" w:eastAsia="zh-CN"/>
        </w:rPr>
        <w:t>综合</w:t>
      </w:r>
      <w:r>
        <w:rPr>
          <w:rFonts w:hint="default" w:ascii="Times New Roman" w:hAnsi="Times New Roman" w:eastAsia="方正仿宋_GBK" w:cs="Times New Roman"/>
          <w:color w:val="auto"/>
          <w:sz w:val="32"/>
          <w:szCs w:val="24"/>
          <w:highlight w:val="none"/>
          <w:u w:val="none" w:color="auto"/>
          <w:lang w:eastAsia="zh-CN"/>
        </w:rPr>
        <w:t>服务能力。</w:t>
      </w:r>
      <w:r>
        <w:rPr>
          <w:rFonts w:hint="default" w:ascii="Times New Roman" w:hAnsi="Times New Roman" w:eastAsia="方正仿宋_GBK" w:cs="Times New Roman"/>
          <w:color w:val="auto"/>
          <w:sz w:val="32"/>
          <w:szCs w:val="32"/>
          <w:highlight w:val="none"/>
          <w:u w:val="none" w:color="auto"/>
          <w:lang w:val="en-US" w:eastAsia="zh-CN"/>
        </w:rPr>
        <w:t>持续打造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创享渝中</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远航计划</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等创业服务品牌，完善创业培训、服务、孵化、活动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四创联动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支持体系，优化创业担保贷款</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政府+担保+银行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运行模式，引导创业投资基金等资源集聚，形成全要素孵化服务平台。加强典型宣传与氛围营造，弘扬创业精神，有效促进创业带动就业。</w:t>
      </w:r>
    </w:p>
    <w:p w14:paraId="19A48CD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641" w:name="_Toc5890"/>
      <w:bookmarkStart w:id="1642" w:name="_Toc1135"/>
      <w:bookmarkStart w:id="1643" w:name="_Toc30487"/>
      <w:bookmarkStart w:id="1644" w:name="_Toc24881"/>
      <w:bookmarkStart w:id="1645" w:name="_Toc22546"/>
      <w:bookmarkStart w:id="1646" w:name="_Toc4992"/>
      <w:bookmarkStart w:id="1647" w:name="_Toc8166"/>
      <w:bookmarkStart w:id="1648" w:name="_Toc30079"/>
      <w:bookmarkStart w:id="1649" w:name="_Toc6825"/>
      <w:bookmarkStart w:id="1650" w:name="_Toc10873"/>
      <w:bookmarkStart w:id="1651" w:name="_Toc17484"/>
      <w:bookmarkStart w:id="1652" w:name="_Toc21864"/>
      <w:r>
        <w:rPr>
          <w:rFonts w:hint="default" w:ascii="Times New Roman" w:hAnsi="Times New Roman" w:eastAsia="方正楷体_GBK" w:cs="Times New Roman"/>
          <w:color w:val="auto"/>
          <w:sz w:val="32"/>
          <w:szCs w:val="32"/>
          <w:highlight w:val="none"/>
          <w:u w:val="none" w:color="auto"/>
          <w:lang w:val="en-US" w:eastAsia="zh-CN"/>
        </w:rPr>
        <w:t>第三节 多措并举增加居民收入</w:t>
      </w:r>
      <w:bookmarkEnd w:id="1641"/>
      <w:bookmarkEnd w:id="1642"/>
      <w:bookmarkEnd w:id="1643"/>
      <w:bookmarkEnd w:id="1644"/>
      <w:bookmarkEnd w:id="1645"/>
      <w:bookmarkEnd w:id="1646"/>
      <w:bookmarkEnd w:id="1647"/>
      <w:bookmarkEnd w:id="1648"/>
      <w:bookmarkEnd w:id="1649"/>
      <w:bookmarkEnd w:id="1650"/>
      <w:bookmarkEnd w:id="1651"/>
      <w:bookmarkEnd w:id="1652"/>
    </w:p>
    <w:bookmarkEnd w:id="1616"/>
    <w:p w14:paraId="35B810C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推动完善收入分配制度，提高劳动报酬在初次分配中的比重。实施居民收入提低扩中行动，有效增加低收入群体收入，稳步扩大中等收入群体规模，合理调节过高收入、取缔非法收入。完善知识、技术、管理、数据等创新要素参与分配机制，加强科研人员、技术工人等薪酬激励。完善劳动者工资正常增长机制，落实最低工资标准调整机制，科学合理提高最低工资标准。实施中等收入群体提升行动，探索拓宽居民利息、股息、红利、租金、保险等财产性增收渠道，增加经营性收入路径，稳步提升家庭财富。</w:t>
      </w:r>
      <w:r>
        <w:rPr>
          <w:rFonts w:hint="eastAsia" w:ascii="Times New Roman" w:hAnsi="Times New Roman" w:eastAsia="方正仿宋_GBK" w:cs="Times New Roman"/>
          <w:color w:val="auto"/>
          <w:sz w:val="32"/>
          <w:szCs w:val="32"/>
          <w:highlight w:val="none"/>
          <w:u w:val="none" w:color="auto"/>
          <w:lang w:val="en-US" w:eastAsia="zh-CN"/>
        </w:rPr>
        <w:t>城镇</w:t>
      </w:r>
      <w:r>
        <w:rPr>
          <w:rFonts w:hint="default" w:ascii="Times New Roman" w:hAnsi="Times New Roman" w:eastAsia="方正仿宋_GBK" w:cs="Times New Roman"/>
          <w:color w:val="auto"/>
          <w:sz w:val="32"/>
          <w:szCs w:val="32"/>
          <w:highlight w:val="none"/>
          <w:u w:val="none" w:color="auto"/>
          <w:lang w:val="en-US" w:eastAsia="zh-CN"/>
        </w:rPr>
        <w:t>居民人均可支配收入达到7.</w:t>
      </w:r>
      <w:r>
        <w:rPr>
          <w:rFonts w:hint="eastAsia" w:ascii="Times New Roman" w:hAnsi="Times New Roman" w:eastAsia="方正仿宋_GBK" w:cs="Times New Roman"/>
          <w:color w:val="auto"/>
          <w:sz w:val="32"/>
          <w:szCs w:val="32"/>
          <w:highlight w:val="none"/>
          <w:u w:val="none" w:color="auto"/>
          <w:lang w:val="en-US" w:eastAsia="zh-CN"/>
        </w:rPr>
        <w:t>6</w:t>
      </w:r>
      <w:r>
        <w:rPr>
          <w:rFonts w:hint="default" w:ascii="Times New Roman" w:hAnsi="Times New Roman" w:eastAsia="方正仿宋_GBK" w:cs="Times New Roman"/>
          <w:color w:val="auto"/>
          <w:sz w:val="32"/>
          <w:szCs w:val="32"/>
          <w:highlight w:val="none"/>
          <w:u w:val="none" w:color="auto"/>
          <w:lang w:val="en-US" w:eastAsia="zh-CN"/>
        </w:rPr>
        <w:t>万元。</w:t>
      </w:r>
    </w:p>
    <w:p w14:paraId="4E79B3A6">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lang w:val="en-US" w:eastAsia="zh-CN"/>
        </w:rPr>
      </w:pPr>
      <w:bookmarkStart w:id="1653" w:name="_Toc19517"/>
      <w:bookmarkStart w:id="1654" w:name="_Toc22406"/>
      <w:bookmarkStart w:id="1655" w:name="_Toc32250"/>
      <w:bookmarkStart w:id="1656" w:name="_Toc16904"/>
      <w:bookmarkStart w:id="1657" w:name="_Toc14582"/>
      <w:bookmarkStart w:id="1658" w:name="_Toc29009"/>
      <w:bookmarkStart w:id="1659" w:name="_Toc19191"/>
      <w:bookmarkStart w:id="1660" w:name="_Toc24790"/>
      <w:bookmarkStart w:id="1661" w:name="_Toc5565"/>
      <w:bookmarkStart w:id="1662" w:name="_Toc29826"/>
      <w:bookmarkStart w:id="1663" w:name="_Toc31604"/>
      <w:bookmarkStart w:id="1664" w:name="_Toc26293"/>
      <w:r>
        <w:rPr>
          <w:rFonts w:hint="default" w:ascii="Times New Roman" w:hAnsi="Times New Roman" w:eastAsia="方正黑体_GBK" w:cs="Times New Roman"/>
          <w:color w:val="auto"/>
          <w:sz w:val="32"/>
          <w:szCs w:val="32"/>
          <w:highlight w:val="none"/>
          <w:lang w:val="en-US" w:eastAsia="zh-CN"/>
        </w:rPr>
        <w:t>第四十二章 加快建设全国一流教育强区</w:t>
      </w:r>
      <w:bookmarkEnd w:id="1653"/>
      <w:bookmarkEnd w:id="1654"/>
      <w:bookmarkEnd w:id="1655"/>
      <w:bookmarkEnd w:id="1656"/>
      <w:bookmarkEnd w:id="1657"/>
      <w:bookmarkEnd w:id="1658"/>
      <w:bookmarkEnd w:id="1659"/>
    </w:p>
    <w:p w14:paraId="4894E3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方正楷体_GBK" w:cs="Times New Roman"/>
          <w:color w:val="auto"/>
          <w:spacing w:val="0"/>
          <w:sz w:val="32"/>
          <w:szCs w:val="32"/>
          <w:highlight w:val="none"/>
          <w:u w:val="single" w:color="auto"/>
          <w:lang w:val="en-US" w:eastAsia="zh-CN"/>
        </w:rPr>
      </w:pPr>
      <w:bookmarkStart w:id="1665" w:name="_Toc128"/>
      <w:r>
        <w:rPr>
          <w:rFonts w:hint="default" w:ascii="Times New Roman" w:hAnsi="Times New Roman" w:eastAsia="方正仿宋_GBK" w:cs="Times New Roman"/>
          <w:color w:val="auto"/>
          <w:spacing w:val="0"/>
          <w:sz w:val="32"/>
          <w:szCs w:val="32"/>
          <w:highlight w:val="none"/>
          <w:u w:val="none" w:color="auto"/>
          <w:lang w:val="en-US" w:eastAsia="zh-CN"/>
        </w:rPr>
        <w:t>坚持</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一流城市孕育一流教育、一流教育成就一流城市</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教育理念，加快建设全国一流教育强区，办好人民满意的教育。</w:t>
      </w:r>
    </w:p>
    <w:p w14:paraId="3471AEDA">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rPr>
      </w:pPr>
      <w:bookmarkStart w:id="1666" w:name="_Toc25421"/>
      <w:bookmarkStart w:id="1667" w:name="_Toc10942"/>
      <w:bookmarkStart w:id="1668" w:name="_Toc14883"/>
      <w:bookmarkStart w:id="1669" w:name="_Toc517"/>
      <w:bookmarkStart w:id="1670" w:name="_Toc25842"/>
      <w:bookmarkStart w:id="1671" w:name="_Toc16872"/>
      <w:bookmarkStart w:id="1672" w:name="_Toc8491"/>
      <w:r>
        <w:rPr>
          <w:rFonts w:hint="default" w:ascii="Times New Roman" w:hAnsi="Times New Roman" w:eastAsia="方正楷体_GBK" w:cs="Times New Roman"/>
          <w:color w:val="auto"/>
          <w:sz w:val="32"/>
          <w:szCs w:val="32"/>
          <w:highlight w:val="none"/>
          <w:u w:val="none" w:color="auto"/>
          <w:lang w:val="en-US" w:eastAsia="zh-CN"/>
        </w:rPr>
        <w:t xml:space="preserve">第一节 </w:t>
      </w:r>
      <w:r>
        <w:rPr>
          <w:rFonts w:hint="default" w:ascii="Times New Roman" w:hAnsi="Times New Roman" w:eastAsia="方正楷体_GBK" w:cs="Times New Roman"/>
          <w:color w:val="auto"/>
          <w:sz w:val="32"/>
          <w:szCs w:val="32"/>
          <w:highlight w:val="none"/>
          <w:u w:val="none" w:color="auto"/>
        </w:rPr>
        <w:t>实施新时代立德树人工程</w:t>
      </w:r>
      <w:bookmarkEnd w:id="1666"/>
      <w:bookmarkEnd w:id="1667"/>
      <w:bookmarkEnd w:id="1668"/>
      <w:bookmarkEnd w:id="1669"/>
      <w:bookmarkEnd w:id="1670"/>
      <w:bookmarkEnd w:id="1671"/>
      <w:bookmarkEnd w:id="1672"/>
    </w:p>
    <w:p w14:paraId="423371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24"/>
          <w:highlight w:val="none"/>
          <w:lang w:val="en-US" w:eastAsia="zh-CN"/>
        </w:rPr>
      </w:pPr>
      <w:r>
        <w:rPr>
          <w:rFonts w:hint="default" w:ascii="Times New Roman" w:hAnsi="Times New Roman" w:eastAsia="方正仿宋_GBK" w:cs="Times New Roman"/>
          <w:color w:val="auto"/>
          <w:sz w:val="32"/>
          <w:szCs w:val="32"/>
          <w:highlight w:val="none"/>
          <w:lang w:val="en-US" w:eastAsia="zh-CN"/>
        </w:rPr>
        <w:t>全力抓好未成年人思想道德建设，落实</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五育润心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工程，建好用好渝中区学生健康成长指导中心，完善学生心理健康教育工作闭环</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呵护未成年人健康成长。推进大中小学思政课一体化建设，做强</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三岩思政</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品牌。</w:t>
      </w:r>
      <w:r>
        <w:rPr>
          <w:rFonts w:hint="default" w:ascii="Times New Roman" w:hAnsi="Times New Roman" w:eastAsia="方正仿宋_GBK" w:cs="Times New Roman"/>
          <w:color w:val="auto"/>
          <w:sz w:val="32"/>
          <w:szCs w:val="24"/>
          <w:highlight w:val="none"/>
          <w:lang w:val="en-US" w:eastAsia="zh-CN"/>
        </w:rPr>
        <w:t>持续推进</w:t>
      </w:r>
      <w:r>
        <w:rPr>
          <w:rFonts w:hint="default" w:ascii="Times New Roman" w:hAnsi="Times New Roman" w:eastAsia="方正仿宋_GBK" w:cs="Times New Roman"/>
          <w:strike w:val="0"/>
          <w:dstrike w:val="0"/>
          <w:color w:val="auto"/>
          <w:sz w:val="32"/>
          <w:szCs w:val="24"/>
          <w:highlight w:val="none"/>
          <w:lang w:val="en-US" w:eastAsia="zh-CN"/>
        </w:rPr>
        <w:t>市级</w:t>
      </w:r>
      <w:r>
        <w:rPr>
          <w:rFonts w:hint="default" w:ascii="Times New Roman" w:hAnsi="Times New Roman" w:eastAsia="方正仿宋_GBK" w:cs="Times New Roman"/>
          <w:color w:val="auto"/>
          <w:sz w:val="32"/>
          <w:szCs w:val="24"/>
          <w:highlight w:val="none"/>
          <w:lang w:val="en-US" w:eastAsia="zh-CN"/>
        </w:rPr>
        <w:t>义务教育教学改革实验区建设，深入</w:t>
      </w:r>
      <w:r>
        <w:rPr>
          <w:rFonts w:hint="default" w:ascii="Times New Roman" w:hAnsi="Times New Roman" w:eastAsia="方正仿宋_GBK" w:cs="Times New Roman"/>
          <w:color w:val="auto"/>
          <w:kern w:val="2"/>
          <w:sz w:val="32"/>
          <w:szCs w:val="32"/>
          <w:highlight w:val="none"/>
          <w:lang w:val="en-US" w:eastAsia="zh-CN" w:bidi="ar-SA"/>
        </w:rPr>
        <w:t>开展</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共生课堂</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教学实践，推进课堂教学质量提升</w:t>
      </w:r>
      <w:r>
        <w:rPr>
          <w:rFonts w:hint="default" w:ascii="Times New Roman" w:hAnsi="Times New Roman" w:eastAsia="方正仿宋_GBK" w:cs="Times New Roman"/>
          <w:color w:val="auto"/>
          <w:sz w:val="32"/>
          <w:szCs w:val="24"/>
          <w:highlight w:val="none"/>
          <w:lang w:val="en-US" w:eastAsia="zh-CN"/>
        </w:rPr>
        <w:t>。</w:t>
      </w:r>
      <w:r>
        <w:rPr>
          <w:rFonts w:hint="default" w:ascii="Times New Roman" w:hAnsi="Times New Roman" w:eastAsia="方正仿宋_GBK" w:cs="Times New Roman"/>
          <w:color w:val="auto"/>
          <w:sz w:val="32"/>
          <w:szCs w:val="32"/>
          <w:highlight w:val="none"/>
          <w:lang w:val="en-US" w:eastAsia="zh-CN"/>
        </w:rPr>
        <w:t>深入实施学生体质强健计划，深化体教融合，加快推进全国儿童青少年近视防控改革试验区建设，提升体质健康优良率。以学科美育教学改革试点为抓手，推进美育浸润行动。深入推进市级劳动教育实验区建设，健全中小学劳动教育评价细则。实施科技教育创新行动，优化科学类课程体系，</w:t>
      </w:r>
      <w:r>
        <w:rPr>
          <w:rFonts w:hint="default" w:ascii="Times New Roman" w:hAnsi="Times New Roman" w:eastAsia="方正仿宋_GBK" w:cs="Times New Roman"/>
          <w:color w:val="auto"/>
          <w:sz w:val="32"/>
          <w:szCs w:val="24"/>
          <w:highlight w:val="none"/>
          <w:lang w:eastAsia="zh-CN"/>
        </w:rPr>
        <w:t>推动科技教育、</w:t>
      </w:r>
      <w:r>
        <w:rPr>
          <w:rFonts w:hint="default" w:ascii="Times New Roman" w:hAnsi="Times New Roman" w:eastAsia="方正仿宋_GBK" w:cs="Times New Roman"/>
          <w:color w:val="auto"/>
          <w:sz w:val="32"/>
          <w:szCs w:val="24"/>
          <w:highlight w:val="none"/>
          <w:lang w:val="en-US" w:eastAsia="zh-CN"/>
        </w:rPr>
        <w:t>工程</w:t>
      </w:r>
      <w:r>
        <w:rPr>
          <w:rFonts w:hint="default" w:ascii="Times New Roman" w:hAnsi="Times New Roman" w:eastAsia="方正仿宋_GBK" w:cs="Times New Roman"/>
          <w:color w:val="auto"/>
          <w:sz w:val="32"/>
          <w:szCs w:val="24"/>
          <w:highlight w:val="none"/>
          <w:lang w:eastAsia="zh-CN"/>
        </w:rPr>
        <w:t>教育、人工智能教育相融互促。</w:t>
      </w:r>
      <w:r>
        <w:rPr>
          <w:rFonts w:hint="default" w:ascii="Times New Roman" w:hAnsi="Times New Roman" w:eastAsia="方正仿宋_GBK" w:cs="Times New Roman"/>
          <w:color w:val="auto"/>
          <w:sz w:val="32"/>
          <w:szCs w:val="24"/>
          <w:highlight w:val="none"/>
          <w:lang w:val="en-US" w:eastAsia="zh-CN"/>
        </w:rPr>
        <w:t>高要求推进</w:t>
      </w:r>
      <w:r>
        <w:rPr>
          <w:rFonts w:hint="eastAsia" w:ascii="Times New Roman" w:hAnsi="Times New Roman" w:eastAsia="方正仿宋_GBK" w:cs="方正仿宋_GBK"/>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双减</w:t>
      </w:r>
      <w:r>
        <w:rPr>
          <w:rFonts w:hint="eastAsia" w:ascii="Times New Roman" w:hAnsi="Times New Roman" w:eastAsia="方正仿宋_GBK" w:cs="方正仿宋_GBK"/>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工作，巩固拓展</w:t>
      </w:r>
      <w:r>
        <w:rPr>
          <w:rFonts w:hint="eastAsia" w:ascii="Times New Roman" w:hAnsi="Times New Roman" w:eastAsia="方正仿宋_GBK" w:cs="方正仿宋_GBK"/>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双减</w:t>
      </w:r>
      <w:r>
        <w:rPr>
          <w:rFonts w:hint="eastAsia" w:ascii="Times New Roman" w:hAnsi="Times New Roman" w:eastAsia="方正仿宋_GBK" w:cs="方正仿宋_GBK"/>
          <w:color w:val="auto"/>
          <w:sz w:val="32"/>
          <w:szCs w:val="24"/>
          <w:highlight w:val="none"/>
          <w:lang w:val="en-US" w:eastAsia="zh-CN"/>
        </w:rPr>
        <w:t>”</w:t>
      </w:r>
      <w:r>
        <w:rPr>
          <w:rFonts w:hint="default" w:ascii="Times New Roman" w:hAnsi="Times New Roman" w:eastAsia="方正仿宋_GBK" w:cs="Times New Roman"/>
          <w:color w:val="auto"/>
          <w:sz w:val="32"/>
          <w:szCs w:val="24"/>
          <w:highlight w:val="none"/>
          <w:lang w:val="en-US" w:eastAsia="zh-CN"/>
        </w:rPr>
        <w:t>成效。</w:t>
      </w:r>
    </w:p>
    <w:p w14:paraId="2ABA2DC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673" w:name="_Toc10778"/>
      <w:bookmarkStart w:id="1674" w:name="_Toc3025"/>
      <w:bookmarkStart w:id="1675" w:name="_Toc9522"/>
      <w:bookmarkStart w:id="1676" w:name="_Toc30460"/>
      <w:bookmarkStart w:id="1677" w:name="_Toc29575"/>
      <w:bookmarkStart w:id="1678" w:name="_Toc3254"/>
      <w:bookmarkStart w:id="1679" w:name="_Toc20733"/>
      <w:r>
        <w:rPr>
          <w:rFonts w:hint="default" w:ascii="Times New Roman" w:hAnsi="Times New Roman" w:eastAsia="方正楷体_GBK" w:cs="Times New Roman"/>
          <w:color w:val="auto"/>
          <w:sz w:val="32"/>
          <w:szCs w:val="32"/>
          <w:highlight w:val="none"/>
          <w:u w:val="none" w:color="auto"/>
          <w:lang w:val="en-US" w:eastAsia="zh-CN"/>
        </w:rPr>
        <w:t xml:space="preserve">第二节 </w:t>
      </w:r>
      <w:bookmarkEnd w:id="1665"/>
      <w:r>
        <w:rPr>
          <w:rFonts w:hint="default" w:ascii="Times New Roman" w:hAnsi="Times New Roman" w:eastAsia="方正楷体_GBK" w:cs="Times New Roman"/>
          <w:color w:val="auto"/>
          <w:sz w:val="32"/>
          <w:szCs w:val="32"/>
          <w:highlight w:val="none"/>
          <w:u w:val="none" w:color="auto"/>
          <w:lang w:val="en-US" w:eastAsia="zh-CN"/>
        </w:rPr>
        <w:t>打造全生命周期高质量教育体系</w:t>
      </w:r>
      <w:bookmarkEnd w:id="1673"/>
      <w:bookmarkEnd w:id="1674"/>
      <w:bookmarkEnd w:id="1675"/>
      <w:bookmarkEnd w:id="1676"/>
      <w:bookmarkEnd w:id="1677"/>
      <w:bookmarkEnd w:id="1678"/>
      <w:bookmarkEnd w:id="1679"/>
    </w:p>
    <w:p w14:paraId="48A79B5C">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kern w:val="2"/>
          <w:sz w:val="32"/>
          <w:szCs w:val="32"/>
          <w:highlight w:val="none"/>
          <w:lang w:val="en-US" w:eastAsia="zh-CN" w:bidi="ar-SA"/>
        </w:rPr>
        <w:t>立足服务全民终身学习，持续强化</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15年高品质教育在渝中</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的独特优势，构建全生命周期高质量教育体系。</w:t>
      </w:r>
      <w:r>
        <w:rPr>
          <w:rFonts w:hint="default" w:ascii="Times New Roman" w:hAnsi="Times New Roman" w:eastAsia="方正仿宋_GBK" w:cs="Times New Roman"/>
          <w:color w:val="auto"/>
          <w:sz w:val="32"/>
          <w:szCs w:val="32"/>
          <w:highlight w:val="none"/>
        </w:rPr>
        <w:t>巩固学前教育普及普惠成果，鼓励街道、国有企事业单位按需开办普惠性幼儿园，推进既有幼儿园服务品质提升。</w:t>
      </w:r>
      <w:r>
        <w:rPr>
          <w:rFonts w:hint="default" w:ascii="Times New Roman" w:hAnsi="Times New Roman" w:eastAsia="方正仿宋_GBK" w:cs="Times New Roman"/>
          <w:color w:val="auto"/>
          <w:sz w:val="32"/>
          <w:szCs w:val="32"/>
          <w:highlight w:val="none"/>
          <w:lang w:val="en-US" w:eastAsia="zh-CN"/>
        </w:rPr>
        <w:t>推动教育发展共同体总校初中和成员校初中质量提升</w:t>
      </w:r>
      <w:r>
        <w:rPr>
          <w:rFonts w:hint="default" w:ascii="Times New Roman" w:hAnsi="Times New Roman" w:eastAsia="方正仿宋_GBK" w:cs="Times New Roman"/>
          <w:color w:val="auto"/>
          <w:sz w:val="32"/>
          <w:szCs w:val="32"/>
          <w:highlight w:val="none"/>
        </w:rPr>
        <w:t>。实施新卓越高中建设及发展促进计划，扩大优质资源总量，探索发展</w:t>
      </w:r>
      <w:r>
        <w:rPr>
          <w:rFonts w:hint="default" w:ascii="Times New Roman" w:hAnsi="Times New Roman" w:eastAsia="方正仿宋_GBK" w:cs="Times New Roman"/>
          <w:color w:val="auto"/>
          <w:sz w:val="32"/>
          <w:szCs w:val="32"/>
          <w:highlight w:val="none"/>
          <w:lang w:val="en-US" w:eastAsia="zh-CN"/>
        </w:rPr>
        <w:t>科技</w:t>
      </w:r>
      <w:r>
        <w:rPr>
          <w:rFonts w:hint="default" w:ascii="Times New Roman" w:hAnsi="Times New Roman" w:eastAsia="方正仿宋_GBK" w:cs="Times New Roman"/>
          <w:color w:val="auto"/>
          <w:sz w:val="32"/>
          <w:szCs w:val="32"/>
          <w:highlight w:val="none"/>
        </w:rPr>
        <w:t>教育</w:t>
      </w:r>
      <w:r>
        <w:rPr>
          <w:rFonts w:hint="default" w:ascii="Times New Roman" w:hAnsi="Times New Roman" w:eastAsia="方正仿宋_GBK" w:cs="Times New Roman"/>
          <w:color w:val="auto"/>
          <w:sz w:val="32"/>
          <w:szCs w:val="32"/>
          <w:highlight w:val="none"/>
          <w:lang w:val="en-US" w:eastAsia="zh-CN"/>
        </w:rPr>
        <w:t>等</w:t>
      </w:r>
      <w:r>
        <w:rPr>
          <w:rFonts w:hint="default" w:ascii="Times New Roman" w:hAnsi="Times New Roman" w:eastAsia="方正仿宋_GBK" w:cs="Times New Roman"/>
          <w:color w:val="auto"/>
          <w:sz w:val="32"/>
          <w:szCs w:val="32"/>
          <w:highlight w:val="none"/>
        </w:rPr>
        <w:t>特色高中，打造3</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rPr>
        <w:t>5</w:t>
      </w:r>
      <w:r>
        <w:rPr>
          <w:rFonts w:hint="default" w:ascii="Times New Roman" w:hAnsi="Times New Roman" w:eastAsia="方正仿宋_GBK" w:cs="Times New Roman"/>
          <w:color w:val="auto"/>
          <w:sz w:val="32"/>
          <w:szCs w:val="32"/>
          <w:highlight w:val="none"/>
          <w:lang w:val="en-US" w:eastAsia="zh-CN"/>
        </w:rPr>
        <w:t>个</w:t>
      </w:r>
      <w:r>
        <w:rPr>
          <w:rFonts w:hint="default" w:ascii="Times New Roman" w:hAnsi="Times New Roman" w:eastAsia="方正仿宋_GBK" w:cs="Times New Roman"/>
          <w:color w:val="auto"/>
          <w:sz w:val="32"/>
          <w:szCs w:val="32"/>
          <w:highlight w:val="none"/>
        </w:rPr>
        <w:t>市级课程</w:t>
      </w:r>
      <w:r>
        <w:rPr>
          <w:rFonts w:hint="default" w:ascii="Times New Roman" w:hAnsi="Times New Roman" w:eastAsia="方正仿宋_GBK" w:cs="Times New Roman"/>
          <w:color w:val="auto"/>
          <w:sz w:val="32"/>
          <w:szCs w:val="32"/>
          <w:highlight w:val="none"/>
          <w:lang w:val="en-US" w:eastAsia="zh-CN"/>
        </w:rPr>
        <w:t>创新基地</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推动</w:t>
      </w:r>
      <w:r>
        <w:rPr>
          <w:rFonts w:hint="default" w:ascii="Times New Roman" w:hAnsi="Times New Roman" w:eastAsia="方正仿宋_GBK" w:cs="Times New Roman"/>
          <w:color w:val="auto"/>
          <w:kern w:val="2"/>
          <w:sz w:val="32"/>
          <w:szCs w:val="32"/>
          <w:highlight w:val="none"/>
          <w:lang w:val="en-US" w:eastAsia="zh-CN" w:bidi="ar-SA"/>
        </w:rPr>
        <w:t>职业教育提质增效，优化康养护理等专业群，建强产教融合载体与</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双师型</w:t>
      </w:r>
      <w:r>
        <w:rPr>
          <w:rFonts w:hint="eastAsia" w:ascii="Times New Roman" w:hAnsi="Times New Roman" w:eastAsia="方正仿宋_GBK" w:cs="方正仿宋_GBK"/>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队伍。推进国家特殊教育改革实验区建设</w:t>
      </w:r>
      <w:r>
        <w:rPr>
          <w:rFonts w:hint="default" w:ascii="Times New Roman" w:hAnsi="Times New Roman" w:eastAsia="方正仿宋_GBK" w:cs="Times New Roman"/>
          <w:color w:val="auto"/>
          <w:sz w:val="32"/>
          <w:szCs w:val="32"/>
          <w:highlight w:val="none"/>
          <w:lang w:eastAsia="zh-CN"/>
        </w:rPr>
        <w:t>，适龄残疾儿童青少年义务教育入学率保持100%。</w:t>
      </w:r>
      <w:r>
        <w:rPr>
          <w:rFonts w:hint="default" w:ascii="Times New Roman" w:hAnsi="Times New Roman" w:eastAsia="方正仿宋_GBK" w:cs="Times New Roman"/>
          <w:color w:val="auto"/>
          <w:kern w:val="2"/>
          <w:sz w:val="32"/>
          <w:szCs w:val="32"/>
          <w:highlight w:val="none"/>
          <w:lang w:val="en-US" w:eastAsia="zh-CN" w:bidi="ar-SA"/>
        </w:rPr>
        <w:t>强化高等教育龙头牵引，</w:t>
      </w:r>
      <w:r>
        <w:rPr>
          <w:rFonts w:hint="default" w:ascii="Times New Roman" w:hAnsi="Times New Roman" w:eastAsia="方正仿宋_GBK" w:cs="Times New Roman"/>
          <w:color w:val="auto"/>
          <w:sz w:val="32"/>
          <w:szCs w:val="32"/>
          <w:highlight w:val="none"/>
          <w:lang w:val="en-US" w:eastAsia="zh-CN"/>
        </w:rPr>
        <w:t>全力支持重庆医科大学</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双一流</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建设</w:t>
      </w:r>
      <w:r>
        <w:rPr>
          <w:rFonts w:hint="default" w:ascii="Times New Roman" w:hAnsi="Times New Roman" w:eastAsia="方正仿宋_GBK" w:cs="Times New Roman"/>
          <w:color w:val="auto"/>
          <w:kern w:val="2"/>
          <w:sz w:val="32"/>
          <w:szCs w:val="32"/>
          <w:highlight w:val="none"/>
          <w:lang w:val="en-US" w:eastAsia="zh-CN" w:bidi="ar-SA"/>
        </w:rPr>
        <w:t>。高质量建好重庆开放大学渝中学院</w:t>
      </w:r>
      <w:r>
        <w:rPr>
          <w:rFonts w:hint="default" w:ascii="Times New Roman" w:hAnsi="Times New Roman" w:eastAsia="方正仿宋_GBK" w:cs="Times New Roman"/>
          <w:color w:val="auto"/>
          <w:sz w:val="32"/>
          <w:szCs w:val="32"/>
          <w:highlight w:val="none"/>
          <w:lang w:val="en-US" w:eastAsia="zh-CN"/>
        </w:rPr>
        <w:t>，依托山城老年大学等推动高等教育、职业教育与社区教育、老年教育、家庭教育深度融合，完善终身学习公共服务与</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学分银行</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试点，丰富资源供给，打造学习型社区。推进市级中外人文交流创新区建设，拓展国际友好学校合作。</w:t>
      </w:r>
    </w:p>
    <w:p w14:paraId="248B41B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eastAsia="zh-CN"/>
        </w:rPr>
      </w:pPr>
      <w:bookmarkStart w:id="1680" w:name="_Toc24299"/>
      <w:bookmarkStart w:id="1681" w:name="_Toc4237"/>
      <w:bookmarkStart w:id="1682" w:name="_Toc31137"/>
      <w:bookmarkStart w:id="1683" w:name="_Toc24290"/>
      <w:bookmarkStart w:id="1684" w:name="_Toc27371"/>
      <w:bookmarkStart w:id="1685" w:name="_Toc14677"/>
      <w:bookmarkStart w:id="1686" w:name="_Toc28440"/>
      <w:bookmarkStart w:id="1687" w:name="_Toc19657"/>
      <w:r>
        <w:rPr>
          <w:rFonts w:hint="default" w:ascii="Times New Roman" w:hAnsi="Times New Roman" w:eastAsia="方正楷体_GBK" w:cs="Times New Roman"/>
          <w:color w:val="auto"/>
          <w:sz w:val="32"/>
          <w:szCs w:val="32"/>
          <w:highlight w:val="none"/>
          <w:u w:val="none" w:color="auto"/>
          <w:lang w:val="en-US" w:eastAsia="zh-CN"/>
        </w:rPr>
        <w:t>第三节</w:t>
      </w:r>
      <w:bookmarkEnd w:id="1680"/>
      <w:r>
        <w:rPr>
          <w:rFonts w:hint="default" w:ascii="Times New Roman" w:hAnsi="Times New Roman" w:eastAsia="方正楷体_GBK" w:cs="Times New Roman"/>
          <w:color w:val="auto"/>
          <w:sz w:val="32"/>
          <w:szCs w:val="32"/>
          <w:highlight w:val="none"/>
          <w:u w:val="none" w:color="auto"/>
          <w:lang w:val="en-US" w:eastAsia="zh-CN"/>
        </w:rPr>
        <w:t xml:space="preserve"> 完善教育保障体系</w:t>
      </w:r>
      <w:bookmarkEnd w:id="1681"/>
      <w:bookmarkEnd w:id="1682"/>
      <w:bookmarkEnd w:id="1683"/>
      <w:bookmarkEnd w:id="1684"/>
      <w:bookmarkEnd w:id="1685"/>
      <w:bookmarkEnd w:id="1686"/>
      <w:bookmarkEnd w:id="1687"/>
    </w:p>
    <w:p w14:paraId="3A4E43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highlight w:val="none"/>
          <w:lang w:val="en-US" w:eastAsia="zh-CN" w:bidi="ar-SA"/>
        </w:rPr>
        <w:t>健全适应经济社会发展、城市更新提升、人口动态变化的校点布局与学位供给动态调整机制，</w:t>
      </w:r>
      <w:r>
        <w:rPr>
          <w:rFonts w:hint="default" w:ascii="Times New Roman" w:hAnsi="Times New Roman" w:eastAsia="方正仿宋_GBK" w:cs="Times New Roman"/>
          <w:color w:val="auto"/>
          <w:sz w:val="32"/>
          <w:szCs w:val="32"/>
          <w:highlight w:val="none"/>
          <w:lang w:val="en-US" w:eastAsia="zh-CN"/>
        </w:rPr>
        <w:t>通过新建、</w:t>
      </w:r>
      <w:r>
        <w:rPr>
          <w:rFonts w:hint="default" w:ascii="Times New Roman" w:hAnsi="Times New Roman" w:eastAsia="方正仿宋_GBK" w:cs="Times New Roman"/>
          <w:color w:val="auto"/>
          <w:sz w:val="32"/>
          <w:szCs w:val="32"/>
          <w:highlight w:val="none"/>
        </w:rPr>
        <w:t>改扩建、</w:t>
      </w:r>
      <w:r>
        <w:rPr>
          <w:rFonts w:hint="default" w:ascii="Times New Roman" w:hAnsi="Times New Roman" w:eastAsia="方正仿宋_GBK" w:cs="Times New Roman"/>
          <w:color w:val="auto"/>
          <w:sz w:val="32"/>
          <w:szCs w:val="32"/>
          <w:highlight w:val="none"/>
          <w:lang w:val="en-US" w:eastAsia="zh-CN"/>
        </w:rPr>
        <w:t>教育发展共同体</w:t>
      </w:r>
      <w:r>
        <w:rPr>
          <w:rFonts w:hint="default" w:ascii="Times New Roman" w:hAnsi="Times New Roman" w:eastAsia="方正仿宋_GBK" w:cs="Times New Roman"/>
          <w:color w:val="auto"/>
          <w:sz w:val="32"/>
          <w:szCs w:val="32"/>
          <w:highlight w:val="none"/>
        </w:rPr>
        <w:t>办学</w:t>
      </w:r>
      <w:r>
        <w:rPr>
          <w:rFonts w:hint="default" w:ascii="Times New Roman" w:hAnsi="Times New Roman" w:eastAsia="方正仿宋_GBK" w:cs="Times New Roman"/>
          <w:color w:val="auto"/>
          <w:sz w:val="32"/>
          <w:szCs w:val="32"/>
          <w:highlight w:val="none"/>
          <w:lang w:val="en-US" w:eastAsia="zh-CN"/>
        </w:rPr>
        <w:t>等方式</w:t>
      </w:r>
      <w:r>
        <w:rPr>
          <w:rFonts w:hint="default" w:ascii="Times New Roman" w:hAnsi="Times New Roman" w:eastAsia="方正仿宋_GBK" w:cs="Times New Roman"/>
          <w:color w:val="auto"/>
          <w:sz w:val="32"/>
          <w:szCs w:val="32"/>
          <w:highlight w:val="none"/>
        </w:rPr>
        <w:t>扩大优质学位</w:t>
      </w:r>
      <w:r>
        <w:rPr>
          <w:rFonts w:hint="default" w:ascii="Times New Roman" w:hAnsi="Times New Roman" w:eastAsia="方正仿宋_GBK" w:cs="Times New Roman"/>
          <w:color w:val="auto"/>
          <w:sz w:val="32"/>
          <w:szCs w:val="32"/>
          <w:highlight w:val="none"/>
          <w:lang w:val="en-US" w:eastAsia="zh-CN"/>
        </w:rPr>
        <w:t>供给。弘扬和践行教育家精神，深入实施</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五名工程</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落实待遇保障与师德师风建设长效机制，以数字化赋能教师队伍建设，系统提升教师数智素养。完善教育投入保障机制。以全国学校家庭社会协同育人实验区等12个国家级教育改革试验区为牵引，持续深化教育改革。推进教育部人工智能赋能教育行动试点区建设，建成西部首个区域</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教育大数据中心</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，完成</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渝中区数字教育生态2.0</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迭代建设。坚持</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安全第一</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理念，分类推进老旧校舍更新改造。强化校园安全隐患排查整治和矛盾纠纷排查化解，创新安全宣传教育。</w:t>
      </w:r>
      <w:bookmarkEnd w:id="1660"/>
      <w:bookmarkEnd w:id="1661"/>
      <w:bookmarkEnd w:id="1662"/>
      <w:bookmarkEnd w:id="1663"/>
      <w:bookmarkEnd w:id="1664"/>
    </w:p>
    <w:p w14:paraId="7C31A91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688" w:name="_Toc10663"/>
      <w:bookmarkStart w:id="1689" w:name="_Toc10223"/>
      <w:bookmarkStart w:id="1690" w:name="_Toc19430"/>
      <w:bookmarkStart w:id="1691" w:name="_Toc7643"/>
      <w:bookmarkStart w:id="1692" w:name="_Toc25103"/>
      <w:bookmarkStart w:id="1693" w:name="_Toc21282"/>
      <w:bookmarkStart w:id="1694" w:name="_Toc19364"/>
      <w:bookmarkStart w:id="1695" w:name="_Toc22728"/>
      <w:bookmarkStart w:id="1696" w:name="_Toc21212"/>
      <w:bookmarkStart w:id="1697" w:name="_Toc13411"/>
      <w:bookmarkStart w:id="1698" w:name="_Toc16054"/>
      <w:bookmarkStart w:id="1699" w:name="_Toc19999"/>
      <w:bookmarkStart w:id="1700" w:name="_Toc26540"/>
      <w:r>
        <w:rPr>
          <w:rFonts w:hint="default" w:ascii="Times New Roman" w:hAnsi="Times New Roman" w:eastAsia="方正黑体_GBK" w:cs="Times New Roman"/>
          <w:color w:val="auto"/>
          <w:sz w:val="32"/>
          <w:szCs w:val="32"/>
          <w:highlight w:val="none"/>
          <w:u w:val="none" w:color="auto"/>
          <w:lang w:val="en-US" w:eastAsia="zh-CN"/>
        </w:rPr>
        <w:t xml:space="preserve">第四十三章 </w:t>
      </w:r>
      <w:r>
        <w:rPr>
          <w:rFonts w:hint="default" w:ascii="Times New Roman" w:hAnsi="Times New Roman" w:eastAsia="方正黑体_GBK" w:cs="Times New Roman"/>
          <w:color w:val="auto"/>
          <w:sz w:val="32"/>
          <w:szCs w:val="32"/>
          <w:highlight w:val="none"/>
          <w:u w:val="none" w:color="auto"/>
        </w:rPr>
        <w:t>完善多层次社会保障体系</w:t>
      </w:r>
      <w:bookmarkEnd w:id="1688"/>
      <w:bookmarkEnd w:id="1689"/>
      <w:bookmarkEnd w:id="1690"/>
      <w:bookmarkEnd w:id="1691"/>
      <w:bookmarkEnd w:id="1692"/>
      <w:bookmarkEnd w:id="1693"/>
      <w:bookmarkEnd w:id="1694"/>
      <w:bookmarkEnd w:id="1695"/>
      <w:bookmarkEnd w:id="1696"/>
      <w:bookmarkEnd w:id="1697"/>
      <w:bookmarkEnd w:id="1698"/>
    </w:p>
    <w:p w14:paraId="252F87C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坚持应保尽保，着力兜底线、织密网、建机制，健全覆盖全民、公平统一、安全规范、更可持续、更有效率的社会保障体系，稳步提升社会保障水平。</w:t>
      </w:r>
    </w:p>
    <w:p w14:paraId="05F258A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01" w:name="_Toc23135"/>
      <w:bookmarkStart w:id="1702" w:name="_Toc6812"/>
      <w:bookmarkStart w:id="1703" w:name="_Toc20597"/>
      <w:bookmarkStart w:id="1704" w:name="_Toc16095"/>
      <w:bookmarkStart w:id="1705" w:name="_Toc26994"/>
      <w:bookmarkStart w:id="1706" w:name="_Toc28803"/>
      <w:bookmarkStart w:id="1707" w:name="_Toc31627"/>
      <w:bookmarkStart w:id="1708" w:name="_Toc9559"/>
      <w:bookmarkStart w:id="1709" w:name="_Toc28691"/>
      <w:bookmarkStart w:id="1710" w:name="_Toc18594"/>
      <w:bookmarkStart w:id="1711" w:name="_Toc726"/>
      <w:r>
        <w:rPr>
          <w:rFonts w:hint="default" w:ascii="Times New Roman" w:hAnsi="Times New Roman" w:eastAsia="方正楷体_GBK" w:cs="Times New Roman"/>
          <w:color w:val="auto"/>
          <w:sz w:val="32"/>
          <w:szCs w:val="32"/>
          <w:highlight w:val="none"/>
          <w:u w:val="none" w:color="auto"/>
          <w:lang w:val="en-US" w:eastAsia="zh-CN"/>
        </w:rPr>
        <w:t>第一节 完善社会保险制度</w:t>
      </w:r>
      <w:bookmarkEnd w:id="1701"/>
      <w:bookmarkEnd w:id="1702"/>
      <w:bookmarkEnd w:id="1703"/>
      <w:bookmarkEnd w:id="1704"/>
      <w:bookmarkEnd w:id="1705"/>
      <w:bookmarkEnd w:id="1706"/>
      <w:bookmarkEnd w:id="1707"/>
      <w:bookmarkEnd w:id="1708"/>
      <w:bookmarkEnd w:id="1709"/>
      <w:bookmarkEnd w:id="1710"/>
      <w:bookmarkEnd w:id="1711"/>
    </w:p>
    <w:p w14:paraId="3366BE3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1712" w:name="_Toc14161"/>
      <w:bookmarkStart w:id="1713" w:name="_Toc8192"/>
      <w:bookmarkStart w:id="1714" w:name="_Toc23469"/>
      <w:bookmarkStart w:id="1715" w:name="_Toc15556"/>
      <w:bookmarkStart w:id="1716" w:name="_Toc21146"/>
      <w:bookmarkStart w:id="1717" w:name="_Toc18263"/>
      <w:bookmarkStart w:id="1718" w:name="_Toc29290"/>
      <w:bookmarkStart w:id="1719" w:name="_Toc29355"/>
      <w:bookmarkStart w:id="1720" w:name="_Toc15467"/>
      <w:bookmarkStart w:id="1721" w:name="_Toc24244"/>
      <w:r>
        <w:rPr>
          <w:rFonts w:hint="default" w:ascii="Times New Roman" w:hAnsi="Times New Roman" w:eastAsia="方正仿宋_GBK" w:cs="Times New Roman"/>
          <w:color w:val="auto"/>
          <w:sz w:val="32"/>
          <w:szCs w:val="32"/>
          <w:highlight w:val="none"/>
          <w:u w:val="none" w:color="auto"/>
          <w:lang w:val="en-US" w:eastAsia="zh-CN"/>
        </w:rPr>
        <w:t>落实企业职工基本养老保险全国统筹制度，健全多层次、多支柱养老保险体系，大力发展企业年金、职业年金，规范发展养老保险第三支柱，推动基本养老保障待遇合理调整，逐步提高居民基本养老保险基础养老金。持续推进社会保险高质量参保扩面，全面取消在就业地参加社会保险的户籍限制，健全灵活就业人员、农民工、新就业形态人员社会保险制度，提高就业人员参加职工基本养老保险比例。落实职业伤害保障制度。健全社会保险信息共享机制，推进社会保险关系转移接续便捷办理。强化社保基金征缴、支出管理，健全社保基金安全监管机制。发挥各类商业保险补充保障作用。</w:t>
      </w:r>
    </w:p>
    <w:p w14:paraId="47BC4DD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22" w:name="_Toc28209"/>
      <w:r>
        <w:rPr>
          <w:rFonts w:hint="default" w:ascii="Times New Roman" w:hAnsi="Times New Roman" w:eastAsia="方正楷体_GBK" w:cs="Times New Roman"/>
          <w:color w:val="auto"/>
          <w:sz w:val="32"/>
          <w:szCs w:val="32"/>
          <w:highlight w:val="none"/>
          <w:u w:val="none" w:color="auto"/>
          <w:lang w:val="en-US" w:eastAsia="zh-CN"/>
        </w:rPr>
        <w:t>第二节 提高医疗保障水平</w:t>
      </w:r>
      <w:bookmarkEnd w:id="1712"/>
      <w:bookmarkEnd w:id="1713"/>
      <w:bookmarkEnd w:id="1714"/>
      <w:bookmarkEnd w:id="1715"/>
      <w:bookmarkEnd w:id="1716"/>
      <w:bookmarkEnd w:id="1717"/>
      <w:bookmarkEnd w:id="1718"/>
      <w:bookmarkEnd w:id="1719"/>
      <w:bookmarkEnd w:id="1720"/>
      <w:bookmarkEnd w:id="1721"/>
      <w:bookmarkEnd w:id="1722"/>
    </w:p>
    <w:p w14:paraId="53FA789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pacing w:val="0"/>
          <w:sz w:val="32"/>
          <w:szCs w:val="32"/>
          <w:highlight w:val="none"/>
          <w:u w:val="none" w:color="auto"/>
          <w:lang w:val="en-US" w:eastAsia="zh-CN"/>
        </w:rPr>
        <w:t>落实基本医疗保险政策，</w:t>
      </w:r>
      <w:r>
        <w:rPr>
          <w:rFonts w:hint="default" w:ascii="Times New Roman" w:hAnsi="Times New Roman" w:eastAsia="方正仿宋_GBK" w:cs="Times New Roman"/>
          <w:color w:val="auto"/>
          <w:sz w:val="32"/>
          <w:szCs w:val="32"/>
          <w:highlight w:val="none"/>
          <w:u w:val="none" w:color="auto"/>
          <w:lang w:val="en-US" w:eastAsia="zh-CN"/>
        </w:rPr>
        <w:t>鼓励农民工、新就业形态人员参加基本医疗保险，全区</w:t>
      </w:r>
      <w:r>
        <w:rPr>
          <w:rFonts w:hint="default" w:ascii="Times New Roman" w:hAnsi="Times New Roman" w:eastAsia="方正仿宋_GBK" w:cs="Times New Roman"/>
          <w:color w:val="auto"/>
          <w:sz w:val="32"/>
          <w:szCs w:val="32"/>
          <w:highlight w:val="none"/>
          <w:u w:val="none" w:color="auto"/>
          <w:shd w:val="clear" w:color="auto" w:fill="FFFFFF"/>
        </w:rPr>
        <w:t>基本医疗保险参保率稳定在97%以上</w:t>
      </w:r>
      <w:r>
        <w:rPr>
          <w:rFonts w:hint="default" w:ascii="Times New Roman" w:hAnsi="Times New Roman" w:eastAsia="方正仿宋_GBK" w:cs="Times New Roman"/>
          <w:color w:val="auto"/>
          <w:sz w:val="32"/>
          <w:szCs w:val="32"/>
          <w:highlight w:val="none"/>
          <w:u w:val="none" w:color="auto"/>
          <w:lang w:val="en-US" w:eastAsia="zh-CN"/>
        </w:rPr>
        <w:t>。健全长期护理保险制度，将居民医保参保人、未就业居民纳入覆盖范围</w:t>
      </w:r>
      <w:r>
        <w:rPr>
          <w:rFonts w:hint="default" w:ascii="Times New Roman" w:hAnsi="Times New Roman" w:eastAsia="方正仿宋_GBK" w:cs="Times New Roman"/>
          <w:color w:val="auto"/>
          <w:sz w:val="32"/>
          <w:szCs w:val="32"/>
          <w:highlight w:val="none"/>
          <w:u w:val="none" w:color="auto"/>
          <w:shd w:val="clear" w:color="auto" w:fill="FFFFFF"/>
          <w:lang w:eastAsia="zh-CN"/>
        </w:rPr>
        <w:t>。</w:t>
      </w:r>
      <w:r>
        <w:rPr>
          <w:rFonts w:hint="default" w:ascii="Times New Roman" w:hAnsi="Times New Roman" w:eastAsia="方正仿宋_GBK" w:cs="Times New Roman"/>
          <w:color w:val="auto"/>
          <w:sz w:val="32"/>
          <w:szCs w:val="32"/>
          <w:highlight w:val="none"/>
          <w:u w:val="none" w:color="auto"/>
          <w:lang w:val="en-US" w:eastAsia="zh-CN"/>
        </w:rPr>
        <w:t>对连续参保和零报销人员提高支付限额，扩大职工医保</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家庭共济</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范围。</w:t>
      </w:r>
      <w:r>
        <w:rPr>
          <w:rFonts w:hint="default" w:ascii="Times New Roman" w:hAnsi="Times New Roman" w:eastAsia="方正仿宋_GBK" w:cs="Times New Roman"/>
          <w:color w:val="auto"/>
          <w:kern w:val="2"/>
          <w:sz w:val="32"/>
          <w:szCs w:val="32"/>
          <w:highlight w:val="none"/>
          <w:u w:val="none" w:color="auto"/>
          <w:lang w:val="en-US" w:eastAsia="zh-CN" w:bidi="ar"/>
        </w:rPr>
        <w:t>执行优化后的基本医疗保障目录，</w:t>
      </w:r>
      <w:r>
        <w:rPr>
          <w:rFonts w:hint="default" w:ascii="Times New Roman" w:hAnsi="Times New Roman" w:eastAsia="方正仿宋_GBK" w:cs="Times New Roman"/>
          <w:color w:val="auto"/>
          <w:sz w:val="32"/>
          <w:szCs w:val="32"/>
          <w:highlight w:val="none"/>
          <w:u w:val="none" w:color="auto"/>
          <w:lang w:val="en-US" w:eastAsia="zh-CN"/>
        </w:rPr>
        <w:t>落实重特大疾病医疗保险和救助制度，支持商业补充医疗保险发展，进一步降低个人医疗费用负担。</w:t>
      </w:r>
      <w:r>
        <w:rPr>
          <w:rFonts w:hint="default" w:ascii="Times New Roman" w:hAnsi="Times New Roman" w:eastAsia="方正仿宋_GBK" w:cs="Times New Roman"/>
          <w:color w:val="auto"/>
          <w:spacing w:val="0"/>
          <w:sz w:val="32"/>
          <w:szCs w:val="32"/>
          <w:highlight w:val="none"/>
          <w:u w:val="none" w:color="auto"/>
          <w:lang w:val="en-US" w:eastAsia="zh-CN"/>
        </w:rPr>
        <w:t>优化药品集采、医保支付和结余资金使用政策，提高医保基金使用效率</w:t>
      </w:r>
      <w:r>
        <w:rPr>
          <w:rFonts w:hint="default" w:ascii="Times New Roman" w:hAnsi="Times New Roman" w:eastAsia="方正仿宋_GBK" w:cs="Times New Roman"/>
          <w:color w:val="auto"/>
          <w:sz w:val="32"/>
          <w:szCs w:val="32"/>
          <w:highlight w:val="none"/>
          <w:u w:val="none" w:color="auto"/>
          <w:lang w:val="en-US" w:eastAsia="zh-CN"/>
        </w:rPr>
        <w:t>。严厉惩处各类违法违规使用医保基金行为。</w:t>
      </w:r>
    </w:p>
    <w:p w14:paraId="0EF281E3">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23" w:name="_Toc7979"/>
      <w:bookmarkStart w:id="1724" w:name="_Toc19489"/>
      <w:bookmarkStart w:id="1725" w:name="_Toc27158"/>
      <w:bookmarkStart w:id="1726" w:name="_Toc24461"/>
      <w:bookmarkStart w:id="1727" w:name="_Toc7808"/>
      <w:bookmarkStart w:id="1728" w:name="_Toc28136"/>
      <w:bookmarkStart w:id="1729" w:name="_Toc12653"/>
      <w:bookmarkStart w:id="1730" w:name="_Toc9079"/>
      <w:bookmarkStart w:id="1731" w:name="_Toc9252"/>
      <w:bookmarkStart w:id="1732" w:name="_Toc15261"/>
      <w:bookmarkStart w:id="1733" w:name="_Toc23554"/>
      <w:r>
        <w:rPr>
          <w:rFonts w:hint="default" w:ascii="Times New Roman" w:hAnsi="Times New Roman" w:eastAsia="方正楷体_GBK" w:cs="Times New Roman"/>
          <w:color w:val="auto"/>
          <w:sz w:val="32"/>
          <w:szCs w:val="32"/>
          <w:highlight w:val="none"/>
          <w:u w:val="none" w:color="auto"/>
          <w:lang w:val="en-US" w:eastAsia="zh-CN"/>
        </w:rPr>
        <w:t xml:space="preserve">第三节 </w:t>
      </w:r>
      <w:r>
        <w:rPr>
          <w:rFonts w:hint="default" w:ascii="Times New Roman" w:hAnsi="Times New Roman" w:eastAsia="方正楷体_GBK" w:cs="Times New Roman"/>
          <w:color w:val="auto"/>
          <w:sz w:val="32"/>
          <w:szCs w:val="32"/>
          <w:highlight w:val="none"/>
          <w:u w:val="none" w:color="auto"/>
        </w:rPr>
        <w:t>完善社会救助体系</w:t>
      </w:r>
      <w:bookmarkEnd w:id="1723"/>
      <w:bookmarkEnd w:id="1724"/>
      <w:bookmarkEnd w:id="1725"/>
      <w:bookmarkEnd w:id="1726"/>
      <w:bookmarkEnd w:id="1727"/>
      <w:bookmarkEnd w:id="1728"/>
      <w:bookmarkEnd w:id="1729"/>
      <w:bookmarkEnd w:id="1730"/>
      <w:bookmarkEnd w:id="1731"/>
      <w:bookmarkEnd w:id="1732"/>
      <w:bookmarkEnd w:id="1733"/>
    </w:p>
    <w:p w14:paraId="46E7C25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24"/>
          <w:highlight w:val="none"/>
          <w:u w:val="none" w:color="auto"/>
          <w:lang w:val="en-US" w:eastAsia="zh-CN"/>
        </w:rPr>
        <w:t>持续构建以基本生活救助、专项社会救助、急难救助为主体，社会力量参与为补充的分层分类综合救助格局。强化</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智慧救助</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体系建设，健全低收入人口动态监测和联合救助机制，持续提高精准救助效能。</w:t>
      </w:r>
      <w:r>
        <w:rPr>
          <w:rFonts w:hint="default" w:ascii="Times New Roman" w:hAnsi="Times New Roman" w:eastAsia="方正仿宋_GBK" w:cs="Times New Roman"/>
          <w:color w:val="auto"/>
          <w:sz w:val="32"/>
          <w:szCs w:val="32"/>
          <w:highlight w:val="none"/>
          <w:u w:val="none" w:color="auto"/>
          <w:lang w:val="en-US" w:eastAsia="zh-CN"/>
        </w:rPr>
        <w:t>发挥区红十字会人道救助作用，引导、支持有意愿有能力的企业、社会组织和个人积极参与公益慈善事业，促进和规范公益慈善事业发展。</w:t>
      </w:r>
      <w:r>
        <w:rPr>
          <w:rFonts w:hint="default" w:ascii="Times New Roman" w:hAnsi="Times New Roman" w:eastAsia="方正仿宋_GBK" w:cs="Times New Roman"/>
          <w:color w:val="auto"/>
          <w:spacing w:val="0"/>
          <w:sz w:val="32"/>
          <w:szCs w:val="32"/>
          <w:highlight w:val="none"/>
          <w:u w:val="none" w:color="auto"/>
          <w:lang w:val="en-US" w:eastAsia="zh-CN"/>
        </w:rPr>
        <w:t>强化</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物质+情绪</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服务+赋能</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救助服务。</w:t>
      </w:r>
      <w:r>
        <w:rPr>
          <w:rFonts w:hint="default" w:ascii="Times New Roman" w:hAnsi="Times New Roman" w:eastAsia="方正仿宋_GBK" w:cs="Times New Roman"/>
          <w:strike w:val="0"/>
          <w:dstrike w:val="0"/>
          <w:color w:val="auto"/>
          <w:sz w:val="32"/>
          <w:szCs w:val="32"/>
          <w:highlight w:val="none"/>
          <w:u w:val="none" w:color="auto"/>
          <w:lang w:val="en-US" w:eastAsia="zh-CN"/>
        </w:rPr>
        <w:t>完善</w:t>
      </w:r>
      <w:r>
        <w:rPr>
          <w:rFonts w:hint="eastAsia" w:ascii="Times New Roman" w:hAnsi="Times New Roman" w:eastAsia="方正仿宋_GBK" w:cs="方正仿宋_GBK"/>
          <w:strike w:val="0"/>
          <w:dstrike w:val="0"/>
          <w:color w:val="auto"/>
          <w:sz w:val="32"/>
          <w:szCs w:val="32"/>
          <w:highlight w:val="none"/>
          <w:u w:val="none" w:color="auto"/>
          <w:lang w:val="en-US" w:eastAsia="zh-CN"/>
        </w:rPr>
        <w:t>“</w:t>
      </w:r>
      <w:r>
        <w:rPr>
          <w:rFonts w:hint="default" w:ascii="Times New Roman" w:hAnsi="Times New Roman" w:eastAsia="方正仿宋_GBK" w:cs="Times New Roman"/>
          <w:strike w:val="0"/>
          <w:dstrike w:val="0"/>
          <w:color w:val="auto"/>
          <w:sz w:val="32"/>
          <w:szCs w:val="32"/>
          <w:highlight w:val="none"/>
          <w:u w:val="none" w:color="auto"/>
          <w:lang w:val="en-US" w:eastAsia="zh-CN"/>
        </w:rPr>
        <w:t>普惠</w:t>
      </w:r>
      <w:r>
        <w:rPr>
          <w:rFonts w:hint="default" w:ascii="Times New Roman" w:hAnsi="Times New Roman" w:eastAsia="方正仿宋_GBK" w:cs="Times New Roman"/>
          <w:color w:val="auto"/>
          <w:sz w:val="32"/>
          <w:szCs w:val="32"/>
          <w:highlight w:val="none"/>
          <w:u w:val="none" w:color="auto"/>
          <w:lang w:val="en-US" w:eastAsia="zh-CN"/>
        </w:rPr>
        <w:t>+特惠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残疾人基本保障制度，健全困难残疾人生活补贴、重度残疾人护理补贴标准动态调整机制，强化残疾人职业技能培训，多渠道扶持残疾人自主创业和灵活就业。</w:t>
      </w:r>
      <w:r>
        <w:rPr>
          <w:rFonts w:hint="default" w:ascii="Times New Roman" w:hAnsi="Times New Roman" w:eastAsia="方正仿宋_GBK" w:cs="Times New Roman"/>
          <w:color w:val="auto"/>
          <w:kern w:val="2"/>
          <w:sz w:val="32"/>
          <w:szCs w:val="32"/>
          <w:highlight w:val="none"/>
          <w:u w:val="none" w:color="auto"/>
          <w:lang w:val="en-US" w:eastAsia="zh-CN" w:bidi="ar-SA"/>
        </w:rPr>
        <w:t>深化</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爱心妈妈</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结对关爱服务困境儿童行动，强化困境儿童精准帮扶和心理关爱</w:t>
      </w:r>
      <w:r>
        <w:rPr>
          <w:rFonts w:hint="eastAsia" w:ascii="Times New Roman" w:hAnsi="Times New Roman" w:eastAsia="方正仿宋_GBK" w:cs="Times New Roman"/>
          <w:color w:val="auto"/>
          <w:kern w:val="2"/>
          <w:sz w:val="32"/>
          <w:szCs w:val="32"/>
          <w:highlight w:val="none"/>
          <w:u w:val="none" w:color="auto"/>
          <w:lang w:val="en-US" w:eastAsia="zh-CN" w:bidi="ar-SA"/>
        </w:rPr>
        <w:t>，困难妇女、孤儿和事实无人抚养儿童基本生活保障率均保持100%</w:t>
      </w:r>
      <w:r>
        <w:rPr>
          <w:rFonts w:hint="default" w:ascii="Times New Roman" w:hAnsi="Times New Roman" w:eastAsia="方正仿宋_GBK" w:cs="Times New Roman"/>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spacing w:val="0"/>
          <w:sz w:val="32"/>
          <w:szCs w:val="32"/>
          <w:highlight w:val="none"/>
          <w:u w:val="none" w:color="auto"/>
          <w:lang w:val="en-US" w:eastAsia="zh-CN"/>
        </w:rPr>
        <w:t>健全基本殡葬服务制度。</w:t>
      </w:r>
    </w:p>
    <w:p w14:paraId="55EDA9F3">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34" w:name="_Toc15891"/>
      <w:bookmarkStart w:id="1735" w:name="_Toc19001"/>
      <w:bookmarkStart w:id="1736" w:name="_Toc11741"/>
      <w:bookmarkStart w:id="1737" w:name="_Toc29923"/>
      <w:bookmarkStart w:id="1738" w:name="_Toc23285"/>
      <w:bookmarkStart w:id="1739" w:name="_Toc27776"/>
      <w:bookmarkStart w:id="1740" w:name="_Toc30260"/>
      <w:bookmarkStart w:id="1741" w:name="_Toc30121"/>
      <w:bookmarkStart w:id="1742" w:name="_Toc9224"/>
      <w:bookmarkStart w:id="1743" w:name="_Toc1595"/>
      <w:bookmarkStart w:id="1744" w:name="_Toc13894"/>
      <w:r>
        <w:rPr>
          <w:rFonts w:hint="default" w:ascii="Times New Roman" w:hAnsi="Times New Roman" w:eastAsia="方正楷体_GBK" w:cs="Times New Roman"/>
          <w:color w:val="auto"/>
          <w:sz w:val="32"/>
          <w:szCs w:val="32"/>
          <w:highlight w:val="none"/>
          <w:u w:val="none" w:color="auto"/>
          <w:lang w:val="en-US" w:eastAsia="zh-CN"/>
        </w:rPr>
        <w:t>第四节 促进男女平等和</w:t>
      </w:r>
      <w:r>
        <w:rPr>
          <w:rFonts w:hint="default" w:ascii="Times New Roman" w:hAnsi="Times New Roman" w:eastAsia="方正楷体_GBK" w:cs="Times New Roman"/>
          <w:color w:val="auto"/>
          <w:sz w:val="32"/>
          <w:szCs w:val="32"/>
          <w:highlight w:val="none"/>
          <w:u w:val="none" w:color="auto"/>
        </w:rPr>
        <w:t>妇女</w:t>
      </w:r>
      <w:r>
        <w:rPr>
          <w:rFonts w:hint="default" w:ascii="Times New Roman" w:hAnsi="Times New Roman" w:eastAsia="方正楷体_GBK" w:cs="Times New Roman"/>
          <w:color w:val="auto"/>
          <w:sz w:val="32"/>
          <w:szCs w:val="32"/>
          <w:highlight w:val="none"/>
          <w:u w:val="none" w:color="auto"/>
          <w:lang w:val="en-US" w:eastAsia="zh-CN"/>
        </w:rPr>
        <w:t>全面发展</w:t>
      </w:r>
      <w:bookmarkEnd w:id="1734"/>
      <w:bookmarkEnd w:id="1735"/>
      <w:bookmarkEnd w:id="1736"/>
      <w:bookmarkEnd w:id="1737"/>
      <w:bookmarkEnd w:id="1738"/>
      <w:bookmarkEnd w:id="1739"/>
      <w:bookmarkEnd w:id="1740"/>
      <w:bookmarkEnd w:id="1741"/>
      <w:bookmarkEnd w:id="1742"/>
      <w:bookmarkEnd w:id="1743"/>
      <w:bookmarkEnd w:id="1744"/>
    </w:p>
    <w:p w14:paraId="34163A9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不断改善妇女发展环境，促进妇女平等依法行使权利、参与社会事务。强化妇女卫生健康服务，持续为适龄女性接种人乳头瘤病毒（HPV）疫苗，优化常住人口适龄妇女</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筛查、低收入妇女</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救助等惠民举措</w:t>
      </w:r>
      <w:r>
        <w:rPr>
          <w:rFonts w:hint="eastAsia" w:ascii="Times New Roman" w:hAnsi="Times New Roman" w:eastAsia="方正仿宋_GBK" w:cs="Times New Roman"/>
          <w:color w:val="auto"/>
          <w:sz w:val="32"/>
          <w:szCs w:val="32"/>
          <w:highlight w:val="none"/>
          <w:u w:val="none" w:color="auto"/>
          <w:lang w:val="en-US" w:eastAsia="zh-CN"/>
        </w:rPr>
        <w:t>，孕产妇、婴儿死亡率分别低于0.08‰、2.5‰</w:t>
      </w:r>
      <w:r>
        <w:rPr>
          <w:rFonts w:hint="default" w:ascii="Times New Roman" w:hAnsi="Times New Roman" w:eastAsia="方正仿宋_GBK" w:cs="Times New Roman"/>
          <w:color w:val="auto"/>
          <w:sz w:val="32"/>
          <w:szCs w:val="32"/>
          <w:highlight w:val="none"/>
          <w:u w:val="none" w:color="auto"/>
          <w:lang w:val="en-US" w:eastAsia="zh-CN"/>
        </w:rPr>
        <w:t>。促进妇女高质量充分就业，消除女性就业性别歧视，保障依法享有产假和生育津贴</w:t>
      </w:r>
      <w:r>
        <w:rPr>
          <w:rFonts w:hint="eastAsia" w:ascii="Times New Roman" w:hAnsi="Times New Roman" w:eastAsia="方正仿宋_GBK" w:cs="Times New Roman"/>
          <w:color w:val="auto"/>
          <w:sz w:val="32"/>
          <w:szCs w:val="32"/>
          <w:highlight w:val="none"/>
          <w:u w:val="none" w:color="auto"/>
          <w:lang w:val="en-US" w:eastAsia="zh-CN"/>
        </w:rPr>
        <w:t>，女性应届离校未就业高校毕业生年底就业率90%以上</w:t>
      </w:r>
      <w:r>
        <w:rPr>
          <w:rFonts w:hint="default" w:ascii="Times New Roman" w:hAnsi="Times New Roman" w:eastAsia="方正仿宋_GBK" w:cs="Times New Roman"/>
          <w:color w:val="auto"/>
          <w:sz w:val="32"/>
          <w:szCs w:val="32"/>
          <w:highlight w:val="none"/>
          <w:u w:val="none" w:color="auto"/>
          <w:lang w:val="en-US" w:eastAsia="zh-CN"/>
        </w:rPr>
        <w:t>。落实生育保险、生育津贴、育儿补贴、子女教育个税专项附加扣除、生育休假等政策，推动多子女家庭优先纳入公租房保障。加强女性人才队伍建设。加强婚姻家庭教育和辅导服务，弘扬好家庭好家教好家风。严厉打击拐卖、侵害妇女等违法犯罪行为。</w:t>
      </w:r>
      <w:r>
        <w:rPr>
          <w:rFonts w:hint="eastAsia" w:ascii="Times New Roman" w:hAnsi="Times New Roman" w:eastAsia="方正仿宋_GBK" w:cs="Times New Roman"/>
          <w:color w:val="auto"/>
          <w:sz w:val="32"/>
          <w:szCs w:val="32"/>
          <w:highlight w:val="none"/>
          <w:u w:val="none" w:color="auto"/>
          <w:lang w:val="en-US" w:eastAsia="zh-CN"/>
        </w:rPr>
        <w:t>加强</w:t>
      </w:r>
      <w:r>
        <w:rPr>
          <w:rFonts w:hint="default" w:ascii="Times New Roman" w:hAnsi="Times New Roman" w:eastAsia="方正仿宋_GBK" w:cs="Times New Roman"/>
          <w:color w:val="auto"/>
          <w:sz w:val="32"/>
          <w:szCs w:val="32"/>
          <w:highlight w:val="none"/>
          <w:u w:val="none" w:color="auto"/>
          <w:lang w:val="en-US" w:eastAsia="zh-CN"/>
        </w:rPr>
        <w:t>男女平等基本国策宣传</w:t>
      </w:r>
      <w:r>
        <w:rPr>
          <w:rFonts w:hint="eastAsia" w:ascii="Times New Roman" w:hAnsi="Times New Roman" w:eastAsia="方正仿宋_GBK" w:cs="Times New Roman"/>
          <w:color w:val="auto"/>
          <w:sz w:val="32"/>
          <w:szCs w:val="32"/>
          <w:highlight w:val="none"/>
          <w:u w:val="none" w:color="auto"/>
          <w:lang w:val="en-US" w:eastAsia="zh-CN"/>
        </w:rPr>
        <w:t>教育。</w:t>
      </w:r>
    </w:p>
    <w:p w14:paraId="7AB0766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45" w:name="_Toc12191"/>
      <w:bookmarkStart w:id="1746" w:name="_Toc28"/>
      <w:bookmarkStart w:id="1747" w:name="_Toc1394"/>
      <w:bookmarkStart w:id="1748" w:name="_Toc18590"/>
      <w:bookmarkStart w:id="1749" w:name="_Toc29461"/>
      <w:bookmarkStart w:id="1750" w:name="_Toc10568"/>
      <w:bookmarkStart w:id="1751" w:name="_Toc22542"/>
      <w:bookmarkStart w:id="1752" w:name="_Toc20236"/>
      <w:bookmarkStart w:id="1753" w:name="_Toc16121"/>
      <w:bookmarkStart w:id="1754" w:name="_Toc27310"/>
      <w:bookmarkStart w:id="1755" w:name="_Toc26235"/>
      <w:r>
        <w:rPr>
          <w:rFonts w:hint="default" w:ascii="Times New Roman" w:hAnsi="Times New Roman" w:eastAsia="方正楷体_GBK" w:cs="Times New Roman"/>
          <w:color w:val="auto"/>
          <w:sz w:val="32"/>
          <w:szCs w:val="32"/>
          <w:highlight w:val="none"/>
          <w:u w:val="none" w:color="auto"/>
          <w:lang w:val="en-US" w:eastAsia="zh-CN"/>
        </w:rPr>
        <w:t>第五节 扎实推进拥军优抚服务</w:t>
      </w:r>
      <w:bookmarkEnd w:id="1745"/>
      <w:bookmarkEnd w:id="1746"/>
      <w:bookmarkEnd w:id="1747"/>
      <w:bookmarkEnd w:id="1748"/>
      <w:bookmarkEnd w:id="1749"/>
      <w:bookmarkEnd w:id="1750"/>
      <w:bookmarkEnd w:id="1751"/>
      <w:bookmarkEnd w:id="1752"/>
      <w:bookmarkEnd w:id="1753"/>
      <w:bookmarkEnd w:id="1754"/>
      <w:bookmarkEnd w:id="1755"/>
    </w:p>
    <w:p w14:paraId="5B82678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楷体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加大退役军人安置抚恤力度，持续扩大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一街一路一商圈</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全域拥军示范基地辐射影响力。</w:t>
      </w:r>
      <w:r>
        <w:rPr>
          <w:rFonts w:hint="default" w:ascii="Times New Roman" w:hAnsi="Times New Roman" w:eastAsia="方正仿宋_GBK" w:cs="Times New Roman"/>
          <w:color w:val="auto"/>
          <w:sz w:val="32"/>
          <w:szCs w:val="24"/>
          <w:highlight w:val="none"/>
          <w:u w:val="none" w:color="auto"/>
          <w:lang w:eastAsia="zh-CN"/>
        </w:rPr>
        <w:t>优化退役军人安置岗位匹配机制，足额落实各项优抚待遇，健全常态化走访慰问制度。深挖母城红色文化资源，打造渝中特色拥军宣传品牌，常态化开展拥军优属活动，定期开展退役军人事务领域表彰，有序推进优待证制发并丰富优待内容。优化荣休人员康养服务供给，健全医疗、照料、慰藉配套体系，按规定为孤老及生活不能自理对象提供集中供养，持续开展优抚对象及军休干部短期疗养，营造尊崇军人的浓厚社会氛围。</w:t>
      </w:r>
    </w:p>
    <w:p w14:paraId="608015A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1"/>
        <w:rPr>
          <w:rFonts w:hint="default" w:ascii="Times New Roman" w:hAnsi="Times New Roman" w:eastAsia="方正楷体_GBK" w:cs="Times New Roman"/>
          <w:color w:val="auto"/>
          <w:sz w:val="32"/>
          <w:szCs w:val="32"/>
          <w:highlight w:val="none"/>
          <w:u w:val="none" w:color="auto"/>
          <w:lang w:val="en-US" w:eastAsia="zh-CN"/>
        </w:rPr>
      </w:pPr>
      <w:bookmarkStart w:id="1756" w:name="_Toc3640"/>
      <w:bookmarkStart w:id="1757" w:name="_Toc21372"/>
      <w:bookmarkStart w:id="1758" w:name="_Toc9334"/>
      <w:bookmarkStart w:id="1759" w:name="_Toc11565"/>
      <w:bookmarkStart w:id="1760" w:name="_Toc697"/>
      <w:bookmarkStart w:id="1761" w:name="_Toc27073"/>
      <w:bookmarkStart w:id="1762" w:name="_Toc22095"/>
      <w:bookmarkStart w:id="1763" w:name="_Toc13825"/>
      <w:bookmarkStart w:id="1764" w:name="_Toc6774"/>
      <w:bookmarkStart w:id="1765" w:name="_Toc15854"/>
      <w:bookmarkStart w:id="1766" w:name="_Toc2830"/>
      <w:r>
        <w:rPr>
          <w:rFonts w:hint="default" w:ascii="Times New Roman" w:hAnsi="Times New Roman" w:eastAsia="方正黑体_GBK" w:cs="Times New Roman"/>
          <w:color w:val="auto"/>
          <w:sz w:val="32"/>
          <w:szCs w:val="32"/>
          <w:highlight w:val="none"/>
          <w:u w:val="none" w:color="auto"/>
          <w:lang w:val="en-US" w:eastAsia="zh-CN"/>
        </w:rPr>
        <w:t>第四十四章 持续改善人居环境品质</w:t>
      </w:r>
      <w:bookmarkEnd w:id="1756"/>
      <w:bookmarkEnd w:id="1757"/>
      <w:bookmarkEnd w:id="1758"/>
      <w:bookmarkEnd w:id="1759"/>
      <w:bookmarkEnd w:id="1760"/>
      <w:bookmarkEnd w:id="1761"/>
      <w:bookmarkEnd w:id="1762"/>
      <w:bookmarkEnd w:id="1763"/>
      <w:bookmarkEnd w:id="1764"/>
      <w:bookmarkEnd w:id="1765"/>
      <w:bookmarkEnd w:id="1766"/>
    </w:p>
    <w:p w14:paraId="2AB7DEAA">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pacing w:val="0"/>
          <w:sz w:val="32"/>
          <w:szCs w:val="32"/>
          <w:highlight w:val="none"/>
          <w:u w:val="none" w:color="auto"/>
          <w:lang w:val="en-US" w:eastAsia="zh-CN"/>
        </w:rPr>
        <w:t>加快构建房地产发展新模式，完善商品房开发、融资、销售等</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市场+保障</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体系，建立</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人、房、地、钱</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要素联动机制，</w:t>
      </w:r>
      <w:r>
        <w:rPr>
          <w:rFonts w:hint="default" w:ascii="Times New Roman" w:hAnsi="Times New Roman" w:eastAsia="方正仿宋_GBK" w:cs="Times New Roman"/>
          <w:color w:val="auto"/>
          <w:sz w:val="32"/>
          <w:szCs w:val="32"/>
          <w:highlight w:val="none"/>
          <w:u w:val="none" w:color="auto"/>
          <w:lang w:val="en-US" w:eastAsia="zh-CN"/>
        </w:rPr>
        <w:t>推动实现高水平住有宜居</w:t>
      </w:r>
      <w:r>
        <w:rPr>
          <w:rFonts w:hint="default" w:ascii="Times New Roman" w:hAnsi="Times New Roman" w:eastAsia="方正仿宋_GBK" w:cs="Times New Roman"/>
          <w:color w:val="auto"/>
          <w:spacing w:val="0"/>
          <w:sz w:val="32"/>
          <w:szCs w:val="32"/>
          <w:highlight w:val="none"/>
          <w:u w:val="none" w:color="auto"/>
          <w:lang w:val="en-US" w:eastAsia="zh-CN"/>
        </w:rPr>
        <w:t>。优化保障性住房供给结构，建立完善配租型和配售型保障性住房轮候库，多渠道满足工薪群体及困难家庭等刚性住房需求。实施房屋品质提升工程，围绕好标准、好设计、好材料、好建造、好运维，建设安全舒适绿色智慧的</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好房子</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丰富高端人才公寓、配售型人才住房、共有产权住房、蓝领公寓等多元住房产品。</w:t>
      </w:r>
      <w:r>
        <w:rPr>
          <w:rFonts w:hint="default" w:ascii="Times New Roman" w:hAnsi="Times New Roman" w:eastAsia="方正仿宋_GBK" w:cs="Times New Roman"/>
          <w:color w:val="auto"/>
          <w:spacing w:val="0"/>
          <w:sz w:val="32"/>
          <w:szCs w:val="32"/>
          <w:highlight w:val="none"/>
          <w:u w:val="none" w:color="auto"/>
          <w:lang w:val="en-US" w:eastAsia="zh-CN"/>
        </w:rPr>
        <w:t>分类施策推进</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久供未建、久建未完</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项目处置，加快盘活存量房存量地。</w:t>
      </w:r>
      <w:r>
        <w:rPr>
          <w:rFonts w:hint="default" w:ascii="Times New Roman" w:hAnsi="Times New Roman" w:eastAsia="方正仿宋_GBK" w:cs="Times New Roman"/>
          <w:b w:val="0"/>
          <w:bCs w:val="0"/>
          <w:color w:val="auto"/>
          <w:spacing w:val="0"/>
          <w:sz w:val="32"/>
          <w:szCs w:val="32"/>
          <w:u w:val="none"/>
          <w:lang w:val="en-US" w:eastAsia="zh-CN"/>
        </w:rPr>
        <w:t>新增优质商品住宅27万平方米、长租公寓1500套。</w:t>
      </w:r>
      <w:r>
        <w:rPr>
          <w:rFonts w:hint="default" w:ascii="Times New Roman" w:hAnsi="Times New Roman" w:eastAsia="方正仿宋_GBK" w:cs="Times New Roman"/>
          <w:color w:val="auto"/>
          <w:spacing w:val="0"/>
          <w:sz w:val="32"/>
          <w:szCs w:val="32"/>
          <w:highlight w:val="none"/>
          <w:u w:val="none" w:color="auto"/>
          <w:lang w:val="en-US" w:eastAsia="zh-CN"/>
        </w:rPr>
        <w:t>探索完善房屋全生命周期安全管理制度，建立房屋定期体检、房屋养老金、房屋质量保险等长效制度，推动高层建筑、危旧房屋全量落图纳管。</w:t>
      </w:r>
      <w:r>
        <w:rPr>
          <w:rFonts w:hint="default" w:ascii="Times New Roman" w:hAnsi="Times New Roman" w:eastAsia="方正仿宋_GBK" w:cs="Times New Roman"/>
          <w:color w:val="auto"/>
          <w:sz w:val="32"/>
          <w:szCs w:val="32"/>
          <w:highlight w:val="none"/>
          <w:u w:val="none" w:color="auto"/>
          <w:lang w:val="en-US" w:eastAsia="zh-CN"/>
        </w:rPr>
        <w:t>实施与收费价格相适应的服务质量提升行动，健全物业收费和收益收支公开机制。推动住房公积金向新市民、青年人、灵活就业群体覆盖。</w:t>
      </w:r>
    </w:p>
    <w:p w14:paraId="5DB65A7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767" w:name="_Toc3682"/>
      <w:bookmarkStart w:id="1768" w:name="_Toc10826"/>
      <w:bookmarkStart w:id="1769" w:name="_Toc8647"/>
      <w:bookmarkStart w:id="1770" w:name="_Toc29292"/>
      <w:bookmarkStart w:id="1771" w:name="_Toc5706"/>
      <w:bookmarkStart w:id="1772" w:name="_Toc16754"/>
      <w:bookmarkStart w:id="1773" w:name="_Toc22643"/>
      <w:bookmarkStart w:id="1774" w:name="_Toc27497"/>
      <w:bookmarkStart w:id="1775" w:name="_Toc31808"/>
      <w:bookmarkStart w:id="1776" w:name="_Toc26411"/>
      <w:bookmarkStart w:id="1777" w:name="_Toc15558"/>
      <w:r>
        <w:rPr>
          <w:rFonts w:hint="default" w:ascii="Times New Roman" w:hAnsi="Times New Roman" w:eastAsia="方正黑体_GBK" w:cs="Times New Roman"/>
          <w:color w:val="auto"/>
          <w:sz w:val="32"/>
          <w:szCs w:val="32"/>
          <w:highlight w:val="none"/>
          <w:u w:val="none" w:color="auto"/>
          <w:lang w:val="en-US" w:eastAsia="zh-CN"/>
        </w:rPr>
        <w:t>第四十五章 提供更加优质的健康服务</w:t>
      </w:r>
      <w:bookmarkEnd w:id="1699"/>
      <w:bookmarkEnd w:id="1767"/>
      <w:bookmarkEnd w:id="1768"/>
      <w:bookmarkEnd w:id="1769"/>
      <w:bookmarkEnd w:id="1770"/>
      <w:bookmarkEnd w:id="1771"/>
      <w:bookmarkEnd w:id="1772"/>
      <w:bookmarkEnd w:id="1773"/>
      <w:bookmarkEnd w:id="1774"/>
      <w:bookmarkEnd w:id="1775"/>
      <w:bookmarkEnd w:id="1776"/>
      <w:bookmarkEnd w:id="1777"/>
    </w:p>
    <w:p w14:paraId="7BC9199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24"/>
          <w:highlight w:val="none"/>
          <w:u w:val="none" w:color="auto"/>
          <w:lang w:val="en-US" w:eastAsia="zh-CN"/>
        </w:rPr>
      </w:pPr>
      <w:r>
        <w:rPr>
          <w:rFonts w:hint="default" w:ascii="Times New Roman" w:hAnsi="Times New Roman" w:eastAsia="方正仿宋_GBK" w:cs="Times New Roman"/>
          <w:color w:val="auto"/>
          <w:sz w:val="32"/>
          <w:szCs w:val="24"/>
          <w:highlight w:val="none"/>
          <w:u w:val="none" w:color="auto"/>
          <w:lang w:val="en-US" w:eastAsia="zh-CN"/>
        </w:rPr>
        <w:t>深入实施健康优先发展战略，进一步增强医疗卫生服务公平性、可及性和优质服务供给能力，为人民群众提供全方位全周期健康服务。</w:t>
      </w:r>
    </w:p>
    <w:p w14:paraId="57F623B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cs="Times New Roman"/>
          <w:color w:val="auto"/>
          <w:highlight w:val="none"/>
          <w:u w:val="none" w:color="auto"/>
        </w:rPr>
      </w:pPr>
      <w:bookmarkStart w:id="1778" w:name="_Toc30358"/>
      <w:bookmarkStart w:id="1779" w:name="_Toc23271"/>
      <w:bookmarkStart w:id="1780" w:name="_Toc7418"/>
      <w:bookmarkStart w:id="1781" w:name="_Toc3950"/>
      <w:bookmarkStart w:id="1782" w:name="_Toc14624"/>
      <w:bookmarkStart w:id="1783" w:name="_Toc16230"/>
      <w:bookmarkStart w:id="1784" w:name="_Toc5602"/>
      <w:bookmarkStart w:id="1785" w:name="_Toc1432"/>
      <w:bookmarkStart w:id="1786" w:name="_Toc30593"/>
      <w:bookmarkStart w:id="1787" w:name="_Toc21717"/>
      <w:bookmarkStart w:id="1788" w:name="_Toc26810"/>
      <w:bookmarkStart w:id="1789" w:name="_Toc30094"/>
      <w:r>
        <w:rPr>
          <w:rFonts w:hint="default" w:ascii="Times New Roman" w:hAnsi="Times New Roman" w:eastAsia="方正楷体_GBK" w:cs="Times New Roman"/>
          <w:color w:val="auto"/>
          <w:sz w:val="32"/>
          <w:szCs w:val="32"/>
          <w:highlight w:val="none"/>
          <w:u w:val="none" w:color="auto"/>
          <w:lang w:val="en-US" w:eastAsia="zh-CN"/>
        </w:rPr>
        <w:t>第一节 保障超大城市中心城区公共卫生安全</w:t>
      </w:r>
      <w:bookmarkEnd w:id="1778"/>
      <w:bookmarkEnd w:id="1779"/>
      <w:bookmarkEnd w:id="1780"/>
      <w:bookmarkEnd w:id="1781"/>
      <w:bookmarkEnd w:id="1782"/>
      <w:bookmarkEnd w:id="1783"/>
      <w:bookmarkEnd w:id="1784"/>
      <w:bookmarkEnd w:id="1785"/>
      <w:bookmarkEnd w:id="1786"/>
      <w:bookmarkEnd w:id="1787"/>
      <w:bookmarkEnd w:id="1788"/>
      <w:bookmarkEnd w:id="1789"/>
    </w:p>
    <w:p w14:paraId="1840D88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24"/>
          <w:highlight w:val="none"/>
          <w:u w:val="none" w:color="auto"/>
        </w:rPr>
        <w:t>加强区级公共卫生机构基础设施建设，支持区疾控中心</w:t>
      </w:r>
      <w:r>
        <w:rPr>
          <w:rFonts w:hint="default" w:ascii="Times New Roman" w:hAnsi="Times New Roman" w:eastAsia="方正仿宋_GBK" w:cs="Times New Roman"/>
          <w:color w:val="auto"/>
          <w:sz w:val="32"/>
          <w:szCs w:val="24"/>
          <w:highlight w:val="none"/>
          <w:u w:val="none" w:color="auto"/>
          <w:lang w:val="en-US" w:eastAsia="zh-CN"/>
        </w:rPr>
        <w:t>成功</w:t>
      </w:r>
      <w:r>
        <w:rPr>
          <w:rFonts w:hint="default" w:ascii="Times New Roman" w:hAnsi="Times New Roman" w:eastAsia="方正仿宋_GBK" w:cs="Times New Roman"/>
          <w:color w:val="auto"/>
          <w:sz w:val="32"/>
          <w:szCs w:val="24"/>
          <w:highlight w:val="none"/>
          <w:u w:val="none" w:color="auto"/>
        </w:rPr>
        <w:t>创建三级甲等疾控中心。用好平急两用设施，建立应急医院平战结合管理模式</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健全重大</w:t>
      </w:r>
      <w:r>
        <w:rPr>
          <w:rFonts w:hint="default" w:ascii="Times New Roman" w:hAnsi="Times New Roman" w:eastAsia="方正仿宋_GBK" w:cs="Times New Roman"/>
          <w:color w:val="auto"/>
          <w:sz w:val="32"/>
          <w:szCs w:val="24"/>
          <w:highlight w:val="none"/>
          <w:u w:val="none" w:color="auto"/>
          <w:lang w:val="en-US" w:eastAsia="zh-CN"/>
        </w:rPr>
        <w:t>传染病防控体系</w:t>
      </w:r>
      <w:r>
        <w:rPr>
          <w:rFonts w:hint="default" w:ascii="Times New Roman" w:hAnsi="Times New Roman" w:eastAsia="方正仿宋_GBK" w:cs="Times New Roman"/>
          <w:color w:val="auto"/>
          <w:sz w:val="32"/>
          <w:szCs w:val="24"/>
          <w:highlight w:val="none"/>
          <w:u w:val="none" w:color="auto"/>
        </w:rPr>
        <w:t>，</w:t>
      </w:r>
      <w:r>
        <w:rPr>
          <w:rFonts w:hint="default" w:ascii="Times New Roman" w:hAnsi="Times New Roman" w:eastAsia="方正仿宋_GBK" w:cs="Times New Roman"/>
          <w:color w:val="auto"/>
          <w:sz w:val="32"/>
          <w:szCs w:val="24"/>
          <w:highlight w:val="none"/>
          <w:u w:val="none" w:color="auto"/>
          <w:lang w:val="en-US" w:eastAsia="zh-CN"/>
        </w:rPr>
        <w:t>建立医防协同、军民融合、社会共治的公共卫生防治机制</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构建分级分层分流的城市传染病救治网络，制定有序转换、规范扩容、安全恢复的重大疫情防控流程指南。</w:t>
      </w:r>
      <w:r>
        <w:rPr>
          <w:rFonts w:hint="default" w:ascii="Times New Roman" w:hAnsi="Times New Roman" w:eastAsia="方正仿宋_GBK" w:cs="Times New Roman"/>
          <w:color w:val="auto"/>
          <w:sz w:val="32"/>
          <w:szCs w:val="24"/>
          <w:highlight w:val="none"/>
          <w:u w:val="none" w:color="auto"/>
          <w:lang w:val="en-US" w:eastAsia="zh-CN"/>
        </w:rPr>
        <w:t>加强慢性病综合防治。推动区精神卫生中心创建三级精神卫生中心，提升精神卫生和心理健康服务能力。全方位提升急诊急救、应急能力。</w:t>
      </w:r>
    </w:p>
    <w:p w14:paraId="2F5550F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790" w:name="_Toc27723"/>
      <w:bookmarkStart w:id="1791" w:name="_Toc11579"/>
      <w:bookmarkStart w:id="1792" w:name="_Toc22601"/>
      <w:bookmarkStart w:id="1793" w:name="_Toc19527"/>
      <w:bookmarkStart w:id="1794" w:name="_Toc30591"/>
      <w:bookmarkStart w:id="1795" w:name="_Toc15952"/>
      <w:bookmarkStart w:id="1796" w:name="_Toc30492"/>
      <w:bookmarkStart w:id="1797" w:name="_Toc29932"/>
      <w:bookmarkStart w:id="1798" w:name="_Toc6890"/>
      <w:bookmarkStart w:id="1799" w:name="_Toc8188"/>
      <w:bookmarkStart w:id="1800" w:name="_Toc27378"/>
      <w:bookmarkStart w:id="1801" w:name="_Toc3000"/>
      <w:r>
        <w:rPr>
          <w:rFonts w:hint="default" w:ascii="Times New Roman" w:hAnsi="Times New Roman" w:eastAsia="方正楷体_GBK" w:cs="Times New Roman"/>
          <w:color w:val="auto"/>
          <w:sz w:val="32"/>
          <w:szCs w:val="32"/>
          <w:highlight w:val="none"/>
          <w:u w:val="none" w:color="auto"/>
          <w:lang w:val="en-US" w:eastAsia="zh-CN"/>
        </w:rPr>
        <w:t>第二节 提升医疗服务优质共享水平</w:t>
      </w:r>
      <w:bookmarkEnd w:id="1790"/>
      <w:bookmarkEnd w:id="1791"/>
      <w:bookmarkEnd w:id="1792"/>
      <w:bookmarkEnd w:id="1793"/>
      <w:bookmarkEnd w:id="1794"/>
      <w:bookmarkEnd w:id="1795"/>
      <w:bookmarkEnd w:id="1796"/>
      <w:bookmarkEnd w:id="1797"/>
      <w:bookmarkEnd w:id="1798"/>
      <w:bookmarkEnd w:id="1799"/>
      <w:bookmarkEnd w:id="1800"/>
      <w:bookmarkEnd w:id="1801"/>
    </w:p>
    <w:p w14:paraId="140AA05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cs="Times New Roman" w:eastAsiaTheme="minorEastAsia"/>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提升整合型医疗服务体系能级，依托重医附属医院、陆军特色医学中心等争创国家医学中心和国家区域医疗中心，依托重庆医科大学附属儿童医院、附属口腔医院等特色优势医院，做强区域性专科医疗服务。</w:t>
      </w:r>
      <w:r>
        <w:rPr>
          <w:rFonts w:hint="default" w:ascii="Times New Roman" w:hAnsi="Times New Roman" w:eastAsia="方正仿宋_GBK" w:cs="Times New Roman"/>
          <w:color w:val="auto"/>
          <w:sz w:val="32"/>
          <w:szCs w:val="24"/>
          <w:highlight w:val="none"/>
          <w:u w:val="none" w:color="auto"/>
        </w:rPr>
        <w:t>强化重庆市中医骨科医院综合性人民医院职能，支持创建三甲中医骨伤医院</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传承发展中医药服务</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lang w:val="en-US" w:eastAsia="zh-CN"/>
        </w:rPr>
        <w:t>推进中西医结合，完成</w:t>
      </w:r>
      <w:r>
        <w:rPr>
          <w:rFonts w:hint="default" w:ascii="Times New Roman" w:hAnsi="Times New Roman" w:eastAsia="方正仿宋_GBK" w:cs="Times New Roman"/>
          <w:color w:val="auto"/>
          <w:sz w:val="32"/>
          <w:szCs w:val="24"/>
          <w:highlight w:val="none"/>
          <w:u w:val="none" w:color="auto"/>
          <w:lang w:eastAsia="zh-CN"/>
        </w:rPr>
        <w:t>重庆市中医骨科医</w:t>
      </w:r>
      <w:r>
        <w:rPr>
          <w:rFonts w:hint="default" w:ascii="Times New Roman" w:hAnsi="Times New Roman" w:eastAsia="方正仿宋_GBK" w:cs="Times New Roman"/>
          <w:color w:val="auto"/>
          <w:sz w:val="32"/>
          <w:szCs w:val="24"/>
          <w:highlight w:val="none"/>
          <w:u w:val="none" w:color="auto"/>
          <w:lang w:val="en-US" w:eastAsia="zh-CN"/>
        </w:rPr>
        <w:t>院化龙桥院区二期工程</w:t>
      </w:r>
      <w:r>
        <w:rPr>
          <w:rFonts w:hint="default" w:ascii="Times New Roman" w:hAnsi="Times New Roman" w:eastAsia="方正仿宋_GBK" w:cs="Times New Roman"/>
          <w:color w:val="auto"/>
          <w:sz w:val="32"/>
          <w:szCs w:val="24"/>
          <w:highlight w:val="none"/>
          <w:u w:val="none" w:color="auto"/>
          <w:lang w:eastAsia="zh-CN"/>
        </w:rPr>
        <w:t>，基层中医诊疗量占比不低于35%。培育高层次中医药人才，开展区名中医评选。强化师承教育</w:t>
      </w:r>
      <w:r>
        <w:rPr>
          <w:rFonts w:hint="default" w:ascii="Times New Roman" w:hAnsi="Times New Roman" w:eastAsia="方正仿宋_GBK" w:cs="Times New Roman"/>
          <w:color w:val="auto"/>
          <w:sz w:val="32"/>
          <w:szCs w:val="24"/>
          <w:highlight w:val="none"/>
          <w:u w:val="none" w:color="auto"/>
        </w:rPr>
        <w:t>，健全高年资中医医师带徒制度，培育一批国家级、市级、区县级名老中医药专家学术经验继承指导老师。</w:t>
      </w:r>
      <w:r>
        <w:rPr>
          <w:rFonts w:hint="default" w:ascii="Times New Roman" w:hAnsi="Times New Roman" w:eastAsia="方正仿宋_GBK" w:cs="Times New Roman"/>
          <w:color w:val="auto"/>
          <w:sz w:val="32"/>
          <w:szCs w:val="24"/>
          <w:highlight w:val="none"/>
          <w:u w:val="none" w:color="auto"/>
          <w:lang w:val="en-US" w:eastAsia="zh-CN"/>
        </w:rPr>
        <w:t>支持区域重点医院发展国际化医疗服务和特需医疗服务。</w:t>
      </w:r>
    </w:p>
    <w:p w14:paraId="2E857C7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02" w:name="_Toc28180"/>
      <w:bookmarkStart w:id="1803" w:name="_Toc19329"/>
      <w:bookmarkStart w:id="1804" w:name="_Toc7101"/>
      <w:bookmarkStart w:id="1805" w:name="_Toc6821"/>
      <w:bookmarkStart w:id="1806" w:name="_Toc10835"/>
      <w:bookmarkStart w:id="1807" w:name="_Toc22117"/>
      <w:bookmarkStart w:id="1808" w:name="_Toc13988"/>
      <w:bookmarkStart w:id="1809" w:name="_Toc17766"/>
      <w:bookmarkStart w:id="1810" w:name="_Toc26801"/>
      <w:bookmarkStart w:id="1811" w:name="_Toc20667"/>
      <w:bookmarkStart w:id="1812" w:name="_Toc1054"/>
      <w:bookmarkStart w:id="1813" w:name="_Toc7214"/>
      <w:r>
        <w:rPr>
          <w:rFonts w:hint="default" w:ascii="Times New Roman" w:hAnsi="Times New Roman" w:eastAsia="方正楷体_GBK" w:cs="Times New Roman"/>
          <w:color w:val="auto"/>
          <w:sz w:val="32"/>
          <w:szCs w:val="32"/>
          <w:highlight w:val="none"/>
          <w:u w:val="none" w:color="auto"/>
          <w:lang w:val="en-US" w:eastAsia="zh-CN"/>
        </w:rPr>
        <w:t>第三节 提质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家门口</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的健康管理服务</w:t>
      </w:r>
      <w:bookmarkEnd w:id="1802"/>
      <w:bookmarkEnd w:id="1803"/>
      <w:bookmarkEnd w:id="1804"/>
      <w:bookmarkEnd w:id="1805"/>
      <w:bookmarkEnd w:id="1806"/>
      <w:bookmarkEnd w:id="1807"/>
      <w:bookmarkEnd w:id="1808"/>
      <w:bookmarkEnd w:id="1809"/>
      <w:bookmarkEnd w:id="1810"/>
      <w:bookmarkEnd w:id="1811"/>
      <w:bookmarkEnd w:id="1812"/>
      <w:bookmarkEnd w:id="1813"/>
    </w:p>
    <w:p w14:paraId="32407B1E">
      <w:pPr>
        <w:ind w:firstLine="640" w:firstLineChars="200"/>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实施医疗卫生强基工程，深化推进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三医协同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六医统筹</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改革，推动以公益性为导向的公立医院改革，形成</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11311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区域健康共同体格局，推动基础医疗卫生服务体系优质高效。扩大基层卫生服务供给，推进全区甲级社区卫生服务中心建设，完善社区卫生服务中心（站）、医疗护理站布局，支持发展社区医院。加强家庭医生队伍建设，优化家庭医生签约运行机制，引导医联体内二级及以上医院的医生参加家庭医生服务团队，擦亮</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红岩先锋·渝中家医</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品牌，提高家庭医生签约率。</w:t>
      </w:r>
    </w:p>
    <w:p w14:paraId="565E66B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14" w:name="_Toc24988"/>
      <w:bookmarkStart w:id="1815" w:name="_Toc29701"/>
      <w:bookmarkStart w:id="1816" w:name="_Toc18642"/>
      <w:bookmarkStart w:id="1817" w:name="_Toc19678"/>
      <w:bookmarkStart w:id="1818" w:name="_Toc32075"/>
      <w:bookmarkStart w:id="1819" w:name="_Toc2268"/>
      <w:bookmarkStart w:id="1820" w:name="_Toc7749"/>
      <w:bookmarkStart w:id="1821" w:name="_Toc1147"/>
      <w:bookmarkStart w:id="1822" w:name="_Toc18932"/>
      <w:bookmarkStart w:id="1823" w:name="_Toc3746"/>
      <w:bookmarkStart w:id="1824" w:name="_Toc16525"/>
      <w:bookmarkStart w:id="1825" w:name="_Toc19330"/>
      <w:r>
        <w:rPr>
          <w:rFonts w:hint="default" w:ascii="Times New Roman" w:hAnsi="Times New Roman" w:eastAsia="方正楷体_GBK" w:cs="Times New Roman"/>
          <w:color w:val="auto"/>
          <w:sz w:val="32"/>
          <w:szCs w:val="32"/>
          <w:highlight w:val="none"/>
          <w:u w:val="none" w:color="auto"/>
          <w:lang w:val="en-US" w:eastAsia="zh-CN"/>
        </w:rPr>
        <w:t>第四节 建设现代化体育强区</w:t>
      </w:r>
      <w:bookmarkEnd w:id="1814"/>
      <w:bookmarkEnd w:id="1815"/>
      <w:bookmarkEnd w:id="1816"/>
      <w:bookmarkEnd w:id="1817"/>
      <w:bookmarkEnd w:id="1818"/>
      <w:bookmarkEnd w:id="1819"/>
      <w:bookmarkEnd w:id="1820"/>
      <w:bookmarkEnd w:id="1821"/>
      <w:bookmarkEnd w:id="1822"/>
      <w:bookmarkEnd w:id="1823"/>
      <w:bookmarkEnd w:id="1824"/>
      <w:bookmarkEnd w:id="1825"/>
    </w:p>
    <w:p w14:paraId="42378897">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以构建优质均衡的全民健身公共服务体系为核心，系统推进山地立体健身网络建设、设施效能提升与特色品牌培育。升级完善大田湾体育场等大型设施功能，持续完善滨江步道、山城步道、半山崖线、环城墙步道等设施布局，利用桥下空间、建筑屋顶等建设口袋公园、智能健身舱等便民载体。提升佛图关登山赛、解放碑CBD登高楼赛和山城街巷定向赛三大本土赛事影响力。推进竞技体育发展，深化体教融合，全面提升竞技体育综合实力。加强学校体育工作，保障中小学生每天综合体育活动时间不低于2小时。</w:t>
      </w:r>
      <w:r>
        <w:rPr>
          <w:rFonts w:hint="default" w:ascii="Times New Roman" w:hAnsi="Times New Roman" w:eastAsia="方正仿宋_GBK" w:cs="Times New Roman"/>
          <w:color w:val="auto"/>
          <w:sz w:val="32"/>
          <w:szCs w:val="32"/>
          <w:highlight w:val="none"/>
          <w:lang w:val="en-US" w:eastAsia="zh-CN"/>
        </w:rPr>
        <w:t>实施</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全民健身促进计划</w:t>
      </w:r>
      <w:r>
        <w:rPr>
          <w:rFonts w:hint="eastAsia" w:ascii="Times New Roman" w:hAnsi="Times New Roman" w:eastAsia="方正仿宋_GBK" w:cs="方正仿宋_GBK"/>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推进居民健康素养监测与干预，成人肥胖率控制在30%以下，经常参加体育锻炼人数比例达到50%以上。</w:t>
      </w:r>
      <w:bookmarkStart w:id="1826" w:name="_Toc29469"/>
    </w:p>
    <w:p w14:paraId="75DE2B67">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827" w:name="_Toc27261"/>
      <w:bookmarkStart w:id="1828" w:name="_Toc2806"/>
      <w:bookmarkStart w:id="1829" w:name="_Toc30287"/>
      <w:bookmarkStart w:id="1830" w:name="_Toc8009"/>
      <w:bookmarkStart w:id="1831" w:name="_Toc1408"/>
      <w:bookmarkStart w:id="1832" w:name="_Toc29620"/>
      <w:bookmarkStart w:id="1833" w:name="_Toc32738"/>
      <w:bookmarkStart w:id="1834" w:name="_Toc13268"/>
      <w:bookmarkStart w:id="1835" w:name="_Toc6569"/>
      <w:bookmarkStart w:id="1836" w:name="_Toc26336"/>
      <w:bookmarkStart w:id="1837" w:name="_Toc21903"/>
      <w:r>
        <w:rPr>
          <w:rFonts w:hint="default" w:ascii="Times New Roman" w:hAnsi="Times New Roman" w:eastAsia="方正黑体_GBK" w:cs="Times New Roman"/>
          <w:color w:val="auto"/>
          <w:sz w:val="32"/>
          <w:szCs w:val="32"/>
          <w:highlight w:val="none"/>
          <w:u w:val="none" w:color="auto"/>
          <w:lang w:val="en-US" w:eastAsia="zh-CN"/>
        </w:rPr>
        <w:t>第四十六章 促进人口高质量发展</w:t>
      </w:r>
      <w:bookmarkEnd w:id="1826"/>
      <w:bookmarkEnd w:id="1827"/>
      <w:bookmarkEnd w:id="1828"/>
      <w:bookmarkEnd w:id="1829"/>
      <w:bookmarkEnd w:id="1830"/>
      <w:bookmarkEnd w:id="1831"/>
      <w:bookmarkEnd w:id="1832"/>
      <w:bookmarkEnd w:id="1833"/>
      <w:bookmarkEnd w:id="1834"/>
      <w:bookmarkEnd w:id="1835"/>
      <w:bookmarkEnd w:id="1836"/>
      <w:bookmarkEnd w:id="1837"/>
    </w:p>
    <w:p w14:paraId="17E170B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健全覆盖全人群、全生命周期的人口服务体系，打造婚育友好型、儿童友好型、青少年友好型、老年友好型等全龄友好社会。</w:t>
      </w:r>
    </w:p>
    <w:p w14:paraId="6E6189A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cs="Times New Roman"/>
          <w:color w:val="auto"/>
          <w:highlight w:val="none"/>
          <w:u w:val="none" w:color="auto"/>
          <w:lang w:val="en-US" w:eastAsia="zh-CN"/>
        </w:rPr>
      </w:pPr>
      <w:bookmarkStart w:id="1838" w:name="_Toc16736"/>
      <w:bookmarkStart w:id="1839" w:name="_Toc7243"/>
      <w:bookmarkStart w:id="1840" w:name="_Toc28548"/>
      <w:bookmarkStart w:id="1841" w:name="_Toc16778"/>
      <w:bookmarkStart w:id="1842" w:name="_Toc12324"/>
      <w:bookmarkStart w:id="1843" w:name="_Toc7603"/>
      <w:bookmarkStart w:id="1844" w:name="_Toc23846"/>
      <w:bookmarkStart w:id="1845" w:name="_Toc1652"/>
      <w:bookmarkStart w:id="1846" w:name="_Toc16802"/>
      <w:bookmarkStart w:id="1847" w:name="_Toc28766"/>
      <w:bookmarkStart w:id="1848" w:name="_Toc13784"/>
      <w:bookmarkStart w:id="1849" w:name="_Toc31126"/>
      <w:r>
        <w:rPr>
          <w:rFonts w:hint="default" w:ascii="Times New Roman" w:hAnsi="Times New Roman" w:eastAsia="方正楷体_GBK" w:cs="Times New Roman"/>
          <w:color w:val="auto"/>
          <w:sz w:val="32"/>
          <w:szCs w:val="32"/>
          <w:highlight w:val="none"/>
          <w:u w:val="none" w:color="auto"/>
          <w:lang w:val="en-US" w:eastAsia="zh-CN"/>
        </w:rPr>
        <w:t>第一节 推进青年发展型城市建设</w:t>
      </w:r>
      <w:bookmarkEnd w:id="1838"/>
      <w:bookmarkEnd w:id="1839"/>
      <w:bookmarkEnd w:id="1840"/>
      <w:bookmarkEnd w:id="1841"/>
      <w:bookmarkEnd w:id="1842"/>
      <w:bookmarkEnd w:id="1843"/>
      <w:bookmarkEnd w:id="1844"/>
      <w:bookmarkEnd w:id="1845"/>
      <w:bookmarkEnd w:id="1846"/>
      <w:bookmarkEnd w:id="1847"/>
      <w:bookmarkEnd w:id="1848"/>
    </w:p>
    <w:p w14:paraId="4EFD615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left"/>
        <w:textAlignment w:val="auto"/>
        <w:outlineLvl w:val="9"/>
        <w:rPr>
          <w:rFonts w:hint="default" w:ascii="Times New Roman" w:hAnsi="Times New Roman" w:eastAsia="方正仿宋_GBK" w:cs="Times New Roman"/>
          <w:color w:val="auto"/>
          <w:spacing w:val="0"/>
          <w:kern w:val="2"/>
          <w:sz w:val="32"/>
          <w:szCs w:val="32"/>
          <w:highlight w:val="none"/>
          <w:u w:val="none" w:color="auto"/>
          <w:lang w:val="en-US" w:eastAsia="zh-CN" w:bidi="ar-SA"/>
        </w:rPr>
      </w:pPr>
      <w:r>
        <w:rPr>
          <w:rFonts w:hint="default" w:ascii="Times New Roman" w:hAnsi="Times New Roman" w:eastAsia="方正仿宋_GBK" w:cs="Times New Roman"/>
          <w:color w:val="auto"/>
          <w:spacing w:val="0"/>
          <w:sz w:val="32"/>
          <w:szCs w:val="32"/>
          <w:highlight w:val="none"/>
          <w:u w:val="none" w:color="auto"/>
          <w:lang w:val="en-US" w:eastAsia="zh-CN"/>
        </w:rPr>
        <w:t>深入推进青年</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C位</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计划</w:t>
      </w:r>
      <w:r>
        <w:rPr>
          <w:rFonts w:hint="default" w:ascii="Times New Roman" w:hAnsi="Times New Roman" w:eastAsia="方正仿宋_GBK" w:cs="Times New Roman"/>
          <w:color w:val="auto"/>
          <w:spacing w:val="0"/>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围绕</w:t>
      </w:r>
      <w:r>
        <w:rPr>
          <w:rFonts w:hint="default" w:ascii="Times New Roman" w:hAnsi="Times New Roman" w:eastAsia="方正仿宋_GBK" w:cs="Times New Roman"/>
          <w:color w:val="auto"/>
          <w:sz w:val="32"/>
          <w:szCs w:val="32"/>
          <w:highlight w:val="none"/>
          <w:u w:val="none" w:color="auto"/>
        </w:rPr>
        <w:t>青年</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乐学、乐业、乐创、乐居、乐享、乐游、乐活</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七大核心体系，服务青年发展</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全生命周期</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w:t>
      </w:r>
      <w:r>
        <w:rPr>
          <w:rFonts w:hint="default" w:ascii="Times New Roman" w:hAnsi="Times New Roman" w:eastAsia="方正仿宋_GBK" w:cs="Times New Roman"/>
          <w:color w:val="auto"/>
          <w:sz w:val="32"/>
          <w:szCs w:val="32"/>
          <w:highlight w:val="none"/>
          <w:u w:val="none" w:color="auto"/>
          <w:lang w:val="en-US" w:eastAsia="zh-CN"/>
        </w:rPr>
        <w:t>打造</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青年向往、建功有为</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的青春之城。</w:t>
      </w:r>
      <w:r>
        <w:rPr>
          <w:rFonts w:hint="default" w:ascii="Times New Roman" w:hAnsi="Times New Roman" w:eastAsia="方正仿宋_GBK" w:cs="Times New Roman"/>
          <w:color w:val="auto"/>
          <w:spacing w:val="0"/>
          <w:sz w:val="32"/>
          <w:szCs w:val="32"/>
          <w:highlight w:val="none"/>
          <w:u w:val="none" w:color="auto"/>
          <w:lang w:val="en-US" w:eastAsia="zh-CN"/>
        </w:rPr>
        <w:t>深化实施高校毕业生等青年留渝来渝就业创业行动计划</w:t>
      </w:r>
      <w:r>
        <w:rPr>
          <w:rStyle w:val="23"/>
          <w:rFonts w:hint="default" w:ascii="Times New Roman" w:hAnsi="Times New Roman" w:eastAsia="方正仿宋_GBK" w:cs="Times New Roman"/>
          <w:b w:val="0"/>
          <w:bCs/>
          <w:i w:val="0"/>
          <w:iCs w:val="0"/>
          <w:caps w:val="0"/>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开展</w:t>
      </w:r>
      <w:r>
        <w:rPr>
          <w:rFonts w:hint="eastAsia" w:ascii="Times New Roman" w:hAnsi="Times New Roman" w:eastAsia="方正仿宋_GBK" w:cs="方正仿宋_GBK"/>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春风行动</w:t>
      </w:r>
      <w:r>
        <w:rPr>
          <w:rFonts w:hint="eastAsia" w:ascii="Times New Roman" w:hAnsi="Times New Roman" w:eastAsia="方正仿宋_GBK" w:cs="方正仿宋_GBK"/>
          <w:color w:val="auto"/>
          <w:spacing w:val="0"/>
          <w:kern w:val="2"/>
          <w:sz w:val="32"/>
          <w:szCs w:val="32"/>
          <w:highlight w:val="none"/>
          <w:u w:val="none" w:color="auto"/>
          <w:lang w:val="en-US" w:eastAsia="zh-CN" w:bidi="ar-SA"/>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等招聘引才专项活动，</w:t>
      </w:r>
      <w:r>
        <w:rPr>
          <w:rFonts w:hint="default" w:ascii="Times New Roman" w:hAnsi="Times New Roman" w:eastAsia="方正仿宋_GBK" w:cs="Times New Roman"/>
          <w:b w:val="0"/>
          <w:bCs w:val="0"/>
          <w:color w:val="auto"/>
          <w:sz w:val="32"/>
          <w:szCs w:val="32"/>
        </w:rPr>
        <w:t>吸引高校毕业生等青年留渝来区就业创业人数6万人以上</w:t>
      </w:r>
      <w:r>
        <w:rPr>
          <w:rFonts w:hint="default" w:ascii="Times New Roman" w:hAnsi="Times New Roman" w:eastAsia="方正仿宋_GBK" w:cs="Times New Roman"/>
          <w:b w:val="0"/>
          <w:bCs w:val="0"/>
          <w:color w:val="auto"/>
          <w:spacing w:val="0"/>
          <w:kern w:val="2"/>
          <w:sz w:val="32"/>
          <w:szCs w:val="32"/>
          <w:highlight w:val="none"/>
          <w:u w:val="none" w:color="auto"/>
          <w:lang w:val="en-US" w:eastAsia="zh-CN" w:bidi="ar-SA"/>
        </w:rPr>
        <w:t>，发</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动青年积极参加创新创业赛事、申报市级科研项目。组织青年参加就业见习，开展青年技能培训4000人次以上。鼓励青年参与社会治理。</w:t>
      </w:r>
      <w:r>
        <w:rPr>
          <w:rFonts w:hint="default" w:ascii="Times New Roman" w:hAnsi="Times New Roman" w:eastAsia="方正仿宋_GBK" w:cs="Times New Roman"/>
          <w:color w:val="auto"/>
          <w:sz w:val="32"/>
          <w:szCs w:val="24"/>
          <w:highlight w:val="none"/>
          <w:u w:val="none" w:color="auto"/>
        </w:rPr>
        <w:t>打造青年友好型城市空间</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lang w:val="en-US" w:eastAsia="zh-CN"/>
        </w:rPr>
        <w:t>完善</w:t>
      </w:r>
      <w:r>
        <w:rPr>
          <w:rFonts w:hint="default" w:ascii="Times New Roman" w:hAnsi="Times New Roman" w:eastAsia="方正仿宋_GBK" w:cs="Times New Roman"/>
          <w:color w:val="auto"/>
          <w:sz w:val="32"/>
          <w:highlight w:val="none"/>
          <w:u w:val="none" w:color="auto"/>
        </w:rPr>
        <w:t>青年住房有效供给</w:t>
      </w:r>
      <w:r>
        <w:rPr>
          <w:rFonts w:hint="default" w:ascii="Times New Roman" w:hAnsi="Times New Roman" w:eastAsia="方正仿宋_GBK" w:cs="Times New Roman"/>
          <w:color w:val="auto"/>
          <w:sz w:val="32"/>
          <w:highlight w:val="none"/>
          <w:u w:val="none" w:color="auto"/>
          <w:lang w:eastAsia="zh-CN"/>
        </w:rPr>
        <w:t>，</w:t>
      </w:r>
      <w:r>
        <w:rPr>
          <w:rFonts w:hint="default" w:ascii="Times New Roman" w:hAnsi="Times New Roman" w:eastAsia="方正仿宋_GBK" w:cs="Times New Roman"/>
          <w:color w:val="auto"/>
          <w:sz w:val="32"/>
          <w:szCs w:val="24"/>
          <w:highlight w:val="none"/>
          <w:u w:val="none" w:color="auto"/>
          <w:lang w:eastAsia="zh-CN"/>
        </w:rPr>
        <w:t>对异地来区求职高校毕业生、</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lang w:eastAsia="zh-CN"/>
        </w:rPr>
        <w:t>返家乡</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lang w:eastAsia="zh-CN"/>
        </w:rPr>
        <w:t>社会实践大学生、就业见习青年和创业青年等</w:t>
      </w:r>
      <w:r>
        <w:rPr>
          <w:rFonts w:hint="default" w:ascii="Times New Roman" w:hAnsi="Times New Roman" w:eastAsia="方正仿宋_GBK" w:cs="Times New Roman"/>
          <w:color w:val="auto"/>
          <w:sz w:val="32"/>
          <w:szCs w:val="24"/>
          <w:highlight w:val="none"/>
          <w:u w:val="none" w:color="auto"/>
          <w:lang w:val="en-US" w:eastAsia="zh-CN"/>
        </w:rPr>
        <w:t>提供免费住宿</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一张床</w:t>
      </w:r>
      <w:r>
        <w:rPr>
          <w:rFonts w:hint="eastAsia" w:ascii="Times New Roman" w:hAnsi="Times New Roman" w:eastAsia="方正仿宋_GBK" w:cs="方正仿宋_GBK"/>
          <w:color w:val="auto"/>
          <w:sz w:val="32"/>
          <w:szCs w:val="24"/>
          <w:highlight w:val="none"/>
          <w:u w:val="none" w:color="auto"/>
          <w:lang w:val="en-US" w:eastAsia="zh-CN"/>
        </w:rPr>
        <w:t>”</w:t>
      </w:r>
      <w:r>
        <w:rPr>
          <w:rFonts w:hint="default" w:ascii="Times New Roman" w:hAnsi="Times New Roman" w:eastAsia="方正仿宋_GBK" w:cs="Times New Roman"/>
          <w:color w:val="auto"/>
          <w:sz w:val="32"/>
          <w:szCs w:val="24"/>
          <w:highlight w:val="none"/>
          <w:u w:val="none" w:color="auto"/>
          <w:lang w:val="en-US" w:eastAsia="zh-CN"/>
        </w:rPr>
        <w:t>，</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投用青年保障性租赁住房面积14万平方米以上。</w:t>
      </w:r>
      <w:r>
        <w:rPr>
          <w:rFonts w:hint="default" w:ascii="Times New Roman" w:hAnsi="Times New Roman" w:eastAsia="方正仿宋_GBK" w:cs="Times New Roman"/>
          <w:color w:val="auto"/>
          <w:sz w:val="32"/>
          <w:szCs w:val="32"/>
          <w:highlight w:val="none"/>
          <w:u w:val="none" w:color="auto"/>
        </w:rPr>
        <w:t>焕新青年社交场景，</w:t>
      </w:r>
      <w:r>
        <w:rPr>
          <w:rFonts w:hint="default" w:ascii="Times New Roman" w:hAnsi="Times New Roman" w:eastAsia="方正仿宋_GBK" w:cs="Times New Roman"/>
          <w:color w:val="auto"/>
          <w:sz w:val="32"/>
          <w:szCs w:val="24"/>
          <w:highlight w:val="none"/>
          <w:u w:val="none" w:color="auto"/>
        </w:rPr>
        <w:t>整合城市书房、小剧场等社会资源，布局青年夜校、</w:t>
      </w:r>
      <w:r>
        <w:rPr>
          <w:rFonts w:hint="eastAsia" w:ascii="Times New Roman" w:hAnsi="Times New Roman" w:eastAsia="方正仿宋_GBK" w:cs="方正仿宋_GBK"/>
          <w:color w:val="auto"/>
          <w:sz w:val="32"/>
          <w:highlight w:val="none"/>
          <w:u w:val="none" w:color="auto"/>
          <w:lang w:eastAsia="zh-CN"/>
        </w:rPr>
        <w:t>“</w:t>
      </w:r>
      <w:r>
        <w:rPr>
          <w:rFonts w:hint="default" w:ascii="Times New Roman" w:hAnsi="Times New Roman" w:eastAsia="方正仿宋_GBK" w:cs="Times New Roman"/>
          <w:color w:val="auto"/>
          <w:sz w:val="32"/>
          <w:highlight w:val="none"/>
          <w:u w:val="none" w:color="auto"/>
        </w:rPr>
        <w:t>城市音乐基地</w:t>
      </w:r>
      <w:r>
        <w:rPr>
          <w:rFonts w:hint="eastAsia" w:ascii="Times New Roman" w:hAnsi="Times New Roman" w:eastAsia="方正仿宋_GBK" w:cs="方正仿宋_GBK"/>
          <w:color w:val="auto"/>
          <w:sz w:val="32"/>
          <w:highlight w:val="none"/>
          <w:u w:val="none" w:color="auto"/>
          <w:lang w:eastAsia="zh-CN"/>
        </w:rPr>
        <w:t>”</w:t>
      </w:r>
      <w:r>
        <w:rPr>
          <w:rFonts w:hint="default" w:ascii="Times New Roman" w:hAnsi="Times New Roman" w:eastAsia="方正仿宋_GBK" w:cs="Times New Roman"/>
          <w:color w:val="auto"/>
          <w:sz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文旅驿站</w:t>
      </w:r>
      <w:r>
        <w:rPr>
          <w:rFonts w:hint="default" w:ascii="Times New Roman" w:hAnsi="Times New Roman" w:eastAsia="方正仿宋_GBK" w:cs="Times New Roman"/>
          <w:color w:val="auto"/>
          <w:sz w:val="32"/>
          <w:szCs w:val="24"/>
          <w:highlight w:val="none"/>
          <w:u w:val="none" w:color="auto"/>
        </w:rPr>
        <w:t>等功能载体</w:t>
      </w:r>
      <w:r>
        <w:rPr>
          <w:rFonts w:hint="default" w:ascii="Times New Roman" w:hAnsi="Times New Roman" w:eastAsia="方正仿宋_GBK" w:cs="Times New Roman"/>
          <w:color w:val="auto"/>
          <w:sz w:val="32"/>
          <w:highlight w:val="none"/>
          <w:u w:val="none" w:color="auto"/>
        </w:rPr>
        <w:t>。</w:t>
      </w:r>
      <w:r>
        <w:rPr>
          <w:rStyle w:val="31"/>
          <w:rFonts w:hint="default" w:ascii="Times New Roman" w:hAnsi="Times New Roman" w:eastAsia="方正仿宋_GBK" w:cs="Times New Roman"/>
          <w:b w:val="0"/>
          <w:bCs w:val="0"/>
          <w:color w:val="auto"/>
          <w:sz w:val="32"/>
          <w:szCs w:val="32"/>
          <w:highlight w:val="none"/>
          <w:u w:val="none" w:color="auto"/>
          <w:lang w:val="en-US"/>
        </w:rPr>
        <w:t>加强青年婚恋观引导和教育，举办</w:t>
      </w:r>
      <w:r>
        <w:rPr>
          <w:rStyle w:val="31"/>
          <w:rFonts w:hint="eastAsia" w:ascii="Times New Roman" w:hAnsi="Times New Roman" w:eastAsia="方正仿宋_GBK" w:cs="方正仿宋_GBK"/>
          <w:b w:val="0"/>
          <w:bCs w:val="0"/>
          <w:color w:val="auto"/>
          <w:sz w:val="32"/>
          <w:szCs w:val="32"/>
          <w:highlight w:val="none"/>
          <w:u w:val="none" w:color="auto"/>
          <w:lang w:val="en-US"/>
        </w:rPr>
        <w:t>“</w:t>
      </w:r>
      <w:r>
        <w:rPr>
          <w:rStyle w:val="31"/>
          <w:rFonts w:hint="default" w:ascii="Times New Roman" w:hAnsi="Times New Roman" w:eastAsia="方正仿宋_GBK" w:cs="Times New Roman"/>
          <w:b w:val="0"/>
          <w:bCs w:val="0"/>
          <w:color w:val="auto"/>
          <w:sz w:val="32"/>
          <w:szCs w:val="32"/>
          <w:highlight w:val="none"/>
          <w:u w:val="none" w:color="auto"/>
          <w:lang w:val="en-US"/>
        </w:rPr>
        <w:t>520浪漫派对</w:t>
      </w:r>
      <w:r>
        <w:rPr>
          <w:rStyle w:val="31"/>
          <w:rFonts w:hint="eastAsia" w:ascii="Times New Roman" w:hAnsi="Times New Roman" w:eastAsia="方正仿宋_GBK" w:cs="方正仿宋_GBK"/>
          <w:b w:val="0"/>
          <w:bCs w:val="0"/>
          <w:color w:val="auto"/>
          <w:sz w:val="32"/>
          <w:szCs w:val="32"/>
          <w:highlight w:val="none"/>
          <w:u w:val="none" w:color="auto"/>
          <w:lang w:val="en-US"/>
        </w:rPr>
        <w:t>”</w:t>
      </w:r>
      <w:r>
        <w:rPr>
          <w:rStyle w:val="31"/>
          <w:rFonts w:hint="default" w:ascii="Times New Roman" w:hAnsi="Times New Roman" w:eastAsia="方正仿宋_GBK" w:cs="Times New Roman"/>
          <w:b w:val="0"/>
          <w:bCs w:val="0"/>
          <w:color w:val="auto"/>
          <w:sz w:val="32"/>
          <w:szCs w:val="32"/>
          <w:highlight w:val="none"/>
          <w:u w:val="none" w:color="auto"/>
          <w:lang w:val="en-US"/>
        </w:rPr>
        <w:t>等青年婚恋交友特色活动，</w:t>
      </w:r>
      <w:r>
        <w:rPr>
          <w:rStyle w:val="31"/>
          <w:rFonts w:hint="default" w:ascii="Times New Roman" w:hAnsi="Times New Roman" w:eastAsia="方正仿宋_GBK" w:cs="Times New Roman"/>
          <w:color w:val="auto"/>
          <w:sz w:val="32"/>
          <w:szCs w:val="32"/>
          <w:highlight w:val="none"/>
          <w:u w:val="none" w:color="auto"/>
        </w:rPr>
        <w:t>高质量运营全国首个CBD婚登中心，</w:t>
      </w:r>
      <w:r>
        <w:rPr>
          <w:rStyle w:val="31"/>
          <w:rFonts w:hint="default" w:ascii="Times New Roman" w:hAnsi="Times New Roman" w:eastAsia="方正仿宋_GBK" w:cs="Times New Roman"/>
          <w:b w:val="0"/>
          <w:bCs w:val="0"/>
          <w:color w:val="auto"/>
          <w:sz w:val="32"/>
          <w:szCs w:val="32"/>
          <w:highlight w:val="none"/>
          <w:u w:val="none" w:color="auto"/>
          <w:lang w:val="en-US" w:eastAsia="zh-CN"/>
        </w:rPr>
        <w:t>探索打造集婚姻登记、文化旅游、婚庆服务、时尚文创于一体的婚姻登记综合服务体，</w:t>
      </w:r>
      <w:r>
        <w:rPr>
          <w:rFonts w:hint="default" w:ascii="Times New Roman" w:hAnsi="Times New Roman" w:eastAsia="方正仿宋_GBK" w:cs="Times New Roman"/>
          <w:color w:val="auto"/>
          <w:sz w:val="32"/>
          <w:szCs w:val="24"/>
          <w:highlight w:val="none"/>
          <w:u w:val="none" w:color="auto"/>
          <w:lang w:val="en-US" w:eastAsia="zh-CN"/>
        </w:rPr>
        <w:t>建设</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渝中半岛浪漫之城</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w:t>
      </w:r>
    </w:p>
    <w:bookmarkEnd w:id="1849"/>
    <w:p w14:paraId="45445BF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50" w:name="_Toc3732"/>
      <w:bookmarkStart w:id="1851" w:name="_Toc23664"/>
      <w:bookmarkStart w:id="1852" w:name="_Toc9446"/>
      <w:bookmarkStart w:id="1853" w:name="_Toc10415"/>
      <w:bookmarkStart w:id="1854" w:name="_Toc29889"/>
      <w:bookmarkStart w:id="1855" w:name="_Toc31311"/>
      <w:bookmarkStart w:id="1856" w:name="_Toc8636"/>
      <w:bookmarkStart w:id="1857" w:name="_Toc8323"/>
      <w:bookmarkStart w:id="1858" w:name="_Toc17833"/>
      <w:bookmarkStart w:id="1859" w:name="_Toc28121"/>
      <w:bookmarkStart w:id="1860" w:name="_Toc25142"/>
      <w:bookmarkStart w:id="1861" w:name="_Toc20866"/>
      <w:r>
        <w:rPr>
          <w:rFonts w:hint="default" w:ascii="Times New Roman" w:hAnsi="Times New Roman" w:eastAsia="方正楷体_GBK" w:cs="Times New Roman"/>
          <w:color w:val="auto"/>
          <w:sz w:val="32"/>
          <w:szCs w:val="32"/>
          <w:highlight w:val="none"/>
          <w:u w:val="none" w:color="auto"/>
          <w:lang w:val="en-US" w:eastAsia="zh-CN"/>
        </w:rPr>
        <w:t>第二节 巩固提升儿童友好城市建设成效</w:t>
      </w:r>
      <w:bookmarkEnd w:id="1850"/>
      <w:bookmarkEnd w:id="1851"/>
      <w:bookmarkEnd w:id="1852"/>
      <w:bookmarkEnd w:id="1853"/>
      <w:bookmarkEnd w:id="1854"/>
      <w:bookmarkEnd w:id="1855"/>
    </w:p>
    <w:p w14:paraId="6898097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left"/>
        <w:textAlignment w:val="auto"/>
        <w:outlineLvl w:val="9"/>
        <w:rPr>
          <w:rFonts w:hint="default" w:ascii="Times New Roman" w:hAnsi="Times New Roman" w:eastAsia="方正仿宋_GBK" w:cs="Times New Roman"/>
          <w:color w:val="auto"/>
          <w:sz w:val="32"/>
          <w:szCs w:val="24"/>
          <w:highlight w:val="none"/>
          <w:u w:val="none" w:color="auto"/>
          <w:lang w:eastAsia="zh-CN"/>
        </w:rPr>
      </w:pPr>
      <w:r>
        <w:rPr>
          <w:rFonts w:hint="default" w:ascii="Times New Roman" w:hAnsi="Times New Roman" w:eastAsia="方正仿宋_GBK" w:cs="Times New Roman"/>
          <w:color w:val="auto"/>
          <w:sz w:val="32"/>
          <w:szCs w:val="32"/>
          <w:highlight w:val="none"/>
          <w:u w:val="none" w:color="auto"/>
        </w:rPr>
        <w:t>完善儿童健康服务体系，强化儿童近视、超重肥胖、脊柱弯曲异常、龋齿等常见疾病预防和控制。加强儿童早期教育、生命健康教育、心理健康教育，预防和减少儿童伤害。推进儿童友好型街区、社会建设，全域推广儿童友好型医院、公园、景区、校园等空间设施改造，创建一批儿童友好点位。合理安排儿童作息，推动午休设施建设。健全孤儿、事实无人抚养儿童等困境儿童分类保障机制，完善留守、流动儿童关爱服务体系，发展儿童福利事业。常态化开展</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护校安园</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、防溺水、防欺凌等专项行动。用好青少年综合服务平台，持续优化关心关爱下一代的社会环境。</w:t>
      </w:r>
    </w:p>
    <w:p w14:paraId="60D114C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62" w:name="_Toc15793"/>
      <w:bookmarkStart w:id="1863" w:name="_Toc4421"/>
      <w:bookmarkStart w:id="1864" w:name="_Toc10200"/>
      <w:bookmarkStart w:id="1865" w:name="_Toc1649"/>
      <w:bookmarkStart w:id="1866" w:name="_Toc15114"/>
      <w:bookmarkStart w:id="1867" w:name="_Toc15670"/>
      <w:r>
        <w:rPr>
          <w:rFonts w:hint="default" w:ascii="Times New Roman" w:hAnsi="Times New Roman" w:eastAsia="方正楷体_GBK" w:cs="Times New Roman"/>
          <w:color w:val="auto"/>
          <w:sz w:val="32"/>
          <w:szCs w:val="32"/>
          <w:highlight w:val="none"/>
          <w:u w:val="none" w:color="auto"/>
          <w:lang w:val="en-US" w:eastAsia="zh-CN"/>
        </w:rPr>
        <w:t>第三节 打造老龄友好型社会</w:t>
      </w:r>
      <w:bookmarkEnd w:id="1856"/>
      <w:bookmarkEnd w:id="1857"/>
      <w:bookmarkEnd w:id="1858"/>
      <w:bookmarkEnd w:id="1859"/>
      <w:bookmarkEnd w:id="1860"/>
      <w:bookmarkEnd w:id="1861"/>
      <w:bookmarkEnd w:id="1862"/>
      <w:bookmarkEnd w:id="1863"/>
      <w:bookmarkEnd w:id="1864"/>
      <w:bookmarkEnd w:id="1865"/>
      <w:bookmarkEnd w:id="1866"/>
      <w:bookmarkEnd w:id="1867"/>
    </w:p>
    <w:p w14:paraId="183D1EA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24"/>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提高养老服务水平。构建政府、社会、市场三方协同机制，加快打造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居家为基础、社区为依托、机构为专业支撑、医养相结合</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的养老服务体系。</w:t>
      </w:r>
      <w:r>
        <w:rPr>
          <w:rFonts w:hint="default" w:ascii="Times New Roman" w:hAnsi="Times New Roman" w:eastAsia="方正仿宋_GBK" w:cs="Times New Roman"/>
          <w:color w:val="auto"/>
          <w:sz w:val="32"/>
          <w:szCs w:val="32"/>
          <w:highlight w:val="none"/>
          <w:u w:val="none" w:color="auto"/>
        </w:rPr>
        <w:t>推进新型居家养老模式，</w:t>
      </w:r>
      <w:r>
        <w:rPr>
          <w:rFonts w:hint="default" w:ascii="Times New Roman" w:hAnsi="Times New Roman" w:eastAsia="方正仿宋_GBK" w:cs="Times New Roman"/>
          <w:color w:val="auto"/>
          <w:sz w:val="32"/>
          <w:szCs w:val="24"/>
          <w:highlight w:val="none"/>
          <w:u w:val="none" w:color="auto"/>
          <w:lang w:val="en-US" w:eastAsia="zh-CN"/>
        </w:rPr>
        <w:t>推动社会配套设施适老化和无障碍改造，</w:t>
      </w:r>
      <w:r>
        <w:rPr>
          <w:rFonts w:hint="default" w:ascii="Times New Roman" w:hAnsi="Times New Roman" w:eastAsia="方正仿宋_GBK" w:cs="Times New Roman"/>
          <w:color w:val="auto"/>
          <w:sz w:val="32"/>
          <w:szCs w:val="32"/>
          <w:highlight w:val="none"/>
          <w:u w:val="none" w:color="auto"/>
          <w:lang w:val="en-US" w:eastAsia="zh-CN"/>
        </w:rPr>
        <w:t>依托</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渝邻汇</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等社区综合服务体等载体布点嵌入式养老服务设施。</w:t>
      </w:r>
      <w:r>
        <w:rPr>
          <w:rFonts w:hint="default" w:ascii="Times New Roman" w:hAnsi="Times New Roman" w:eastAsia="方正仿宋_GBK" w:cs="Times New Roman"/>
          <w:color w:val="auto"/>
          <w:sz w:val="32"/>
          <w:szCs w:val="32"/>
          <w:highlight w:val="none"/>
          <w:u w:val="none" w:color="auto"/>
        </w:rPr>
        <w:t>针对老年人生活照料、健康护理、情感陪伴等需求提供定制化上门服务</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加强疾病预防、健康生活方式等科普宣传，</w:t>
      </w:r>
      <w:r>
        <w:rPr>
          <w:rFonts w:hint="default" w:ascii="Times New Roman" w:hAnsi="Times New Roman" w:eastAsia="方正仿宋_GBK" w:cs="Times New Roman"/>
          <w:color w:val="auto"/>
          <w:spacing w:val="0"/>
          <w:sz w:val="32"/>
          <w:szCs w:val="32"/>
          <w:highlight w:val="none"/>
          <w:u w:val="none" w:color="auto"/>
          <w:lang w:val="en-US" w:eastAsia="zh-CN"/>
        </w:rPr>
        <w:t>优化空巢老人关爱服务体系。支持发展康养、旅居等多形式</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飞地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养老。</w:t>
      </w:r>
      <w:r>
        <w:rPr>
          <w:rFonts w:hint="default" w:ascii="Times New Roman" w:hAnsi="Times New Roman" w:eastAsia="方正仿宋_GBK" w:cs="Times New Roman"/>
          <w:color w:val="auto"/>
          <w:sz w:val="32"/>
          <w:szCs w:val="32"/>
          <w:highlight w:val="none"/>
          <w:u w:val="none" w:color="auto"/>
          <w:lang w:val="en-US" w:eastAsia="zh-CN"/>
        </w:rPr>
        <w:t>推广互助养老模式，促进社区卫生机构与养老设施资源共享，健全失能失智老年人照护体系，养老机构护理型床位占比达到90%以上。打造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有温度</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的晚年生活场景。</w:t>
      </w:r>
      <w:r>
        <w:rPr>
          <w:rFonts w:hint="default" w:ascii="Times New Roman" w:hAnsi="Times New Roman" w:eastAsia="方正仿宋_GBK" w:cs="Times New Roman"/>
          <w:color w:val="auto"/>
          <w:sz w:val="32"/>
          <w:szCs w:val="24"/>
          <w:highlight w:val="none"/>
          <w:u w:val="none" w:color="auto"/>
        </w:rPr>
        <w:t>健全智慧养老安全防护体系，推广智慧防走失手环、智能床带、紧急呼叫器等设备应用，联动智慧养老服务平台实现风险预警与快速响应</w:t>
      </w:r>
      <w:r>
        <w:rPr>
          <w:rFonts w:hint="default" w:ascii="Times New Roman" w:hAnsi="Times New Roman" w:eastAsia="方正仿宋_GBK" w:cs="Times New Roman"/>
          <w:color w:val="auto"/>
          <w:sz w:val="32"/>
          <w:szCs w:val="24"/>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丰富适老化精神文化供给，聚焦老年人精神文化需求与安全保障诉求，升级山城老年大学及社区教学点，常态化举办老年文化节、非遗体验、趣味</w:t>
      </w:r>
      <w:r>
        <w:rPr>
          <w:rFonts w:hint="default" w:ascii="Times New Roman" w:hAnsi="Times New Roman" w:eastAsia="方正仿宋_GBK" w:cs="Times New Roman"/>
          <w:color w:val="auto"/>
          <w:sz w:val="32"/>
          <w:szCs w:val="24"/>
          <w:highlight w:val="none"/>
          <w:u w:val="none" w:color="auto"/>
        </w:rPr>
        <w:t>文体等特色活动，拓宽老年人社会参与渠道。</w:t>
      </w:r>
      <w:bookmarkEnd w:id="1700"/>
      <w:bookmarkStart w:id="1868" w:name="_Toc23381"/>
      <w:bookmarkStart w:id="1869" w:name="_Toc10811"/>
      <w:bookmarkStart w:id="1870" w:name="_Toc19257"/>
      <w:bookmarkStart w:id="1871" w:name="_Toc10829"/>
      <w:bookmarkStart w:id="1872" w:name="_Toc31761"/>
      <w:bookmarkStart w:id="1873" w:name="_Toc30992"/>
      <w:bookmarkStart w:id="1874" w:name="_Toc7077"/>
      <w:bookmarkStart w:id="1875" w:name="_Toc21222"/>
    </w:p>
    <w:p w14:paraId="630FAAE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876" w:name="_Toc18095"/>
      <w:bookmarkStart w:id="1877" w:name="_Toc20979"/>
      <w:bookmarkStart w:id="1878" w:name="_Toc28948"/>
      <w:bookmarkStart w:id="1879" w:name="_Toc23450"/>
      <w:bookmarkStart w:id="1880" w:name="_Toc24708"/>
      <w:bookmarkStart w:id="1881" w:name="_Toc199"/>
      <w:r>
        <w:rPr>
          <w:rFonts w:hint="default" w:ascii="Times New Roman" w:hAnsi="Times New Roman" w:eastAsia="方正黑体_GBK" w:cs="Times New Roman"/>
          <w:color w:val="auto"/>
          <w:sz w:val="32"/>
          <w:szCs w:val="32"/>
          <w:highlight w:val="none"/>
          <w:u w:val="none" w:color="auto"/>
          <w:lang w:val="en-US" w:eastAsia="zh-CN"/>
        </w:rPr>
        <w:t xml:space="preserve">第四十七章 </w:t>
      </w:r>
      <w:bookmarkEnd w:id="1868"/>
      <w:r>
        <w:rPr>
          <w:rFonts w:hint="default" w:ascii="Times New Roman" w:hAnsi="Times New Roman" w:eastAsia="方正黑体_GBK" w:cs="Times New Roman"/>
          <w:color w:val="auto"/>
          <w:sz w:val="32"/>
          <w:szCs w:val="32"/>
          <w:highlight w:val="none"/>
          <w:u w:val="none" w:color="auto"/>
          <w:lang w:val="en-US" w:eastAsia="zh-CN"/>
        </w:rPr>
        <w:t>构建与人口变化相适应的公共服务体系</w:t>
      </w:r>
      <w:bookmarkEnd w:id="1869"/>
      <w:bookmarkEnd w:id="1870"/>
      <w:bookmarkEnd w:id="1871"/>
      <w:bookmarkEnd w:id="1872"/>
      <w:bookmarkEnd w:id="1873"/>
      <w:bookmarkEnd w:id="1874"/>
      <w:bookmarkEnd w:id="1876"/>
      <w:bookmarkEnd w:id="1877"/>
      <w:bookmarkEnd w:id="1878"/>
      <w:bookmarkEnd w:id="1879"/>
      <w:bookmarkEnd w:id="1880"/>
      <w:bookmarkEnd w:id="1881"/>
    </w:p>
    <w:p w14:paraId="3E6ABC4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健全与常住人口相匹配的公共资源配置和动态调整机制，统筹构建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普惠—精准—智慧—可持续</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全时域全龄段高品质公共服务供给体系。</w:t>
      </w:r>
    </w:p>
    <w:p w14:paraId="16078D5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82" w:name="_Toc27202"/>
      <w:bookmarkStart w:id="1883" w:name="_Toc28523"/>
      <w:bookmarkStart w:id="1884" w:name="_Toc29696"/>
      <w:bookmarkStart w:id="1885" w:name="_Toc28335"/>
      <w:bookmarkStart w:id="1886" w:name="_Toc23153"/>
      <w:bookmarkStart w:id="1887" w:name="_Toc27405"/>
      <w:bookmarkStart w:id="1888" w:name="_Toc8364"/>
      <w:bookmarkStart w:id="1889" w:name="_Toc30556"/>
      <w:bookmarkStart w:id="1890" w:name="_Toc18868"/>
      <w:bookmarkStart w:id="1891" w:name="_Toc32402"/>
      <w:bookmarkStart w:id="1892" w:name="_Toc11440"/>
      <w:bookmarkStart w:id="1893" w:name="_Toc16150"/>
      <w:r>
        <w:rPr>
          <w:rFonts w:hint="default" w:ascii="Times New Roman" w:hAnsi="Times New Roman" w:eastAsia="方正楷体_GBK" w:cs="Times New Roman"/>
          <w:color w:val="auto"/>
          <w:sz w:val="32"/>
          <w:szCs w:val="32"/>
          <w:highlight w:val="none"/>
          <w:u w:val="none" w:color="auto"/>
          <w:lang w:val="en-US" w:eastAsia="zh-CN"/>
        </w:rPr>
        <w:t>第一节 全域构建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15分钟高品质生活服务圈</w:t>
      </w:r>
      <w:bookmarkEnd w:id="1882"/>
      <w:bookmarkEnd w:id="1883"/>
      <w:bookmarkEnd w:id="1884"/>
      <w:bookmarkEnd w:id="1885"/>
      <w:bookmarkEnd w:id="1886"/>
      <w:bookmarkEnd w:id="1887"/>
      <w:bookmarkEnd w:id="1888"/>
      <w:bookmarkEnd w:id="1889"/>
      <w:bookmarkEnd w:id="1890"/>
      <w:bookmarkEnd w:id="1891"/>
      <w:bookmarkEnd w:id="1892"/>
      <w:bookmarkEnd w:id="1893"/>
      <w:r>
        <w:rPr>
          <w:rFonts w:hint="eastAsia" w:ascii="Times New Roman" w:hAnsi="Times New Roman" w:eastAsia="方正仿宋_GBK" w:cs="方正仿宋_GBK"/>
          <w:color w:val="auto"/>
          <w:sz w:val="32"/>
          <w:szCs w:val="32"/>
          <w:highlight w:val="none"/>
          <w:u w:val="none" w:color="auto"/>
          <w:lang w:val="en-US" w:eastAsia="zh-CN"/>
        </w:rPr>
        <w:t>”</w:t>
      </w:r>
    </w:p>
    <w:p w14:paraId="40A97C9C">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24"/>
          <w:highlight w:val="none"/>
          <w:u w:val="none" w:color="auto"/>
        </w:rPr>
      </w:pPr>
      <w:r>
        <w:rPr>
          <w:rFonts w:hint="default" w:ascii="Times New Roman" w:hAnsi="Times New Roman" w:eastAsia="方正仿宋_GBK" w:cs="Times New Roman"/>
          <w:color w:val="auto"/>
          <w:sz w:val="32"/>
          <w:szCs w:val="24"/>
          <w:highlight w:val="none"/>
          <w:u w:val="none" w:color="auto"/>
        </w:rPr>
        <w:t>按照</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日常公共服务不出街道、基本生活服务不出社区</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原则，</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一圈多能</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推动全时域全龄段服务要素全</w:t>
      </w:r>
      <w:r>
        <w:rPr>
          <w:rFonts w:hint="default" w:ascii="Times New Roman" w:hAnsi="Times New Roman" w:eastAsia="方正仿宋_GBK" w:cs="Times New Roman"/>
          <w:color w:val="auto"/>
          <w:sz w:val="32"/>
          <w:szCs w:val="24"/>
          <w:highlight w:val="none"/>
          <w:u w:val="none" w:color="auto"/>
          <w:lang w:eastAsia="zh-CN"/>
        </w:rPr>
        <w:t>覆盖</w:t>
      </w:r>
      <w:r>
        <w:rPr>
          <w:rFonts w:hint="default" w:ascii="Times New Roman" w:hAnsi="Times New Roman" w:eastAsia="方正仿宋_GBK" w:cs="Times New Roman"/>
          <w:color w:val="auto"/>
          <w:sz w:val="32"/>
          <w:szCs w:val="24"/>
          <w:highlight w:val="none"/>
          <w:u w:val="none" w:color="auto"/>
        </w:rPr>
        <w:t>。</w:t>
      </w:r>
      <w:r>
        <w:rPr>
          <w:rFonts w:hint="default" w:ascii="Times New Roman" w:hAnsi="Times New Roman" w:eastAsia="方正仿宋_GBK" w:cs="Times New Roman"/>
          <w:color w:val="auto"/>
          <w:sz w:val="32"/>
          <w:szCs w:val="24"/>
          <w:highlight w:val="none"/>
          <w:u w:val="none" w:color="auto"/>
          <w:lang w:val="en-US" w:eastAsia="zh-CN"/>
        </w:rPr>
        <w:t>分类</w:t>
      </w:r>
      <w:r>
        <w:rPr>
          <w:rFonts w:hint="default" w:ascii="Times New Roman" w:hAnsi="Times New Roman" w:eastAsia="方正仿宋_GBK" w:cs="Times New Roman"/>
          <w:color w:val="auto"/>
          <w:sz w:val="32"/>
          <w:szCs w:val="24"/>
          <w:highlight w:val="none"/>
          <w:u w:val="none" w:color="auto"/>
        </w:rPr>
        <w:t>打造</w:t>
      </w:r>
      <w:r>
        <w:rPr>
          <w:rFonts w:hint="default" w:ascii="Times New Roman" w:hAnsi="Times New Roman" w:eastAsia="方正仿宋_GBK" w:cs="Times New Roman"/>
          <w:color w:val="auto"/>
          <w:sz w:val="32"/>
          <w:szCs w:val="24"/>
          <w:highlight w:val="none"/>
          <w:u w:val="none" w:color="auto"/>
          <w:lang w:val="en-US" w:eastAsia="zh-CN"/>
        </w:rPr>
        <w:t>儿</w:t>
      </w:r>
      <w:r>
        <w:rPr>
          <w:rFonts w:hint="default" w:ascii="Times New Roman" w:hAnsi="Times New Roman" w:eastAsia="方正仿宋_GBK" w:cs="Times New Roman"/>
          <w:color w:val="auto"/>
          <w:sz w:val="32"/>
          <w:szCs w:val="24"/>
          <w:highlight w:val="none"/>
          <w:u w:val="none" w:color="auto"/>
        </w:rPr>
        <w:t>童型、老龄型、就业型、文旅型等特色生活服务圈样板。</w:t>
      </w:r>
      <w:r>
        <w:rPr>
          <w:rFonts w:hint="default" w:ascii="Times New Roman" w:hAnsi="Times New Roman" w:eastAsia="方正仿宋_GBK" w:cs="Times New Roman"/>
          <w:color w:val="auto"/>
          <w:spacing w:val="0"/>
          <w:sz w:val="32"/>
          <w:szCs w:val="32"/>
          <w:highlight w:val="none"/>
          <w:u w:val="none" w:color="auto"/>
          <w:lang w:val="en-US" w:eastAsia="zh-CN"/>
        </w:rPr>
        <w:t>深化社区嵌入式服务综合体改革，</w:t>
      </w:r>
      <w:r>
        <w:rPr>
          <w:rFonts w:hint="default" w:ascii="Times New Roman" w:hAnsi="Times New Roman" w:eastAsia="方正仿宋_GBK" w:cs="Times New Roman"/>
          <w:color w:val="auto"/>
          <w:sz w:val="32"/>
          <w:szCs w:val="24"/>
          <w:highlight w:val="none"/>
          <w:u w:val="none" w:color="auto"/>
        </w:rPr>
        <w:t>坚持改扩新建并举，</w:t>
      </w:r>
      <w:r>
        <w:rPr>
          <w:rFonts w:hint="default" w:ascii="Times New Roman" w:hAnsi="Times New Roman" w:eastAsia="方正仿宋_GBK" w:cs="Times New Roman"/>
          <w:color w:val="auto"/>
          <w:sz w:val="32"/>
          <w:szCs w:val="24"/>
          <w:highlight w:val="none"/>
          <w:u w:val="none" w:color="auto"/>
          <w:lang w:val="en-US" w:eastAsia="zh-CN"/>
        </w:rPr>
        <w:t>推动</w:t>
      </w:r>
      <w:r>
        <w:rPr>
          <w:rFonts w:hint="default" w:ascii="Times New Roman" w:hAnsi="Times New Roman" w:eastAsia="方正仿宋_GBK" w:cs="Times New Roman"/>
          <w:color w:val="auto"/>
          <w:sz w:val="32"/>
          <w:szCs w:val="24"/>
          <w:highlight w:val="none"/>
          <w:u w:val="none" w:color="auto"/>
        </w:rPr>
        <w:t>服务圈建设与城市更新、老旧小区改造深度衔接，</w:t>
      </w:r>
      <w:r>
        <w:rPr>
          <w:rFonts w:hint="default" w:ascii="Times New Roman" w:hAnsi="Times New Roman" w:eastAsia="方正仿宋_GBK" w:cs="Times New Roman"/>
          <w:color w:val="auto"/>
          <w:sz w:val="32"/>
          <w:szCs w:val="24"/>
          <w:highlight w:val="none"/>
          <w:u w:val="none" w:color="auto"/>
          <w:lang w:val="en-US" w:eastAsia="zh-CN"/>
        </w:rPr>
        <w:t>利用</w:t>
      </w:r>
      <w:r>
        <w:rPr>
          <w:rFonts w:hint="default" w:ascii="Times New Roman" w:hAnsi="Times New Roman" w:eastAsia="方正仿宋_GBK" w:cs="Times New Roman"/>
          <w:color w:val="auto"/>
          <w:sz w:val="32"/>
          <w:szCs w:val="24"/>
          <w:highlight w:val="none"/>
          <w:u w:val="none" w:color="auto"/>
        </w:rPr>
        <w:t>社区边角用地、闲置房屋等存量资源，通过嵌入式服务、设施功能错时转换等</w:t>
      </w:r>
      <w:r>
        <w:rPr>
          <w:rFonts w:hint="default" w:ascii="Times New Roman" w:hAnsi="Times New Roman" w:eastAsia="方正仿宋_GBK" w:cs="Times New Roman"/>
          <w:color w:val="auto"/>
          <w:sz w:val="32"/>
          <w:szCs w:val="24"/>
          <w:highlight w:val="none"/>
          <w:u w:val="none" w:color="auto"/>
          <w:lang w:val="en-US" w:eastAsia="zh-CN"/>
        </w:rPr>
        <w:t>方式</w:t>
      </w:r>
      <w:r>
        <w:rPr>
          <w:rFonts w:hint="default" w:ascii="Times New Roman" w:hAnsi="Times New Roman" w:eastAsia="方正仿宋_GBK" w:cs="Times New Roman"/>
          <w:color w:val="auto"/>
          <w:spacing w:val="0"/>
          <w:sz w:val="32"/>
          <w:szCs w:val="32"/>
          <w:highlight w:val="none"/>
          <w:u w:val="none" w:color="auto"/>
          <w:lang w:val="en-US" w:eastAsia="zh-CN"/>
        </w:rPr>
        <w:t>建设社区综合服务体。全域建设新就业群体</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友好街区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打造业态多元、功能齐全、全龄适配的社区邻里中心</w:t>
      </w:r>
      <w:r>
        <w:rPr>
          <w:rFonts w:hint="default" w:ascii="Times New Roman" w:hAnsi="Times New Roman" w:eastAsia="方正仿宋_GBK" w:cs="Times New Roman"/>
          <w:color w:val="auto"/>
          <w:spacing w:val="0"/>
          <w:kern w:val="2"/>
          <w:sz w:val="32"/>
          <w:szCs w:val="32"/>
          <w:highlight w:val="none"/>
          <w:u w:val="none" w:color="auto"/>
          <w:lang w:val="en-US" w:eastAsia="zh-CN" w:bidi="ar-SA"/>
        </w:rPr>
        <w:t>，建成7个现代社区</w:t>
      </w:r>
      <w:r>
        <w:rPr>
          <w:rFonts w:hint="default"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探索未来城市建设，加快商圈、社区等城市微单元智能化改造升级，</w:t>
      </w:r>
      <w:r>
        <w:rPr>
          <w:rFonts w:hint="default" w:ascii="Times New Roman" w:hAnsi="Times New Roman" w:eastAsia="方正仿宋_GBK" w:cs="Times New Roman"/>
          <w:color w:val="auto"/>
          <w:spacing w:val="0"/>
          <w:sz w:val="32"/>
          <w:szCs w:val="32"/>
          <w:highlight w:val="none"/>
          <w:u w:val="none" w:color="auto"/>
          <w:lang w:val="en-US" w:eastAsia="zh-CN"/>
        </w:rPr>
        <w:t>优化</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高效办成一件事</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机制，构建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数智融合、便捷高效</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的智慧生活新场景。建立服务圈建设评估和动态调整机制，推动服务圈运营治理常态长效。全面深化事业单位改革。</w:t>
      </w:r>
    </w:p>
    <w:p w14:paraId="73EC16EB">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894" w:name="_Toc14575"/>
      <w:bookmarkStart w:id="1895" w:name="_Toc11702"/>
      <w:bookmarkStart w:id="1896" w:name="_Toc18459"/>
      <w:bookmarkStart w:id="1897" w:name="_Toc19659"/>
      <w:bookmarkStart w:id="1898" w:name="_Toc20618"/>
      <w:bookmarkStart w:id="1899" w:name="_Toc1713"/>
      <w:bookmarkStart w:id="1900" w:name="_Toc24536"/>
      <w:bookmarkStart w:id="1901" w:name="_Toc24469"/>
      <w:bookmarkStart w:id="1902" w:name="_Toc9756"/>
      <w:bookmarkStart w:id="1903" w:name="_Toc30351"/>
      <w:bookmarkStart w:id="1904" w:name="_Toc19960"/>
      <w:bookmarkStart w:id="1905" w:name="_Toc15673"/>
      <w:r>
        <w:rPr>
          <w:rFonts w:hint="default" w:ascii="Times New Roman" w:hAnsi="Times New Roman" w:eastAsia="方正楷体_GBK" w:cs="Times New Roman"/>
          <w:color w:val="auto"/>
          <w:sz w:val="32"/>
          <w:szCs w:val="32"/>
          <w:highlight w:val="none"/>
          <w:u w:val="none" w:color="auto"/>
          <w:lang w:val="en-US" w:eastAsia="zh-CN"/>
        </w:rPr>
        <w:t>第二节 深入推进基本公共服务标准化均等化</w:t>
      </w:r>
      <w:bookmarkEnd w:id="1894"/>
      <w:bookmarkEnd w:id="1895"/>
      <w:bookmarkEnd w:id="1896"/>
      <w:bookmarkEnd w:id="1897"/>
      <w:bookmarkEnd w:id="1898"/>
      <w:bookmarkEnd w:id="1899"/>
      <w:bookmarkEnd w:id="1900"/>
      <w:bookmarkEnd w:id="1901"/>
      <w:bookmarkEnd w:id="1902"/>
      <w:bookmarkEnd w:id="1903"/>
      <w:bookmarkEnd w:id="1904"/>
      <w:bookmarkEnd w:id="1905"/>
    </w:p>
    <w:p w14:paraId="14FC16C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建立涵盖基层治理、教育托育、健康养老、就业文化等多维度的公共服务目录。动态更新基本公共服务保障标准，推动涉及群众切实利益的增量服务事项纳入基本公共服务范围，逐步缩小人群基本公共服务差距。建立人口变化与公共服务联动机制，依托年度城市体检掌握人口流动趋势，动态调整教育、医疗等公共服务资源分配，切实做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公共服务资源配置随人走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，提升资源利用效能。</w:t>
      </w:r>
    </w:p>
    <w:p w14:paraId="269122E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1906" w:name="_Toc19434"/>
      <w:bookmarkStart w:id="1907" w:name="_Toc12690"/>
      <w:bookmarkStart w:id="1908" w:name="_Toc23340"/>
      <w:bookmarkStart w:id="1909" w:name="_Toc28387"/>
      <w:bookmarkStart w:id="1910" w:name="_Toc448"/>
      <w:bookmarkStart w:id="1911" w:name="_Toc7351"/>
      <w:bookmarkStart w:id="1912" w:name="_Toc10219"/>
      <w:bookmarkStart w:id="1913" w:name="_Toc1946"/>
      <w:bookmarkStart w:id="1914" w:name="_Toc13354"/>
      <w:bookmarkStart w:id="1915" w:name="_Toc4595"/>
      <w:bookmarkStart w:id="1916" w:name="_Toc7646"/>
      <w:bookmarkStart w:id="1917" w:name="_Toc1800"/>
      <w:r>
        <w:rPr>
          <w:rFonts w:hint="default" w:ascii="Times New Roman" w:hAnsi="Times New Roman" w:eastAsia="方正楷体_GBK" w:cs="Times New Roman"/>
          <w:color w:val="auto"/>
          <w:sz w:val="32"/>
          <w:szCs w:val="32"/>
          <w:highlight w:val="none"/>
          <w:u w:val="none" w:color="auto"/>
          <w:lang w:val="en-US" w:eastAsia="zh-CN"/>
        </w:rPr>
        <w:t>第三节 完善流动人群即时响应设施配置</w:t>
      </w:r>
      <w:bookmarkEnd w:id="1906"/>
      <w:bookmarkEnd w:id="1907"/>
      <w:bookmarkEnd w:id="1908"/>
      <w:bookmarkEnd w:id="1909"/>
      <w:bookmarkEnd w:id="1910"/>
      <w:bookmarkEnd w:id="1911"/>
      <w:bookmarkEnd w:id="1912"/>
      <w:bookmarkEnd w:id="1913"/>
      <w:bookmarkEnd w:id="1914"/>
      <w:bookmarkEnd w:id="1915"/>
      <w:bookmarkEnd w:id="1916"/>
      <w:bookmarkEnd w:id="1917"/>
    </w:p>
    <w:p w14:paraId="1892F587">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24"/>
          <w:highlight w:val="none"/>
          <w:u w:val="none" w:color="auto"/>
        </w:rPr>
        <w:t>聚焦</w:t>
      </w:r>
      <w:r>
        <w:rPr>
          <w:rFonts w:hint="default" w:ascii="Times New Roman" w:hAnsi="Times New Roman" w:eastAsia="方正仿宋_GBK" w:cs="Times New Roman"/>
          <w:color w:val="auto"/>
          <w:sz w:val="32"/>
          <w:szCs w:val="24"/>
          <w:highlight w:val="none"/>
          <w:u w:val="none" w:color="auto"/>
          <w:lang w:val="en-US" w:eastAsia="zh-CN"/>
        </w:rPr>
        <w:t>来区旅游、购物等</w:t>
      </w:r>
      <w:r>
        <w:rPr>
          <w:rFonts w:hint="default" w:ascii="Times New Roman" w:hAnsi="Times New Roman" w:eastAsia="方正仿宋_GBK" w:cs="Times New Roman"/>
          <w:color w:val="auto"/>
          <w:sz w:val="32"/>
          <w:szCs w:val="24"/>
          <w:highlight w:val="none"/>
          <w:u w:val="none" w:color="auto"/>
        </w:rPr>
        <w:t>流动人群服务需求，构建</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基础+特色</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多元供给体系，在洪崖洞、解放碑等</w:t>
      </w:r>
      <w:r>
        <w:rPr>
          <w:rFonts w:hint="default" w:ascii="Times New Roman" w:hAnsi="Times New Roman" w:eastAsia="方正仿宋_GBK" w:cs="Times New Roman"/>
          <w:color w:val="auto"/>
          <w:sz w:val="32"/>
          <w:szCs w:val="24"/>
          <w:highlight w:val="none"/>
          <w:u w:val="none" w:color="auto"/>
          <w:lang w:val="en-US" w:eastAsia="zh-CN"/>
        </w:rPr>
        <w:t>人群</w:t>
      </w:r>
      <w:r>
        <w:rPr>
          <w:rFonts w:hint="default" w:ascii="Times New Roman" w:hAnsi="Times New Roman" w:eastAsia="方正仿宋_GBK" w:cs="Times New Roman"/>
          <w:color w:val="auto"/>
          <w:sz w:val="32"/>
          <w:szCs w:val="24"/>
          <w:highlight w:val="none"/>
          <w:u w:val="none" w:color="auto"/>
        </w:rPr>
        <w:t>密集区域强化医疗急救、警务巡逻等</w:t>
      </w:r>
      <w:r>
        <w:rPr>
          <w:rFonts w:hint="default" w:ascii="Times New Roman" w:hAnsi="Times New Roman" w:eastAsia="方正仿宋_GBK" w:cs="Times New Roman"/>
          <w:color w:val="auto"/>
          <w:sz w:val="32"/>
          <w:szCs w:val="24"/>
          <w:highlight w:val="none"/>
          <w:u w:val="none" w:color="auto"/>
          <w:lang w:val="en-US" w:eastAsia="zh-CN"/>
        </w:rPr>
        <w:t>设施</w:t>
      </w:r>
      <w:r>
        <w:rPr>
          <w:rFonts w:hint="default" w:ascii="Times New Roman" w:hAnsi="Times New Roman" w:eastAsia="方正仿宋_GBK" w:cs="Times New Roman"/>
          <w:color w:val="auto"/>
          <w:sz w:val="32"/>
          <w:szCs w:val="24"/>
          <w:highlight w:val="none"/>
          <w:u w:val="none" w:color="auto"/>
        </w:rPr>
        <w:t>保障，提供方言导览、特色美食推荐、文体预约等特色服务，实现服务精准触达。</w:t>
      </w:r>
      <w:r>
        <w:rPr>
          <w:rFonts w:hint="default" w:ascii="Times New Roman" w:hAnsi="Times New Roman" w:eastAsia="方正仿宋_GBK" w:cs="Times New Roman"/>
          <w:color w:val="auto"/>
          <w:sz w:val="32"/>
          <w:szCs w:val="24"/>
          <w:highlight w:val="none"/>
          <w:u w:val="none" w:color="auto"/>
          <w:lang w:val="en-US" w:eastAsia="zh-CN"/>
        </w:rPr>
        <w:t>动态</w:t>
      </w:r>
      <w:r>
        <w:rPr>
          <w:rFonts w:hint="default" w:ascii="Times New Roman" w:hAnsi="Times New Roman" w:eastAsia="方正仿宋_GBK" w:cs="Times New Roman"/>
          <w:color w:val="auto"/>
          <w:sz w:val="32"/>
          <w:szCs w:val="24"/>
          <w:highlight w:val="none"/>
          <w:u w:val="none" w:color="auto"/>
        </w:rPr>
        <w:t>监测热门景点人流态势，及时发布应急提示，为资源调配提供数据支撑。组建党员志愿者、社区工作者为主的服务队伍，联动周边医院、消防部门</w:t>
      </w:r>
      <w:r>
        <w:rPr>
          <w:rFonts w:hint="default" w:ascii="Times New Roman" w:hAnsi="Times New Roman" w:eastAsia="方正仿宋_GBK" w:cs="Times New Roman"/>
          <w:color w:val="auto"/>
          <w:sz w:val="32"/>
          <w:szCs w:val="24"/>
          <w:highlight w:val="none"/>
          <w:u w:val="none" w:color="auto"/>
          <w:lang w:val="en-US" w:eastAsia="zh-CN"/>
        </w:rPr>
        <w:t>等</w:t>
      </w:r>
      <w:r>
        <w:rPr>
          <w:rFonts w:hint="default" w:ascii="Times New Roman" w:hAnsi="Times New Roman" w:eastAsia="方正仿宋_GBK" w:cs="Times New Roman"/>
          <w:color w:val="auto"/>
          <w:sz w:val="32"/>
          <w:szCs w:val="24"/>
          <w:highlight w:val="none"/>
          <w:u w:val="none" w:color="auto"/>
        </w:rPr>
        <w:t>，筑牢应急处置防线。优化节假日交通接驳，增设</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假日快巴</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小巷公交</w:t>
      </w:r>
      <w:r>
        <w:rPr>
          <w:rFonts w:hint="eastAsia" w:ascii="Times New Roman" w:hAnsi="Times New Roman" w:eastAsia="方正仿宋_GBK" w:cs="方正仿宋_GBK"/>
          <w:color w:val="auto"/>
          <w:sz w:val="32"/>
          <w:szCs w:val="24"/>
          <w:highlight w:val="none"/>
          <w:u w:val="none" w:color="auto"/>
          <w:lang w:eastAsia="zh-CN"/>
        </w:rPr>
        <w:t>”</w:t>
      </w:r>
      <w:r>
        <w:rPr>
          <w:rFonts w:hint="default" w:ascii="Times New Roman" w:hAnsi="Times New Roman" w:eastAsia="方正仿宋_GBK" w:cs="Times New Roman"/>
          <w:color w:val="auto"/>
          <w:sz w:val="32"/>
          <w:szCs w:val="24"/>
          <w:highlight w:val="none"/>
          <w:u w:val="none" w:color="auto"/>
        </w:rPr>
        <w:t>及临时交通站点，在核心景区布设智慧导览系统、模块化临时厕所</w:t>
      </w:r>
      <w:r>
        <w:rPr>
          <w:rFonts w:hint="default" w:ascii="Times New Roman" w:hAnsi="Times New Roman" w:eastAsia="方正仿宋_GBK" w:cs="Times New Roman"/>
          <w:color w:val="auto"/>
          <w:sz w:val="32"/>
          <w:szCs w:val="24"/>
          <w:highlight w:val="none"/>
          <w:u w:val="none" w:color="auto"/>
          <w:lang w:val="en-US" w:eastAsia="zh-CN"/>
        </w:rPr>
        <w:t>等</w:t>
      </w:r>
      <w:r>
        <w:rPr>
          <w:rFonts w:hint="default" w:ascii="Times New Roman" w:hAnsi="Times New Roman" w:eastAsia="方正仿宋_GBK" w:cs="Times New Roman"/>
          <w:color w:val="auto"/>
          <w:sz w:val="32"/>
          <w:szCs w:val="24"/>
          <w:highlight w:val="none"/>
          <w:u w:val="none" w:color="auto"/>
        </w:rPr>
        <w:t>，全面提升流动人群服务响应效能。</w:t>
      </w:r>
    </w:p>
    <w:bookmarkEnd w:id="1589"/>
    <w:bookmarkEnd w:id="1603"/>
    <w:bookmarkEnd w:id="1875"/>
    <w:p w14:paraId="5ADA51CB">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bookmarkStart w:id="1918" w:name="_Toc13042"/>
      <w:r>
        <w:rPr>
          <w:rFonts w:hint="default" w:ascii="Times New Roman" w:hAnsi="Times New Roman" w:eastAsia="方正黑体_GBK" w:cs="Times New Roman"/>
          <w:color w:val="auto"/>
          <w:sz w:val="28"/>
          <w:szCs w:val="28"/>
          <w:highlight w:val="none"/>
          <w:u w:val="none" w:color="auto"/>
          <w:lang w:val="en-US" w:eastAsia="zh-CN"/>
        </w:rPr>
        <w:t>专栏14  民生保障重点项目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7E1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2" w:hRule="atLeast"/>
          <w:jc w:val="center"/>
        </w:trPr>
        <w:tc>
          <w:tcPr>
            <w:tcW w:w="8522" w:type="dxa"/>
          </w:tcPr>
          <w:p w14:paraId="735FC901">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1.促就业扩增收。</w:t>
            </w:r>
            <w:r>
              <w:rPr>
                <w:rFonts w:hint="default" w:ascii="Times New Roman" w:hAnsi="Times New Roman" w:eastAsia="方正仿宋_GBK" w:cs="Times New Roman"/>
                <w:color w:val="auto"/>
                <w:sz w:val="24"/>
                <w:szCs w:val="24"/>
                <w:highlight w:val="none"/>
                <w:u w:val="none" w:color="auto"/>
                <w:vertAlign w:val="baseline"/>
                <w:lang w:val="en-US" w:eastAsia="zh-CN"/>
              </w:rPr>
              <w:t>社保大厅改造、就业服务网点建设。</w:t>
            </w:r>
          </w:p>
          <w:p w14:paraId="45603D56">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2.教育强区。</w:t>
            </w:r>
            <w:r>
              <w:rPr>
                <w:rFonts w:hint="default" w:ascii="Times New Roman" w:hAnsi="Times New Roman" w:eastAsia="方正仿宋_GBK" w:cs="Times New Roman"/>
                <w:color w:val="auto"/>
                <w:sz w:val="24"/>
                <w:szCs w:val="24"/>
                <w:highlight w:val="none"/>
                <w:u w:val="none" w:color="auto"/>
                <w:vertAlign w:val="baseline"/>
                <w:lang w:val="en-US" w:eastAsia="zh-CN"/>
              </w:rPr>
              <w:t>解放小学改扩建、六十六中改扩建、卡福厂地块小学新建、交通大学地块小学新建等项目。</w:t>
            </w:r>
          </w:p>
          <w:p w14:paraId="09649F1F">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3.健康渝中。</w:t>
            </w:r>
            <w:r>
              <w:rPr>
                <w:rFonts w:hint="default" w:ascii="Times New Roman" w:hAnsi="Times New Roman" w:eastAsia="方正仿宋_GBK" w:cs="Times New Roman"/>
                <w:color w:val="auto"/>
                <w:sz w:val="24"/>
                <w:szCs w:val="24"/>
                <w:highlight w:val="none"/>
                <w:u w:val="none" w:color="auto"/>
                <w:vertAlign w:val="baseline"/>
                <w:lang w:val="en-US" w:eastAsia="zh-CN"/>
              </w:rPr>
              <w:t>渝中区中医药科技成果转化中心建设、渝中区区域医共体医疗服务能力提升、渝中区疾病预防控制中心基础设施达标及能力提升、渝中区人民医院化龙桥院区二期工程建设等卫生项目；大田湾体育场综合赛事演艺中心、珊瑚坝户外运动基地、虎头岩片区全民健身中心、印象城体育公园等体育项目。</w:t>
            </w:r>
          </w:p>
          <w:p w14:paraId="26BA7DFD">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4.儿童友好。</w:t>
            </w:r>
            <w:r>
              <w:rPr>
                <w:rFonts w:hint="default" w:ascii="Times New Roman" w:hAnsi="Times New Roman" w:eastAsia="方正仿宋_GBK" w:cs="Times New Roman"/>
                <w:color w:val="auto"/>
                <w:sz w:val="24"/>
                <w:szCs w:val="24"/>
                <w:highlight w:val="none"/>
                <w:u w:val="none" w:color="auto"/>
                <w:vertAlign w:val="baseline"/>
                <w:lang w:val="en-US" w:eastAsia="zh-CN"/>
              </w:rPr>
              <w:t>建成渝中区托育综合服务中心、10个社区托育点。</w:t>
            </w:r>
          </w:p>
          <w:p w14:paraId="54FEA418">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5.青年发展。</w:t>
            </w:r>
            <w:r>
              <w:rPr>
                <w:rFonts w:hint="default" w:ascii="Times New Roman" w:hAnsi="Times New Roman" w:eastAsia="方正仿宋_GBK" w:cs="Times New Roman"/>
                <w:color w:val="auto"/>
                <w:sz w:val="24"/>
                <w:szCs w:val="24"/>
                <w:highlight w:val="none"/>
                <w:u w:val="none" w:color="auto"/>
                <w:vertAlign w:val="baseline"/>
                <w:lang w:val="en-US" w:eastAsia="zh-CN"/>
              </w:rPr>
              <w:t>实施</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渝中半岛浪漫之城</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项目，包括</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浪漫公交</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打卡线路、</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云端上的浪漫</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、180平台</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情侣路</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、婚恋主题公园等；打造</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周末不落单</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多个朋友</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青春福利社</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等青年轻社交品牌项目。</w:t>
            </w:r>
          </w:p>
          <w:p w14:paraId="3950B34E">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6.银龄关怀。</w:t>
            </w:r>
            <w:r>
              <w:rPr>
                <w:rFonts w:hint="default" w:ascii="Times New Roman" w:hAnsi="Times New Roman" w:eastAsia="方正仿宋_GBK" w:cs="Times New Roman"/>
                <w:color w:val="auto"/>
                <w:sz w:val="24"/>
                <w:szCs w:val="24"/>
                <w:highlight w:val="none"/>
                <w:u w:val="none" w:color="auto"/>
                <w:vertAlign w:val="baseline"/>
                <w:lang w:val="en-US" w:eastAsia="zh-CN"/>
              </w:rPr>
              <w:t>渝中区福利院改造升级、社区养老服务站改造升级等项目。</w:t>
            </w:r>
          </w:p>
          <w:p w14:paraId="346551B9">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7.住有所居。</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高端人才公寓</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配售型人才住房</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蓝领公寓</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等保障性租赁住房建设。</w:t>
            </w:r>
          </w:p>
          <w:p w14:paraId="6AC1A6DC">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8.重点人群关爱项目。</w:t>
            </w:r>
            <w:r>
              <w:rPr>
                <w:rFonts w:hint="default" w:ascii="Times New Roman" w:hAnsi="Times New Roman" w:eastAsia="方正仿宋_GBK" w:cs="Times New Roman"/>
                <w:color w:val="auto"/>
                <w:sz w:val="24"/>
                <w:szCs w:val="24"/>
                <w:highlight w:val="none"/>
                <w:u w:val="none" w:color="auto"/>
                <w:vertAlign w:val="baseline"/>
                <w:lang w:val="en-US" w:eastAsia="zh-CN"/>
              </w:rPr>
              <w:t>渝中区军休干部日间照料中心、渝中区精神卫生中心能力提升、渝中区康复中心建设、渝中区残疾人托养（康复）中心建设等项目。</w:t>
            </w:r>
          </w:p>
        </w:tc>
      </w:tr>
    </w:tbl>
    <w:p w14:paraId="04485F16">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1919" w:name="_Toc6342"/>
      <w:bookmarkStart w:id="1920" w:name="_Toc3207"/>
      <w:bookmarkStart w:id="1921" w:name="_Toc21298"/>
      <w:bookmarkStart w:id="1922" w:name="_Toc29234"/>
      <w:bookmarkStart w:id="1923" w:name="_Toc13617"/>
      <w:bookmarkStart w:id="1924" w:name="_Toc31159"/>
      <w:bookmarkStart w:id="1925" w:name="_Toc3906"/>
      <w:bookmarkStart w:id="1926" w:name="_Toc14396"/>
      <w:bookmarkStart w:id="1927" w:name="_Toc4739"/>
      <w:bookmarkStart w:id="1928" w:name="_Toc4127"/>
      <w:bookmarkStart w:id="1929" w:name="_Toc604"/>
      <w:bookmarkStart w:id="1930" w:name="_Toc760"/>
      <w:r>
        <w:rPr>
          <w:rFonts w:hint="default" w:ascii="Times New Roman" w:hAnsi="Times New Roman" w:eastAsia="方正黑体_GBK" w:cs="Times New Roman"/>
          <w:b w:val="0"/>
          <w:bCs w:val="0"/>
          <w:color w:val="auto"/>
          <w:kern w:val="44"/>
          <w:sz w:val="32"/>
          <w:szCs w:val="32"/>
          <w:highlight w:val="none"/>
          <w:u w:val="none" w:color="auto"/>
          <w:lang w:val="en-US" w:eastAsia="zh-CN"/>
        </w:rPr>
        <w:t xml:space="preserve">第十二篇 </w:t>
      </w:r>
      <w:bookmarkEnd w:id="1918"/>
      <w:r>
        <w:rPr>
          <w:rFonts w:hint="default" w:ascii="Times New Roman" w:hAnsi="Times New Roman" w:eastAsia="方正黑体_GBK" w:cs="Times New Roman"/>
          <w:b w:val="0"/>
          <w:bCs w:val="0"/>
          <w:color w:val="auto"/>
          <w:kern w:val="44"/>
          <w:sz w:val="32"/>
          <w:szCs w:val="32"/>
          <w:highlight w:val="none"/>
          <w:u w:val="none" w:color="auto"/>
          <w:lang w:val="en-US" w:eastAsia="zh-CN"/>
        </w:rPr>
        <w:t>加快绿色低碳转型发展 着力建设美丽渝中</w:t>
      </w:r>
      <w:bookmarkEnd w:id="1919"/>
      <w:bookmarkEnd w:id="1920"/>
      <w:bookmarkEnd w:id="1921"/>
      <w:bookmarkEnd w:id="1922"/>
      <w:bookmarkEnd w:id="1923"/>
      <w:bookmarkEnd w:id="1924"/>
      <w:bookmarkEnd w:id="1925"/>
      <w:bookmarkEnd w:id="1926"/>
      <w:bookmarkEnd w:id="1927"/>
      <w:bookmarkEnd w:id="1928"/>
      <w:bookmarkEnd w:id="1929"/>
      <w:bookmarkEnd w:id="1930"/>
    </w:p>
    <w:p w14:paraId="157E8E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p>
    <w:p w14:paraId="6FE4DA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牢固树立和践行绿水青山就是金山银山理念，坚定不移走生态优先、绿色发展之路，以2030年实现碳达峰为牵引，协同推进降碳、减污、扩绿、增长，筑牢长江上游重要生态屏障，系统塑造有机融合的整体大美格局。</w:t>
      </w:r>
    </w:p>
    <w:p w14:paraId="400C717C">
      <w:pPr>
        <w:keepNext w:val="0"/>
        <w:keepLines w:val="0"/>
        <w:pageBreakBefore w:val="0"/>
        <w:kinsoku/>
        <w:wordWrap/>
        <w:topLinePunct w:val="0"/>
        <w:autoSpaceDE/>
        <w:autoSpaceDN/>
        <w:bidi w:val="0"/>
        <w:spacing w:line="600" w:lineRule="exact"/>
        <w:jc w:val="center"/>
        <w:outlineLvl w:val="1"/>
        <w:rPr>
          <w:rFonts w:hint="default" w:ascii="Times New Roman" w:hAnsi="Times New Roman" w:eastAsia="方正黑体_GBK" w:cs="Times New Roman"/>
          <w:color w:val="auto"/>
          <w:kern w:val="2"/>
          <w:sz w:val="32"/>
          <w:szCs w:val="32"/>
          <w:highlight w:val="none"/>
          <w:u w:val="none" w:color="auto"/>
          <w:lang w:val="en-US" w:eastAsia="zh-CN" w:bidi="ar-SA"/>
        </w:rPr>
      </w:pPr>
      <w:bookmarkStart w:id="1931" w:name="_Toc29984"/>
      <w:bookmarkStart w:id="1932" w:name="_Toc1945"/>
      <w:bookmarkStart w:id="1933" w:name="_Toc28525"/>
      <w:bookmarkStart w:id="1934" w:name="_Toc16336"/>
      <w:bookmarkStart w:id="1935" w:name="_Toc8143"/>
      <w:bookmarkStart w:id="1936" w:name="_Toc29327"/>
      <w:bookmarkStart w:id="1937" w:name="_Toc864"/>
      <w:bookmarkStart w:id="1938" w:name="_Toc22274"/>
      <w:bookmarkStart w:id="1939" w:name="_Toc21692"/>
      <w:bookmarkStart w:id="1940" w:name="_Toc21622"/>
      <w:bookmarkStart w:id="1941" w:name="_Toc23585"/>
      <w:bookmarkStart w:id="1942" w:name="_Toc12451"/>
      <w:bookmarkStart w:id="1943" w:name="_Toc8948"/>
      <w:bookmarkStart w:id="1944" w:name="_Toc23589"/>
      <w:r>
        <w:rPr>
          <w:rFonts w:hint="default" w:ascii="Times New Roman" w:hAnsi="Times New Roman" w:eastAsia="方正黑体_GBK" w:cs="Times New Roman"/>
          <w:color w:val="auto"/>
          <w:kern w:val="2"/>
          <w:sz w:val="32"/>
          <w:szCs w:val="32"/>
          <w:highlight w:val="none"/>
          <w:u w:val="none" w:color="auto"/>
          <w:lang w:val="en-US" w:eastAsia="zh-CN" w:bidi="ar-SA"/>
        </w:rPr>
        <w:t xml:space="preserve">第四十八章 </w:t>
      </w:r>
      <w:r>
        <w:rPr>
          <w:rFonts w:hint="default" w:ascii="Times New Roman" w:hAnsi="Times New Roman" w:eastAsia="方正黑体_GBK" w:cs="Times New Roman"/>
          <w:color w:val="auto"/>
          <w:sz w:val="32"/>
          <w:szCs w:val="32"/>
          <w:highlight w:val="none"/>
          <w:u w:val="none" w:color="auto"/>
        </w:rPr>
        <w:t>坚持</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双碳</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引领推动全面绿色转型</w:t>
      </w:r>
      <w:bookmarkEnd w:id="1931"/>
      <w:bookmarkEnd w:id="1932"/>
      <w:bookmarkEnd w:id="1933"/>
    </w:p>
    <w:p w14:paraId="7C78A7F6">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spacing w:val="-6"/>
          <w:kern w:val="2"/>
          <w:sz w:val="32"/>
          <w:szCs w:val="32"/>
          <w:highlight w:val="none"/>
          <w:u w:val="none" w:color="auto"/>
          <w:lang w:val="en-US" w:eastAsia="zh-CN" w:bidi="ar-SA"/>
        </w:rPr>
      </w:pPr>
      <w:r>
        <w:rPr>
          <w:rFonts w:hint="default" w:ascii="Times New Roman" w:hAnsi="Times New Roman" w:eastAsia="方正仿宋_GBK" w:cs="Times New Roman"/>
          <w:color w:val="auto"/>
          <w:sz w:val="32"/>
          <w:szCs w:val="32"/>
          <w:highlight w:val="none"/>
          <w:u w:val="none" w:color="auto"/>
        </w:rPr>
        <w:t>积极稳妥推进碳达峰碳中和</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kern w:val="2"/>
          <w:sz w:val="32"/>
          <w:szCs w:val="32"/>
          <w:highlight w:val="none"/>
          <w:u w:val="none" w:color="auto"/>
          <w:lang w:val="en-US" w:eastAsia="zh-CN" w:bidi="ar-SA"/>
        </w:rPr>
        <w:t>把绿色低碳作为解决生态环境问题的治本之策，全面落实</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以强度控制为主、总量控制为辅</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spacing w:val="-6"/>
          <w:kern w:val="2"/>
          <w:sz w:val="32"/>
          <w:szCs w:val="32"/>
          <w:highlight w:val="none"/>
          <w:u w:val="none" w:color="auto"/>
          <w:lang w:val="en-US" w:eastAsia="zh-CN" w:bidi="ar-SA"/>
        </w:rPr>
        <w:t>的碳排放双控制度，加快形成节约资源和保护环境的生产生活方式。</w:t>
      </w:r>
    </w:p>
    <w:p w14:paraId="065BE99A">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945" w:name="_Toc24205"/>
      <w:bookmarkStart w:id="1946" w:name="_Toc24239"/>
      <w:bookmarkStart w:id="1947" w:name="_Toc6773"/>
      <w:r>
        <w:rPr>
          <w:rFonts w:hint="default" w:ascii="Times New Roman" w:hAnsi="Times New Roman" w:eastAsia="方正楷体_GBK" w:cs="Times New Roman"/>
          <w:b w:val="0"/>
          <w:bCs w:val="0"/>
          <w:color w:val="auto"/>
          <w:sz w:val="32"/>
          <w:szCs w:val="32"/>
          <w:highlight w:val="none"/>
          <w:u w:val="none" w:color="auto"/>
          <w:lang w:val="en-US" w:eastAsia="zh-CN"/>
        </w:rPr>
        <w:fldChar w:fldCharType="begin"/>
      </w:r>
      <w:r>
        <w:rPr>
          <w:rFonts w:hint="default" w:ascii="Times New Roman" w:hAnsi="Times New Roman" w:eastAsia="方正楷体_GBK" w:cs="Times New Roman"/>
          <w:b w:val="0"/>
          <w:bCs w:val="0"/>
          <w:color w:val="auto"/>
          <w:sz w:val="32"/>
          <w:szCs w:val="32"/>
          <w:highlight w:val="none"/>
          <w:u w:val="none" w:color="auto"/>
          <w:lang w:val="en-US" w:eastAsia="zh-CN"/>
        </w:rPr>
        <w:instrText xml:space="preserve"> HYPERLINK \l _Toc3064 </w:instrTex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separate"/>
      </w:r>
      <w:r>
        <w:rPr>
          <w:rFonts w:hint="default" w:ascii="Times New Roman" w:hAnsi="Times New Roman" w:eastAsia="方正楷体_GBK" w:cs="Times New Roman"/>
          <w:b w:val="0"/>
          <w:bCs w:val="0"/>
          <w:color w:val="auto"/>
          <w:sz w:val="32"/>
          <w:szCs w:val="32"/>
          <w:highlight w:val="none"/>
          <w:u w:val="none" w:color="auto"/>
          <w:lang w:val="en-US" w:eastAsia="zh-CN"/>
        </w:rPr>
        <w:t xml:space="preserve">第一节 </w: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end"/>
      </w:r>
      <w:r>
        <w:rPr>
          <w:rFonts w:hint="default" w:ascii="Times New Roman" w:hAnsi="Times New Roman" w:eastAsia="方正楷体_GBK" w:cs="Times New Roman"/>
          <w:b w:val="0"/>
          <w:bCs w:val="0"/>
          <w:color w:val="auto"/>
          <w:sz w:val="32"/>
          <w:szCs w:val="32"/>
          <w:highlight w:val="none"/>
          <w:u w:val="none" w:color="auto"/>
          <w:lang w:val="en-US" w:eastAsia="zh-CN"/>
        </w:rPr>
        <w:t>完善碳排放双控机制</w:t>
      </w:r>
      <w:bookmarkEnd w:id="1945"/>
      <w:bookmarkEnd w:id="1946"/>
      <w:bookmarkEnd w:id="1947"/>
    </w:p>
    <w:p w14:paraId="5DEB06F1">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cs="Times New Roman"/>
          <w:color w:val="auto"/>
          <w:highlight w:val="none"/>
          <w:u w:val="none" w:color="auto"/>
          <w:lang w:val="en-US"/>
        </w:rPr>
      </w:pPr>
      <w:r>
        <w:rPr>
          <w:rFonts w:hint="default" w:ascii="Times New Roman" w:hAnsi="Times New Roman" w:eastAsia="方正仿宋_GBK" w:cs="Times New Roman"/>
          <w:color w:val="auto"/>
          <w:kern w:val="2"/>
          <w:sz w:val="32"/>
          <w:szCs w:val="32"/>
          <w:highlight w:val="none"/>
          <w:u w:val="none" w:color="auto"/>
          <w:lang w:val="en-US" w:eastAsia="zh-CN" w:bidi="ar-SA"/>
        </w:rPr>
        <w:t>积极开展行业碳管控、企业碳管理、项目碳评价、产品碳足迹等工作，单位地区生产总值二氧化碳排放降低完成市级下达目标。积极参与温室气体自愿减排交易。深入开展重点用能单位碳排放效能管理，推动碳排放要素向优质项目、企业、产业等集聚。探索构建区级</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双碳</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智慧云平台，提升碳排放统计、监测与预警能力。全力创建碳达峰试点城市。</w:t>
      </w:r>
      <w:r>
        <w:rPr>
          <w:rFonts w:hint="default" w:ascii="Times New Roman" w:hAnsi="Times New Roman" w:eastAsia="方正仿宋_GBK" w:cs="Times New Roman"/>
          <w:color w:val="auto"/>
          <w:spacing w:val="0"/>
          <w:sz w:val="32"/>
          <w:szCs w:val="32"/>
          <w:highlight w:val="none"/>
          <w:u w:val="none" w:color="auto"/>
          <w:lang w:val="en-US" w:eastAsia="zh-CN"/>
        </w:rPr>
        <w:t>落实促进绿色低碳发展的财税、金融、价格、投资、科技、环保政策。</w:t>
      </w:r>
      <w:r>
        <w:rPr>
          <w:rFonts w:hint="default" w:ascii="Times New Roman" w:hAnsi="Times New Roman" w:eastAsia="方正仿宋_GBK" w:cs="Times New Roman"/>
          <w:color w:val="auto"/>
          <w:kern w:val="2"/>
          <w:sz w:val="32"/>
          <w:szCs w:val="32"/>
          <w:highlight w:val="none"/>
          <w:u w:val="none" w:color="auto"/>
          <w:lang w:val="en-US" w:eastAsia="zh-CN" w:bidi="ar-SA"/>
        </w:rPr>
        <w:t>健全中央生态环境保护督察整改长效机制。</w:t>
      </w:r>
    </w:p>
    <w:p w14:paraId="551D6D0D">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948" w:name="_Toc17702"/>
      <w:bookmarkStart w:id="1949" w:name="_Toc17973"/>
      <w:bookmarkStart w:id="1950" w:name="_Toc26669"/>
      <w:r>
        <w:rPr>
          <w:rFonts w:hint="default" w:ascii="Times New Roman" w:hAnsi="Times New Roman" w:eastAsia="方正楷体_GBK" w:cs="Times New Roman"/>
          <w:b w:val="0"/>
          <w:bCs w:val="0"/>
          <w:color w:val="auto"/>
          <w:sz w:val="32"/>
          <w:szCs w:val="32"/>
          <w:highlight w:val="none"/>
          <w:u w:val="none" w:color="auto"/>
          <w:lang w:val="en-US" w:eastAsia="zh-CN"/>
        </w:rPr>
        <w:t>第二节 构建现代化的绿色低碳产业体系</w:t>
      </w:r>
      <w:bookmarkEnd w:id="1948"/>
      <w:bookmarkEnd w:id="1949"/>
      <w:bookmarkEnd w:id="1950"/>
    </w:p>
    <w:p w14:paraId="291B812B">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严格落实生态环境分区管控，严禁</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两高一低</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项目落户渝中。推广合同能源管理、合同节水管理、环境污染等第三方治理模式和环境托管服务，着力引育综合能源服务、ESG综合服务、碳生产管理等绿色低碳新业态。建设零碳产业园区、楼宇。建立全区统一的绿色项目库，优先支持绿色建筑、绿色交通、绿色码头等项目建设。稳妥有序开展碳基金、碳资产质押贷款、碳保险等金融服务，推动</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碳资产托管</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试点建设，出台绿色技术创新基金支持政策。在文旅、餐饮等行业试点</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绿码支付</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w:t>
      </w:r>
      <w:r>
        <w:rPr>
          <w:rFonts w:hint="default" w:ascii="Times New Roman" w:hAnsi="Times New Roman" w:eastAsia="方正仿宋_GBK" w:cs="Times New Roman"/>
          <w:strike w:val="0"/>
          <w:dstrike w:val="0"/>
          <w:color w:val="auto"/>
          <w:kern w:val="2"/>
          <w:sz w:val="32"/>
          <w:szCs w:val="32"/>
          <w:highlight w:val="none"/>
          <w:u w:val="none" w:color="auto"/>
          <w:lang w:val="en-US" w:eastAsia="zh-CN" w:bidi="ar-SA"/>
        </w:rPr>
        <w:t>大力发展循环经济，支持利用数智技术建立健全废旧物资回收网络体系，</w:t>
      </w:r>
      <w:r>
        <w:rPr>
          <w:rFonts w:hint="default" w:ascii="Times New Roman" w:hAnsi="Times New Roman" w:eastAsia="方正仿宋_GBK" w:cs="Times New Roman"/>
          <w:strike w:val="0"/>
          <w:dstrike w:val="0"/>
          <w:color w:val="auto"/>
          <w:sz w:val="32"/>
          <w:szCs w:val="32"/>
          <w:highlight w:val="none"/>
          <w:u w:val="none" w:color="auto"/>
          <w:lang w:val="en-US" w:eastAsia="zh-CN"/>
        </w:rPr>
        <w:t>培育骨干回收企业2家以上</w:t>
      </w:r>
      <w:r>
        <w:rPr>
          <w:rFonts w:hint="default" w:ascii="Times New Roman" w:hAnsi="Times New Roman" w:eastAsia="方正仿宋_GBK" w:cs="Times New Roman"/>
          <w:strike w:val="0"/>
          <w:dstrike w:val="0"/>
          <w:color w:val="auto"/>
          <w:kern w:val="2"/>
          <w:sz w:val="32"/>
          <w:szCs w:val="32"/>
          <w:highlight w:val="none"/>
          <w:u w:val="none" w:color="auto"/>
          <w:lang w:val="en-US" w:eastAsia="zh-CN" w:bidi="ar-SA"/>
        </w:rPr>
        <w:t>。</w:t>
      </w:r>
    </w:p>
    <w:p w14:paraId="34478AC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951" w:name="_Toc25775"/>
      <w:bookmarkStart w:id="1952" w:name="_Toc29473"/>
      <w:bookmarkStart w:id="1953" w:name="_Toc29362"/>
      <w:r>
        <w:rPr>
          <w:rFonts w:hint="default" w:ascii="Times New Roman" w:hAnsi="Times New Roman" w:eastAsia="方正楷体_GBK" w:cs="Times New Roman"/>
          <w:b w:val="0"/>
          <w:bCs w:val="0"/>
          <w:color w:val="auto"/>
          <w:sz w:val="32"/>
          <w:szCs w:val="32"/>
          <w:highlight w:val="none"/>
          <w:u w:val="none" w:color="auto"/>
          <w:lang w:val="en-US" w:eastAsia="zh-CN"/>
        </w:rPr>
        <w:fldChar w:fldCharType="begin"/>
      </w:r>
      <w:r>
        <w:rPr>
          <w:rFonts w:hint="default" w:ascii="Times New Roman" w:hAnsi="Times New Roman" w:eastAsia="方正楷体_GBK" w:cs="Times New Roman"/>
          <w:b w:val="0"/>
          <w:bCs w:val="0"/>
          <w:color w:val="auto"/>
          <w:sz w:val="32"/>
          <w:szCs w:val="32"/>
          <w:highlight w:val="none"/>
          <w:u w:val="none" w:color="auto"/>
          <w:lang w:val="en-US" w:eastAsia="zh-CN"/>
        </w:rPr>
        <w:instrText xml:space="preserve"> HYPERLINK \l _Toc22629 </w:instrTex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separate"/>
      </w:r>
      <w:r>
        <w:rPr>
          <w:rFonts w:hint="default" w:ascii="Times New Roman" w:hAnsi="Times New Roman" w:eastAsia="方正楷体_GBK" w:cs="Times New Roman"/>
          <w:b w:val="0"/>
          <w:bCs w:val="0"/>
          <w:color w:val="auto"/>
          <w:sz w:val="32"/>
          <w:szCs w:val="32"/>
          <w:highlight w:val="none"/>
          <w:u w:val="none" w:color="auto"/>
          <w:lang w:val="en-US" w:eastAsia="zh-CN"/>
        </w:rPr>
        <w:t>第三节 践行绿色低碳生活</w:t>
      </w:r>
      <w:r>
        <w:rPr>
          <w:rFonts w:hint="default" w:ascii="Times New Roman" w:hAnsi="Times New Roman" w:eastAsia="方正楷体_GBK" w:cs="Times New Roman"/>
          <w:b w:val="0"/>
          <w:bCs w:val="0"/>
          <w:color w:val="auto"/>
          <w:sz w:val="32"/>
          <w:szCs w:val="32"/>
          <w:highlight w:val="none"/>
          <w:u w:val="none" w:color="auto"/>
          <w:lang w:val="en-US" w:eastAsia="zh-CN"/>
        </w:rPr>
        <w:fldChar w:fldCharType="end"/>
      </w:r>
      <w:r>
        <w:rPr>
          <w:rFonts w:hint="default" w:ascii="Times New Roman" w:hAnsi="Times New Roman" w:eastAsia="方正楷体_GBK" w:cs="Times New Roman"/>
          <w:b w:val="0"/>
          <w:bCs w:val="0"/>
          <w:color w:val="auto"/>
          <w:sz w:val="32"/>
          <w:szCs w:val="32"/>
          <w:highlight w:val="none"/>
          <w:u w:val="none" w:color="auto"/>
          <w:lang w:val="en-US" w:eastAsia="zh-CN"/>
        </w:rPr>
        <w:t>方式</w:t>
      </w:r>
      <w:bookmarkEnd w:id="1951"/>
      <w:bookmarkEnd w:id="1952"/>
      <w:bookmarkEnd w:id="1953"/>
    </w:p>
    <w:p w14:paraId="14B30D7A">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cs="Times New Roman"/>
          <w:color w:val="auto"/>
          <w:highlight w:val="none"/>
          <w:u w:val="none" w:color="auto"/>
          <w:lang w:val="en-US"/>
        </w:rPr>
      </w:pPr>
      <w:r>
        <w:rPr>
          <w:rFonts w:hint="default" w:ascii="Times New Roman" w:hAnsi="Times New Roman" w:eastAsia="方正仿宋_GBK" w:cs="Times New Roman"/>
          <w:color w:val="auto"/>
          <w:kern w:val="2"/>
          <w:sz w:val="32"/>
          <w:szCs w:val="32"/>
          <w:highlight w:val="none"/>
          <w:u w:val="none" w:color="auto"/>
          <w:lang w:val="en-US" w:eastAsia="zh-CN" w:bidi="ar-SA"/>
        </w:rPr>
        <w:t>推进交通基础设施节能降碳改造，谋划建设（近）零碳车站、港区、码头，健全</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轨道+公交+慢行</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绿色出行系统。发展绿色低碳物流，推动车船和物流设施装备电气化更新，支持LNG、绿色甲醇、电动或氢能动力船舶试点应用，打造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绿色航运走廊</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。提升新建建筑绿色化水平，加快既有建筑绿色化改造，推广</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光储直柔</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技术应用，加快超低能耗建筑、低碳建筑规模化发展。健全绿色消费激励机制，</w:t>
      </w:r>
      <w:r>
        <w:rPr>
          <w:rFonts w:hint="default" w:ascii="Times New Roman" w:hAnsi="Times New Roman" w:eastAsia="方正仿宋_GBK" w:cs="Times New Roman"/>
          <w:color w:val="auto"/>
          <w:spacing w:val="0"/>
          <w:sz w:val="32"/>
          <w:szCs w:val="32"/>
          <w:highlight w:val="none"/>
          <w:u w:val="none" w:color="auto"/>
          <w:lang w:val="en-US" w:eastAsia="zh-CN"/>
        </w:rPr>
        <w:t>推广</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碳惠通</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等应用场景落地试点</w:t>
      </w:r>
      <w:r>
        <w:rPr>
          <w:rFonts w:hint="default" w:ascii="Times New Roman" w:hAnsi="Times New Roman" w:eastAsia="方正仿宋_GBK" w:cs="Times New Roman"/>
          <w:color w:val="auto"/>
          <w:kern w:val="2"/>
          <w:sz w:val="32"/>
          <w:szCs w:val="32"/>
          <w:highlight w:val="none"/>
          <w:u w:val="none" w:color="auto"/>
          <w:lang w:val="en-US" w:eastAsia="zh-CN" w:bidi="ar-SA"/>
        </w:rPr>
        <w:t>。落实资源总量管理和全面节约制度。建立具有渝中特色的</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美丽细胞</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标准指标体系。引导社会各界践行绿色低碳的生活方式和消费模式。</w:t>
      </w:r>
    </w:p>
    <w:p w14:paraId="0266FEC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954" w:name="_Toc11314"/>
      <w:bookmarkStart w:id="1955" w:name="_Toc8432"/>
      <w:bookmarkStart w:id="1956" w:name="_Toc6212"/>
      <w:r>
        <w:rPr>
          <w:rFonts w:hint="default" w:ascii="Times New Roman" w:hAnsi="Times New Roman" w:eastAsia="方正黑体_GBK" w:cs="Times New Roman"/>
          <w:color w:val="auto"/>
          <w:sz w:val="32"/>
          <w:szCs w:val="32"/>
          <w:highlight w:val="none"/>
          <w:u w:val="none" w:color="auto"/>
          <w:lang w:val="en-US" w:eastAsia="zh-CN"/>
        </w:rPr>
        <w:t>第四十九章  持续深入推进污染防治攻</w:t>
      </w:r>
      <w:bookmarkEnd w:id="1934"/>
      <w:bookmarkEnd w:id="1935"/>
      <w:r>
        <w:rPr>
          <w:rFonts w:hint="default" w:ascii="Times New Roman" w:hAnsi="Times New Roman" w:eastAsia="方正黑体_GBK" w:cs="Times New Roman"/>
          <w:color w:val="auto"/>
          <w:sz w:val="32"/>
          <w:szCs w:val="32"/>
          <w:highlight w:val="none"/>
          <w:u w:val="none" w:color="auto"/>
          <w:lang w:val="en-US" w:eastAsia="zh-CN"/>
        </w:rPr>
        <w:t>坚和生态系统优化</w:t>
      </w:r>
      <w:bookmarkEnd w:id="1936"/>
      <w:bookmarkEnd w:id="1937"/>
      <w:bookmarkEnd w:id="1938"/>
      <w:bookmarkEnd w:id="1939"/>
      <w:bookmarkEnd w:id="1940"/>
      <w:bookmarkEnd w:id="1941"/>
      <w:bookmarkEnd w:id="1942"/>
      <w:bookmarkEnd w:id="1943"/>
      <w:bookmarkEnd w:id="1944"/>
      <w:bookmarkEnd w:id="1954"/>
      <w:bookmarkEnd w:id="1955"/>
      <w:bookmarkEnd w:id="1956"/>
    </w:p>
    <w:p w14:paraId="659F0E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坚持环保为民，全面落实精准科学依法治污，强化减污降碳协同、多污染物控制协同、区域治理协同，夯实生态本底，扎实推进人与自然和谐共生。</w:t>
      </w:r>
    </w:p>
    <w:p w14:paraId="125840D1">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957" w:name="_Toc7346"/>
      <w:bookmarkStart w:id="1958" w:name="_Toc25758"/>
      <w:bookmarkStart w:id="1959" w:name="_Toc11792"/>
      <w:bookmarkStart w:id="1960" w:name="_Toc6205"/>
      <w:bookmarkStart w:id="1961" w:name="_Toc11920"/>
      <w:bookmarkStart w:id="1962" w:name="_Toc25190"/>
      <w:bookmarkStart w:id="1963" w:name="_Toc24584"/>
      <w:bookmarkStart w:id="1964" w:name="_Toc6320"/>
      <w:bookmarkStart w:id="1965" w:name="_Toc6413"/>
      <w:bookmarkStart w:id="1966" w:name="_Toc20750"/>
      <w:bookmarkStart w:id="1967" w:name="_Toc4260"/>
      <w:bookmarkStart w:id="1968" w:name="_Toc28199"/>
      <w:bookmarkStart w:id="1969" w:name="_Toc13368"/>
      <w:bookmarkStart w:id="1970" w:name="_Toc14610"/>
      <w:r>
        <w:rPr>
          <w:rFonts w:hint="default" w:ascii="Times New Roman" w:hAnsi="Times New Roman" w:eastAsia="方正楷体_GBK" w:cs="Times New Roman"/>
          <w:b w:val="0"/>
          <w:bCs w:val="0"/>
          <w:color w:val="auto"/>
          <w:sz w:val="32"/>
          <w:szCs w:val="32"/>
          <w:highlight w:val="none"/>
          <w:u w:val="none" w:color="auto"/>
          <w:lang w:val="en-US" w:eastAsia="zh-CN"/>
        </w:rPr>
        <w:t>第一节 持续深入推进污染防治攻坚</w:t>
      </w:r>
      <w:bookmarkEnd w:id="1957"/>
      <w:bookmarkEnd w:id="1958"/>
      <w:bookmarkEnd w:id="1959"/>
      <w:bookmarkEnd w:id="1960"/>
      <w:bookmarkEnd w:id="1961"/>
      <w:bookmarkEnd w:id="1962"/>
      <w:bookmarkEnd w:id="1963"/>
      <w:bookmarkEnd w:id="1964"/>
      <w:bookmarkEnd w:id="1965"/>
      <w:bookmarkEnd w:id="1966"/>
      <w:bookmarkEnd w:id="1967"/>
      <w:bookmarkEnd w:id="1968"/>
    </w:p>
    <w:p w14:paraId="2BF4B1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全力保护一江碧水。统筹水资源、水环境、水生态治理，全面深化河长制，加强污水源头减量、过程分流和末端扩能，城市黑臭水体消除率稳定保持在100%，两江渝中段水质稳定达到Ⅱ类，建成美丽、幸福河湖2条（个）。</w:t>
      </w:r>
    </w:p>
    <w:p w14:paraId="558C3C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全力守护美丽蓝天。开展细颗粒物</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0.1微克</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精细管控行</w:t>
      </w:r>
      <w:r>
        <w:rPr>
          <w:rFonts w:hint="default" w:ascii="Times New Roman" w:hAnsi="Times New Roman" w:eastAsia="方正仿宋_GBK" w:cs="Times New Roman"/>
          <w:color w:val="auto"/>
          <w:sz w:val="32"/>
          <w:szCs w:val="32"/>
          <w:highlight w:val="none"/>
          <w:u w:val="none" w:color="auto"/>
          <w:lang w:val="en-US" w:eastAsia="zh-CN"/>
        </w:rPr>
        <w:t>动，推进扬尘源、移动源、生活源、挥发性有机物</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四源防控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工地视频监控设备联网率达到100%，有序淘汰国四及以下柴油货车，加强餐饮单位（食堂）油烟净化设施提标改造，巩固加油站三次油气回收治理成效，完成汽修行业原辅材料水性化替代全覆盖，推动大气主要污染物排放总量持续下降。</w:t>
      </w:r>
    </w:p>
    <w:p w14:paraId="30E6CB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spacing w:val="-6"/>
          <w:sz w:val="32"/>
          <w:szCs w:val="32"/>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全力保卫土壤安全。严格执行建设用地污染程度分级和用途分类管理，重点建设用地安全利用率保持100%。对用途变更为住宅、公共管理、公共服务用地的地块，依法开展土壤污染状况调查。</w:t>
      </w:r>
      <w:r>
        <w:rPr>
          <w:rFonts w:hint="default" w:ascii="Times New Roman" w:hAnsi="Times New Roman" w:eastAsia="方正仿宋_GBK" w:cs="Times New Roman"/>
          <w:b w:val="0"/>
          <w:bCs w:val="0"/>
          <w:color w:val="auto"/>
          <w:spacing w:val="-6"/>
          <w:sz w:val="32"/>
          <w:szCs w:val="32"/>
          <w:highlight w:val="none"/>
          <w:u w:val="none" w:color="auto"/>
          <w:lang w:val="en-US" w:eastAsia="zh-CN"/>
        </w:rPr>
        <w:t>评估化学物质环境风险，全面禁止淘汰类新污染物使用流通。</w:t>
      </w:r>
    </w:p>
    <w:p w14:paraId="4B02FB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eastAsiaTheme="minorEastAsia"/>
          <w:strike/>
          <w:dstrike w:val="0"/>
          <w:color w:val="auto"/>
          <w:highlight w:val="none"/>
          <w:u w:val="none" w:color="auto"/>
          <w:lang w:val="en-US" w:eastAsia="zh-CN"/>
        </w:rPr>
      </w:pPr>
      <w:r>
        <w:rPr>
          <w:rFonts w:hint="default" w:ascii="Times New Roman" w:hAnsi="Times New Roman" w:eastAsia="方正仿宋_GBK" w:cs="Times New Roman"/>
          <w:b w:val="0"/>
          <w:bCs w:val="0"/>
          <w:color w:val="auto"/>
          <w:sz w:val="32"/>
          <w:szCs w:val="32"/>
          <w:highlight w:val="none"/>
          <w:u w:val="none" w:color="auto"/>
          <w:lang w:val="en-US" w:eastAsia="zh-CN"/>
        </w:rPr>
        <w:t>全面建成全域</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无废城市</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rPr>
        <w:t>实施固体废物综合治理行动，构建源头减量、过程管控、末端利用和全链条无害化管理的固体废物综合治理体系。</w:t>
      </w:r>
      <w:r>
        <w:rPr>
          <w:rFonts w:hint="default" w:ascii="Times New Roman" w:hAnsi="Times New Roman" w:eastAsia="方正仿宋_GBK" w:cs="Times New Roman"/>
          <w:color w:val="auto"/>
          <w:sz w:val="32"/>
          <w:szCs w:val="32"/>
          <w:highlight w:val="none"/>
          <w:u w:val="none" w:color="auto"/>
          <w:lang w:val="en-US" w:eastAsia="zh-CN"/>
        </w:rPr>
        <w:t>深化建筑垃圾、危险废物全过程数字化闭环管控，城市生活污泥100%无害化处置。</w:t>
      </w:r>
      <w:r>
        <w:rPr>
          <w:rFonts w:hint="default" w:ascii="Times New Roman" w:hAnsi="Times New Roman" w:eastAsia="方正仿宋_GBK" w:cs="Times New Roman"/>
          <w:b w:val="0"/>
          <w:bCs w:val="0"/>
          <w:color w:val="auto"/>
          <w:sz w:val="32"/>
          <w:szCs w:val="32"/>
          <w:highlight w:val="none"/>
          <w:u w:val="none" w:color="auto"/>
          <w:lang w:eastAsia="zh-CN"/>
        </w:rPr>
        <w:t>打造一批精品</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eastAsia="zh-CN"/>
        </w:rPr>
        <w:t>无废城市细胞</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仿宋_GBK" w:cs="Times New Roman"/>
          <w:b w:val="0"/>
          <w:bCs w:val="0"/>
          <w:color w:val="auto"/>
          <w:sz w:val="32"/>
          <w:szCs w:val="32"/>
          <w:highlight w:val="none"/>
          <w:u w:val="none" w:color="auto"/>
          <w:lang w:eastAsia="zh-CN"/>
        </w:rPr>
        <w:t>。高质量完成全球环境基金（</w:t>
      </w:r>
      <w:r>
        <w:rPr>
          <w:rFonts w:hint="default" w:ascii="Times New Roman" w:hAnsi="Times New Roman" w:eastAsia="方正仿宋_GBK" w:cs="Times New Roman"/>
          <w:b w:val="0"/>
          <w:bCs w:val="0"/>
          <w:color w:val="auto"/>
          <w:sz w:val="32"/>
          <w:szCs w:val="32"/>
          <w:highlight w:val="none"/>
          <w:u w:val="none" w:color="auto"/>
          <w:lang w:val="en-US" w:eastAsia="zh-CN"/>
        </w:rPr>
        <w:t>GEF</w:t>
      </w:r>
      <w:r>
        <w:rPr>
          <w:rFonts w:hint="default" w:ascii="Times New Roman" w:hAnsi="Times New Roman" w:eastAsia="方正仿宋_GBK" w:cs="Times New Roman"/>
          <w:b w:val="0"/>
          <w:bCs w:val="0"/>
          <w:color w:val="auto"/>
          <w:sz w:val="32"/>
          <w:szCs w:val="32"/>
          <w:highlight w:val="none"/>
          <w:u w:val="none" w:color="auto"/>
          <w:lang w:eastAsia="zh-CN"/>
        </w:rPr>
        <w:t>）医疗机构无汞替代试点项目。</w:t>
      </w:r>
      <w:r>
        <w:rPr>
          <w:rFonts w:hint="default" w:ascii="Times New Roman" w:hAnsi="Times New Roman" w:eastAsia="方正仿宋_GBK" w:cs="Times New Roman"/>
          <w:color w:val="auto"/>
          <w:sz w:val="32"/>
          <w:szCs w:val="32"/>
          <w:highlight w:val="none"/>
          <w:u w:val="none" w:color="auto"/>
          <w:lang w:val="en-US" w:eastAsia="zh-CN"/>
        </w:rPr>
        <w:t>完善再生资源回收体系，推行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互联网+回收</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模式，加快再生资源</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两网融合</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服务点建设，城市生活垃圾回收利用率达到45%以上。深化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白色污染</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减量行动，推广竹制品使用范围。深入推进抗生素、微塑料等新污染物治理。</w:t>
      </w:r>
    </w:p>
    <w:bookmarkEnd w:id="1969"/>
    <w:bookmarkEnd w:id="1970"/>
    <w:p w14:paraId="4C92C254">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bookmarkStart w:id="1971" w:name="_Toc27645"/>
      <w:bookmarkStart w:id="1972" w:name="_Toc8468"/>
      <w:r>
        <w:rPr>
          <w:rFonts w:hint="default" w:ascii="Times New Roman" w:hAnsi="Times New Roman" w:eastAsia="方正黑体_GBK" w:cs="Times New Roman"/>
          <w:color w:val="auto"/>
          <w:sz w:val="28"/>
          <w:szCs w:val="28"/>
          <w:highlight w:val="none"/>
          <w:u w:val="none" w:color="auto"/>
          <w:lang w:val="en-US" w:eastAsia="zh-CN"/>
        </w:rPr>
        <w:t>专栏15  污染防治攻坚重点工程</w:t>
      </w:r>
    </w:p>
    <w:tbl>
      <w:tblPr>
        <w:tblStyle w:val="21"/>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4"/>
      </w:tblGrid>
      <w:tr w14:paraId="41AB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74" w:type="dxa"/>
          </w:tcPr>
          <w:p w14:paraId="3C390598">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1.治气。</w:t>
            </w:r>
            <w:r>
              <w:rPr>
                <w:rFonts w:hint="default" w:ascii="Times New Roman" w:hAnsi="Times New Roman" w:eastAsia="方正仿宋_GBK" w:cs="Times New Roman"/>
                <w:color w:val="auto"/>
                <w:sz w:val="24"/>
                <w:szCs w:val="24"/>
                <w:highlight w:val="none"/>
                <w:u w:val="none" w:color="auto"/>
                <w:vertAlign w:val="baseline"/>
                <w:lang w:val="en-US" w:eastAsia="zh-CN"/>
              </w:rPr>
              <w:t>燃气锅炉低氮燃烧改造、汽修行业VOCs深度治理</w:t>
            </w:r>
            <w:r>
              <w:rPr>
                <w:rFonts w:hint="default" w:ascii="Times New Roman" w:hAnsi="Times New Roman" w:eastAsia="方正仿宋_GBK" w:cs="Times New Roman"/>
                <w:color w:val="auto"/>
                <w:sz w:val="24"/>
                <w:highlight w:val="none"/>
                <w:u w:val="none" w:color="auto"/>
              </w:rPr>
              <w:t>、国四柴油货车</w:t>
            </w:r>
            <w:r>
              <w:rPr>
                <w:rFonts w:hint="default" w:ascii="Times New Roman" w:hAnsi="Times New Roman" w:eastAsia="方正仿宋_GBK" w:cs="Times New Roman"/>
                <w:color w:val="auto"/>
                <w:sz w:val="24"/>
                <w:highlight w:val="none"/>
                <w:u w:val="none" w:color="auto"/>
                <w:lang w:val="en-US" w:eastAsia="zh-CN"/>
              </w:rPr>
              <w:t>有序</w:t>
            </w:r>
            <w:r>
              <w:rPr>
                <w:rFonts w:hint="default" w:ascii="Times New Roman" w:hAnsi="Times New Roman" w:eastAsia="方正仿宋_GBK" w:cs="Times New Roman"/>
                <w:color w:val="auto"/>
                <w:sz w:val="24"/>
                <w:highlight w:val="none"/>
                <w:u w:val="none" w:color="auto"/>
              </w:rPr>
              <w:t>淘汰</w:t>
            </w:r>
            <w:r>
              <w:rPr>
                <w:rFonts w:hint="default" w:ascii="Times New Roman" w:hAnsi="Times New Roman" w:eastAsia="方正仿宋_GBK" w:cs="Times New Roman"/>
                <w:color w:val="auto"/>
                <w:sz w:val="24"/>
                <w:szCs w:val="24"/>
                <w:highlight w:val="none"/>
                <w:u w:val="none" w:color="auto"/>
                <w:vertAlign w:val="baseline"/>
                <w:lang w:val="en-US" w:eastAsia="zh-CN"/>
              </w:rPr>
              <w:t>。</w:t>
            </w:r>
          </w:p>
          <w:p w14:paraId="4E23DF85">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2.治水。</w:t>
            </w:r>
            <w:r>
              <w:rPr>
                <w:rFonts w:hint="default" w:ascii="Times New Roman" w:hAnsi="Times New Roman" w:eastAsia="方正仿宋_GBK" w:cs="Times New Roman"/>
                <w:color w:val="auto"/>
                <w:sz w:val="24"/>
                <w:szCs w:val="24"/>
                <w:highlight w:val="none"/>
                <w:u w:val="none" w:color="auto"/>
                <w:vertAlign w:val="baseline"/>
                <w:lang w:val="en-US" w:eastAsia="zh-CN"/>
              </w:rPr>
              <w:t>大溪沟饮用水水源地保护区规范化建设、嘉陵江幸福河湖建设。</w:t>
            </w:r>
          </w:p>
          <w:p w14:paraId="659A80C0">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3.治废。</w:t>
            </w:r>
            <w:r>
              <w:rPr>
                <w:rFonts w:hint="default" w:ascii="Times New Roman" w:hAnsi="Times New Roman" w:eastAsia="方正仿宋_GBK" w:cs="Times New Roman"/>
                <w:color w:val="auto"/>
                <w:sz w:val="24"/>
                <w:szCs w:val="24"/>
                <w:highlight w:val="none"/>
                <w:u w:val="none" w:color="auto"/>
                <w:vertAlign w:val="baseline"/>
                <w:lang w:val="en-US" w:eastAsia="zh-CN"/>
              </w:rPr>
              <w:t>垃圾收集转运设备更新改造、生活垃圾分类设施设备更新升级、生活垃圾分类全链条治理。</w:t>
            </w:r>
          </w:p>
          <w:p w14:paraId="1D2ACBFF">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4.治塑。</w:t>
            </w:r>
            <w:r>
              <w:rPr>
                <w:rFonts w:hint="default" w:ascii="Times New Roman" w:hAnsi="Times New Roman" w:eastAsia="方正仿宋_GBK" w:cs="Times New Roman"/>
                <w:color w:val="auto"/>
                <w:sz w:val="24"/>
                <w:szCs w:val="24"/>
                <w:highlight w:val="none"/>
                <w:u w:val="none" w:color="auto"/>
                <w:vertAlign w:val="baseline"/>
                <w:lang w:val="en-US" w:eastAsia="zh-CN"/>
              </w:rPr>
              <w:t>实施塑料源头减量替代工程。</w:t>
            </w:r>
          </w:p>
          <w:p w14:paraId="67CAD4B0">
            <w:pPr>
              <w:keepNext w:val="0"/>
              <w:keepLines w:val="0"/>
              <w:pageBreakBefore w:val="0"/>
              <w:widowControl w:val="0"/>
              <w:tabs>
                <w:tab w:val="left" w:pos="1139"/>
              </w:tabs>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方正黑体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5.治岸。</w:t>
            </w:r>
            <w:r>
              <w:rPr>
                <w:rFonts w:hint="default" w:ascii="Times New Roman" w:hAnsi="Times New Roman" w:eastAsia="方正仿宋_GBK" w:cs="Times New Roman"/>
                <w:color w:val="auto"/>
                <w:sz w:val="24"/>
                <w:szCs w:val="24"/>
                <w:highlight w:val="none"/>
                <w:u w:val="none" w:color="auto"/>
                <w:vertAlign w:val="baseline"/>
                <w:lang w:val="en-US" w:eastAsia="zh-CN"/>
              </w:rPr>
              <w:t>实施</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两江四岸</w:t>
            </w:r>
            <w:r>
              <w:rPr>
                <w:rFonts w:hint="eastAsia" w:ascii="Times New Roman" w:hAnsi="Times New Roman" w:eastAsia="方正仿宋_GBK" w:cs="方正仿宋_GBK"/>
                <w:color w:val="auto"/>
                <w:sz w:val="24"/>
                <w:szCs w:val="24"/>
                <w:highlight w:val="none"/>
                <w:u w:val="none" w:color="auto"/>
                <w:vertAlign w:val="baseline"/>
                <w:lang w:val="en-US" w:eastAsia="zh-CN"/>
              </w:rPr>
              <w:t>”</w:t>
            </w:r>
            <w:r>
              <w:rPr>
                <w:rFonts w:hint="default" w:ascii="Times New Roman" w:hAnsi="Times New Roman" w:eastAsia="方正仿宋_GBK" w:cs="Times New Roman"/>
                <w:color w:val="auto"/>
                <w:sz w:val="24"/>
                <w:szCs w:val="24"/>
                <w:highlight w:val="none"/>
                <w:u w:val="none" w:color="auto"/>
                <w:vertAlign w:val="baseline"/>
                <w:lang w:val="en-US" w:eastAsia="zh-CN"/>
              </w:rPr>
              <w:t>治理提升嘉陵江岸线贯通工程，长江、嘉陵江渝中段消落带修复80万平方米以上。实施长江干流重庆段防洪治理工程（渝中区菜园坝段）。</w:t>
            </w:r>
          </w:p>
        </w:tc>
      </w:tr>
    </w:tbl>
    <w:p w14:paraId="19F6E1D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1973" w:name="_Toc11143"/>
      <w:bookmarkStart w:id="1974" w:name="_Toc26549"/>
      <w:bookmarkStart w:id="1975" w:name="_Toc348"/>
      <w:bookmarkStart w:id="1976" w:name="_Toc29608"/>
      <w:bookmarkStart w:id="1977" w:name="_Toc16040"/>
      <w:bookmarkStart w:id="1978" w:name="_Toc20626"/>
      <w:bookmarkStart w:id="1979" w:name="_Toc11556"/>
      <w:bookmarkStart w:id="1980" w:name="_Toc723"/>
      <w:bookmarkStart w:id="1981" w:name="_Toc3544"/>
      <w:bookmarkStart w:id="1982" w:name="_Toc11667"/>
      <w:bookmarkStart w:id="1983" w:name="_Toc17168"/>
      <w:bookmarkStart w:id="1984" w:name="_Toc18984"/>
      <w:r>
        <w:rPr>
          <w:rFonts w:hint="default" w:ascii="Times New Roman" w:hAnsi="Times New Roman" w:eastAsia="方正楷体_GBK" w:cs="Times New Roman"/>
          <w:b w:val="0"/>
          <w:bCs w:val="0"/>
          <w:color w:val="auto"/>
          <w:sz w:val="32"/>
          <w:szCs w:val="32"/>
          <w:highlight w:val="none"/>
          <w:u w:val="none" w:color="auto"/>
          <w:lang w:val="en-US" w:eastAsia="zh-CN"/>
        </w:rPr>
        <w:t xml:space="preserve">第二节 </w:t>
      </w:r>
      <w:bookmarkEnd w:id="1973"/>
      <w:bookmarkEnd w:id="1974"/>
      <w:bookmarkEnd w:id="1975"/>
      <w:bookmarkEnd w:id="1976"/>
      <w:bookmarkEnd w:id="1977"/>
      <w:bookmarkEnd w:id="1978"/>
      <w:bookmarkEnd w:id="1979"/>
      <w:bookmarkEnd w:id="1980"/>
      <w:bookmarkEnd w:id="1981"/>
      <w:r>
        <w:rPr>
          <w:rFonts w:hint="default" w:ascii="Times New Roman" w:hAnsi="Times New Roman" w:eastAsia="方正楷体_GBK" w:cs="Times New Roman"/>
          <w:b w:val="0"/>
          <w:bCs w:val="0"/>
          <w:color w:val="auto"/>
          <w:sz w:val="32"/>
          <w:szCs w:val="32"/>
          <w:highlight w:val="none"/>
          <w:u w:val="none" w:color="auto"/>
          <w:lang w:val="en-US" w:eastAsia="zh-CN"/>
        </w:rPr>
        <w:t>提升生态系统稳定性</w:t>
      </w:r>
      <w:bookmarkEnd w:id="1982"/>
      <w:bookmarkEnd w:id="1983"/>
      <w:bookmarkEnd w:id="1984"/>
    </w:p>
    <w:p w14:paraId="5AC2D4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b w:val="0"/>
          <w:bCs w:val="0"/>
          <w:color w:val="auto"/>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val="en-US" w:eastAsia="zh-CN"/>
        </w:rPr>
        <w:t>持续加强生态保护修复。坚持自然恢复为主、人工修复为辅，因地制宜实施植被恢复、岸线稳定、水土保持等工程。持续推进城市山脊线、坡坎崖等特殊地形绿化美化，重点提升鹅岭、佛图关、虎头岩等公园生态与景观功能，</w:t>
      </w:r>
      <w:r>
        <w:rPr>
          <w:rFonts w:hint="default" w:ascii="Times New Roman" w:hAnsi="Times New Roman" w:eastAsia="方正仿宋_GBK" w:cs="Times New Roman"/>
          <w:b w:val="0"/>
          <w:bCs w:val="0"/>
          <w:strike w:val="0"/>
          <w:dstrike w:val="0"/>
          <w:color w:val="auto"/>
          <w:sz w:val="32"/>
          <w:szCs w:val="32"/>
          <w:highlight w:val="none"/>
          <w:u w:val="none" w:color="auto"/>
          <w:lang w:val="en-US" w:eastAsia="zh-CN"/>
        </w:rPr>
        <w:t>推动</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两岸青山·千里林带</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建设。持续开展地质灾害调查评价，优化完善</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四重</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网格化监测预警体系，强化隐患排查与防控。实施珊瑚坝岛</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一岛一策</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精准保护和</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小微湿地</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建设，推进长江、嘉陵江渝中段岸线精细化保护修复，</w:t>
      </w:r>
      <w:r>
        <w:rPr>
          <w:rFonts w:hint="default" w:ascii="Times New Roman" w:hAnsi="Times New Roman" w:eastAsia="方正仿宋_GBK" w:cs="Times New Roman"/>
          <w:b w:val="0"/>
          <w:bCs w:val="0"/>
          <w:strike w:val="0"/>
          <w:dstrike w:val="0"/>
          <w:color w:val="auto"/>
          <w:sz w:val="32"/>
          <w:szCs w:val="32"/>
          <w:highlight w:val="none"/>
          <w:u w:val="none" w:color="auto"/>
          <w:lang w:val="en-US" w:eastAsia="zh-CN"/>
        </w:rPr>
        <w:t>建立动态整治台账，</w:t>
      </w:r>
      <w:r>
        <w:rPr>
          <w:rFonts w:hint="default" w:ascii="Times New Roman" w:hAnsi="Times New Roman" w:eastAsia="方正仿宋_GBK" w:cs="Times New Roman"/>
          <w:b w:val="0"/>
          <w:bCs w:val="0"/>
          <w:color w:val="auto"/>
          <w:sz w:val="32"/>
          <w:szCs w:val="32"/>
          <w:highlight w:val="none"/>
          <w:u w:val="none" w:color="auto"/>
          <w:lang w:val="en-US" w:eastAsia="zh-CN"/>
        </w:rPr>
        <w:t>打造长江上游城市江心岛生态保护典范。</w:t>
      </w:r>
    </w:p>
    <w:p w14:paraId="64E1A1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val="en-US" w:eastAsia="zh-CN"/>
        </w:rPr>
        <w:t>强化生物多样性保护。坚定不移落实长江</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十年禁渔</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，采用低干预、乡土化方式营造近自然生境，为鸟类、两栖类等野</w:t>
      </w:r>
      <w:r>
        <w:rPr>
          <w:rFonts w:hint="default" w:ascii="Times New Roman" w:hAnsi="Times New Roman" w:eastAsia="方正仿宋_GBK" w:cs="Times New Roman"/>
          <w:color w:val="auto"/>
          <w:sz w:val="32"/>
          <w:szCs w:val="32"/>
          <w:highlight w:val="none"/>
          <w:u w:val="none" w:color="auto"/>
          <w:lang w:val="en-US" w:eastAsia="zh-CN"/>
        </w:rPr>
        <w:t>生动物营造栖息地。加强对城市湿地、小微绿地、公园绿道等生态斑块的连通性建设，形成</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点、线、面</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结合的城市生态网络。开展山城坡坎崖生态修复”，治理红岩村、三层马路等一批崖壁</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围绕鹅岭公园、珊瑚公园等重点区域开展生物多样性监测试点，推动本土植物种植比例不低于70%。定期开展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生态质量指数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评估，确保基本稳定。</w:t>
      </w:r>
    </w:p>
    <w:p w14:paraId="1F3769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b w:val="0"/>
          <w:bCs w:val="0"/>
          <w:strike/>
          <w:dstrike w:val="0"/>
          <w:color w:val="auto"/>
          <w:highlight w:val="none"/>
          <w:u w:val="none" w:color="auto"/>
        </w:rPr>
      </w:pPr>
      <w:r>
        <w:rPr>
          <w:rFonts w:hint="default" w:ascii="Times New Roman" w:hAnsi="Times New Roman" w:eastAsia="方正仿宋_GBK" w:cs="Times New Roman"/>
          <w:b w:val="0"/>
          <w:bCs w:val="0"/>
          <w:strike w:val="0"/>
          <w:dstrike w:val="0"/>
          <w:color w:val="auto"/>
          <w:sz w:val="32"/>
          <w:szCs w:val="32"/>
          <w:highlight w:val="none"/>
          <w:u w:val="none" w:color="auto"/>
          <w:lang w:val="en-US" w:eastAsia="zh-CN"/>
        </w:rPr>
        <w:t>探索生态产品价值实现机制。</w:t>
      </w:r>
      <w:r>
        <w:rPr>
          <w:rFonts w:hint="default" w:ascii="Times New Roman" w:hAnsi="Times New Roman" w:eastAsia="方正仿宋_GBK" w:cs="Times New Roman"/>
          <w:b w:val="0"/>
          <w:bCs w:val="0"/>
          <w:color w:val="auto"/>
          <w:sz w:val="32"/>
          <w:szCs w:val="32"/>
          <w:highlight w:val="none"/>
          <w:u w:val="none" w:color="auto"/>
          <w:lang w:val="en-US" w:eastAsia="zh-CN"/>
        </w:rPr>
        <w:t>采用</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公园+文创</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理念，在鹅岭公园等试点建设</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山城生态会客厅</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，引入高品质文化休闲业态，开发生态研学、生态观测、生态导览等特色服务产品。深入探索社会资本参与生态修复与价值实现的新模式。打造</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四季渝中</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z w:val="32"/>
          <w:szCs w:val="32"/>
          <w:highlight w:val="none"/>
          <w:u w:val="none" w:color="auto"/>
          <w:lang w:val="en-US" w:eastAsia="zh-CN"/>
        </w:rPr>
        <w:t>生态文化品牌。鼓励开发基于巴渝生态文化的文创产品与服务。</w:t>
      </w:r>
    </w:p>
    <w:p w14:paraId="2B166643">
      <w:pPr>
        <w:pStyle w:val="14"/>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985" w:name="_Toc14530"/>
      <w:bookmarkStart w:id="1986" w:name="_Toc10889"/>
      <w:bookmarkStart w:id="1987" w:name="_Toc27489"/>
      <w:bookmarkStart w:id="1988" w:name="_Toc4278"/>
      <w:bookmarkStart w:id="1989" w:name="_Toc6549"/>
      <w:bookmarkStart w:id="1990" w:name="_Toc6730"/>
      <w:bookmarkStart w:id="1991" w:name="_Toc16781"/>
      <w:bookmarkStart w:id="1992" w:name="_Toc14052"/>
      <w:bookmarkStart w:id="1993" w:name="_Toc897"/>
      <w:bookmarkStart w:id="1994" w:name="_Toc28169"/>
      <w:bookmarkStart w:id="1995" w:name="_Toc12530"/>
      <w:bookmarkStart w:id="1996" w:name="_Toc21300"/>
      <w:r>
        <w:rPr>
          <w:rFonts w:hint="default" w:ascii="Times New Roman" w:hAnsi="Times New Roman" w:eastAsia="方正黑体_GBK" w:cs="Times New Roman"/>
          <w:color w:val="auto"/>
          <w:kern w:val="2"/>
          <w:sz w:val="32"/>
          <w:szCs w:val="32"/>
          <w:highlight w:val="none"/>
          <w:u w:val="none" w:color="auto"/>
          <w:lang w:val="en-US" w:eastAsia="zh-CN" w:bidi="ar-SA"/>
        </w:rPr>
        <w:t xml:space="preserve">第五十章 </w:t>
      </w:r>
      <w:r>
        <w:rPr>
          <w:rFonts w:hint="default" w:ascii="Times New Roman" w:hAnsi="Times New Roman" w:eastAsia="方正黑体_GBK" w:cs="Times New Roman"/>
          <w:color w:val="auto"/>
          <w:sz w:val="32"/>
          <w:szCs w:val="32"/>
          <w:highlight w:val="none"/>
          <w:u w:val="none" w:color="auto"/>
          <w:lang w:val="en-US" w:eastAsia="zh-CN"/>
        </w:rPr>
        <w:t>构建清洁低碳安全高效新型能源体系</w:t>
      </w:r>
      <w:bookmarkEnd w:id="1971"/>
      <w:bookmarkEnd w:id="1972"/>
      <w:bookmarkEnd w:id="1985"/>
      <w:bookmarkEnd w:id="1986"/>
      <w:bookmarkEnd w:id="1987"/>
      <w:bookmarkEnd w:id="1988"/>
      <w:bookmarkEnd w:id="1989"/>
      <w:bookmarkEnd w:id="1990"/>
      <w:bookmarkEnd w:id="1991"/>
      <w:bookmarkEnd w:id="1992"/>
      <w:bookmarkEnd w:id="1993"/>
      <w:bookmarkEnd w:id="1994"/>
      <w:bookmarkEnd w:id="1995"/>
      <w:bookmarkEnd w:id="1996"/>
    </w:p>
    <w:p w14:paraId="1BE52445">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kern w:val="2"/>
          <w:sz w:val="32"/>
          <w:szCs w:val="32"/>
          <w:highlight w:val="none"/>
          <w:u w:val="none" w:color="auto"/>
          <w:lang w:val="en-US" w:eastAsia="zh-CN" w:bidi="ar-SA"/>
        </w:rPr>
      </w:pPr>
      <w:bookmarkStart w:id="1997" w:name="_Toc23337"/>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大力发展清洁能源，推动</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光伏+</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多元化发展，鼓励开展</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建筑光伏一体化</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试点示范，新建公共建筑光伏覆盖率不低于50%，既有建筑在具备条件下实施改造、应改尽改。服务构建能源储备调峰体系，联合国网市公司开展源网荷储一体化示范工程，建成1个区级虚拟电厂试点项目，接入可调节负荷不低于10MW。优化能源消费结构，大力提升终端用能电气化低碳化水平，开展高耗能设备能效诊断和节能改造，推动年综合能耗1000吨标煤以上设备运行数据</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上云上平台</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，实现重点设备在线监测率达80%以上。</w:t>
      </w:r>
      <w:r>
        <w:rPr>
          <w:rFonts w:hint="default" w:ascii="Times New Roman" w:hAnsi="Times New Roman" w:eastAsia="方正仿宋_GBK" w:cs="Times New Roman"/>
          <w:color w:val="auto"/>
          <w:kern w:val="2"/>
          <w:sz w:val="32"/>
          <w:szCs w:val="32"/>
          <w:highlight w:val="none"/>
          <w:u w:val="none" w:color="auto"/>
          <w:lang w:val="en-US" w:eastAsia="zh-CN" w:bidi="ar-SA"/>
        </w:rPr>
        <w:t>推进信息通信设备绿色化升级，开展大中型数据中心节能评估，支持运营商推进5G基站集约化建设和节能改造，全区低能耗基站占比达到60%以上。</w:t>
      </w:r>
    </w:p>
    <w:bookmarkEnd w:id="1997"/>
    <w:p w14:paraId="0A4A1FC1">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1998" w:name="_Toc16603"/>
      <w:bookmarkStart w:id="1999" w:name="_Toc4180"/>
      <w:bookmarkStart w:id="2000" w:name="_Toc15415"/>
      <w:bookmarkStart w:id="2001" w:name="_Toc12759"/>
      <w:bookmarkStart w:id="2002" w:name="_Toc6361"/>
      <w:bookmarkStart w:id="2003" w:name="_Toc23382"/>
      <w:bookmarkStart w:id="2004" w:name="_Toc23069"/>
      <w:bookmarkStart w:id="2005" w:name="_Toc29266"/>
      <w:bookmarkStart w:id="2006" w:name="_Toc23300"/>
      <w:bookmarkStart w:id="2007" w:name="_Toc25978"/>
      <w:bookmarkStart w:id="2008" w:name="_Toc12886"/>
      <w:bookmarkStart w:id="2009" w:name="_Toc19824"/>
      <w:bookmarkStart w:id="2010" w:name="_Toc17622"/>
      <w:bookmarkStart w:id="2011" w:name="_Toc9525"/>
      <w:r>
        <w:rPr>
          <w:rFonts w:hint="default" w:ascii="Times New Roman" w:hAnsi="Times New Roman" w:eastAsia="方正黑体_GBK" w:cs="Times New Roman"/>
          <w:color w:val="auto"/>
          <w:sz w:val="32"/>
          <w:szCs w:val="32"/>
          <w:highlight w:val="none"/>
          <w:u w:val="none" w:color="auto"/>
          <w:lang w:val="en-US" w:eastAsia="zh-CN"/>
        </w:rPr>
        <w:t>第五十一章 系统塑造整体大美都市风貌</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14:paraId="293CC8AE">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完善风貌管理制度，持续优化城市滨江线、天际线、山脊线，实施保绿护绿行动，构建整体协调、明快清新、现代与传统交融的大美风貌。</w:t>
      </w:r>
    </w:p>
    <w:p w14:paraId="578AA469">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2012" w:name="_Toc7158"/>
      <w:bookmarkStart w:id="2013" w:name="_Toc17530"/>
      <w:bookmarkStart w:id="2014" w:name="_Toc6492"/>
      <w:bookmarkStart w:id="2015" w:name="_Toc9144"/>
      <w:bookmarkStart w:id="2016" w:name="_Toc6316"/>
      <w:bookmarkStart w:id="2017" w:name="_Toc8664"/>
      <w:bookmarkStart w:id="2018" w:name="_Toc7912"/>
      <w:bookmarkStart w:id="2019" w:name="_Toc11779"/>
      <w:bookmarkStart w:id="2020" w:name="_Toc3030"/>
      <w:bookmarkStart w:id="2021" w:name="_Toc18589"/>
      <w:bookmarkStart w:id="2022" w:name="_Toc2814"/>
      <w:bookmarkStart w:id="2023" w:name="_Toc9694"/>
      <w:bookmarkStart w:id="2024" w:name="_Toc26659"/>
      <w:bookmarkStart w:id="2025" w:name="_Toc10266"/>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 xml:space="preserve">第一节 </w:t>
      </w:r>
      <w:bookmarkEnd w:id="2012"/>
      <w:bookmarkEnd w:id="2013"/>
      <w:r>
        <w:rPr>
          <w:rFonts w:hint="default" w:ascii="Times New Roman" w:hAnsi="Times New Roman" w:eastAsia="方正楷体_GBK" w:cs="Times New Roman"/>
          <w:b w:val="0"/>
          <w:bCs w:val="0"/>
          <w:color w:val="auto"/>
          <w:sz w:val="32"/>
          <w:szCs w:val="32"/>
          <w:highlight w:val="none"/>
          <w:u w:val="none" w:color="auto"/>
          <w:lang w:val="en-US" w:eastAsia="zh-CN"/>
        </w:rPr>
        <w:t>提升半岛</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美丽风貌</w:t>
      </w:r>
      <w:bookmarkEnd w:id="2014"/>
      <w:bookmarkEnd w:id="2015"/>
      <w:bookmarkEnd w:id="2016"/>
      <w:bookmarkEnd w:id="2017"/>
      <w:bookmarkEnd w:id="2018"/>
      <w:bookmarkEnd w:id="2019"/>
      <w:bookmarkEnd w:id="2020"/>
      <w:bookmarkEnd w:id="2021"/>
      <w:bookmarkEnd w:id="2022"/>
      <w:bookmarkEnd w:id="2023"/>
      <w:bookmarkEnd w:id="2024"/>
      <w:bookmarkEnd w:id="2025"/>
      <w:r>
        <w:rPr>
          <w:rFonts w:hint="eastAsia" w:ascii="Times New Roman" w:hAnsi="Times New Roman" w:eastAsia="方正仿宋_GBK" w:cs="方正仿宋_GBK"/>
          <w:b w:val="0"/>
          <w:bCs w:val="0"/>
          <w:color w:val="auto"/>
          <w:sz w:val="32"/>
          <w:szCs w:val="32"/>
          <w:highlight w:val="none"/>
          <w:u w:val="none" w:color="auto"/>
          <w:lang w:val="en-US" w:eastAsia="zh-CN"/>
        </w:rPr>
        <w:t>”</w:t>
      </w:r>
    </w:p>
    <w:p w14:paraId="2B6BE270">
      <w:pPr>
        <w:keepNext w:val="0"/>
        <w:keepLines w:val="0"/>
        <w:pageBreakBefore w:val="0"/>
        <w:kinsoku/>
        <w:wordWrap/>
        <w:topLinePunct w:val="0"/>
        <w:autoSpaceDE/>
        <w:autoSpaceDN/>
        <w:bidi w:val="0"/>
        <w:spacing w:line="600" w:lineRule="exact"/>
        <w:ind w:firstLine="640" w:firstLineChars="200"/>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迭代升级解放碑等现代化大都市风貌展示区，整体提升</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两江四岸</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美丽滨江线、山地城市轨道交通风景线，一体打造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山、水、城、桥、车、船、灯</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开放共享的滨江亲水休憩空间。整体管控重点片区建筑外立面与天际线，统筹规划建设重庆站滨江新城、重庆塔、新华中心等标志性项目。开展城市生态品质焕新行</w:t>
      </w:r>
      <w:r>
        <w:rPr>
          <w:rFonts w:hint="default" w:ascii="Times New Roman" w:hAnsi="Times New Roman" w:eastAsia="方正仿宋_GBK" w:cs="Times New Roman"/>
          <w:color w:val="auto"/>
          <w:spacing w:val="-6"/>
          <w:kern w:val="2"/>
          <w:sz w:val="32"/>
          <w:szCs w:val="32"/>
          <w:highlight w:val="none"/>
          <w:u w:val="none" w:color="auto"/>
          <w:lang w:val="en-US" w:eastAsia="zh-CN" w:bidi="ar-SA"/>
        </w:rPr>
        <w:t>动，加速构建</w:t>
      </w:r>
      <w:r>
        <w:rPr>
          <w:rFonts w:hint="eastAsia" w:ascii="Times New Roman" w:hAnsi="Times New Roman" w:eastAsia="方正仿宋_GBK" w:cs="方正仿宋_GBK"/>
          <w:color w:val="auto"/>
          <w:spacing w:val="-6"/>
          <w:kern w:val="2"/>
          <w:sz w:val="32"/>
          <w:szCs w:val="32"/>
          <w:highlight w:val="none"/>
          <w:u w:val="none" w:color="auto"/>
          <w:lang w:val="en-US" w:eastAsia="zh-CN" w:bidi="ar-SA"/>
        </w:rPr>
        <w:t>“</w:t>
      </w:r>
      <w:r>
        <w:rPr>
          <w:rFonts w:hint="default" w:ascii="Times New Roman" w:hAnsi="Times New Roman" w:eastAsia="方正仿宋_GBK" w:cs="Times New Roman"/>
          <w:color w:val="auto"/>
          <w:spacing w:val="-6"/>
          <w:kern w:val="2"/>
          <w:sz w:val="32"/>
          <w:szCs w:val="32"/>
          <w:highlight w:val="none"/>
          <w:u w:val="none" w:color="auto"/>
          <w:lang w:val="en-US" w:eastAsia="zh-CN" w:bidi="ar-SA"/>
        </w:rPr>
        <w:t>一廊、两江、多节点、多脉络</w:t>
      </w:r>
      <w:r>
        <w:rPr>
          <w:rFonts w:hint="eastAsia" w:ascii="Times New Roman" w:hAnsi="Times New Roman" w:eastAsia="方正仿宋_GBK" w:cs="方正仿宋_GBK"/>
          <w:color w:val="auto"/>
          <w:spacing w:val="-6"/>
          <w:kern w:val="2"/>
          <w:sz w:val="32"/>
          <w:szCs w:val="32"/>
          <w:highlight w:val="none"/>
          <w:u w:val="none" w:color="auto"/>
          <w:lang w:val="en-US" w:eastAsia="zh-CN" w:bidi="ar-SA"/>
        </w:rPr>
        <w:t>”</w:t>
      </w:r>
      <w:r>
        <w:rPr>
          <w:rFonts w:hint="default" w:ascii="Times New Roman" w:hAnsi="Times New Roman" w:eastAsia="方正仿宋_GBK" w:cs="Times New Roman"/>
          <w:color w:val="auto"/>
          <w:spacing w:val="-6"/>
          <w:kern w:val="2"/>
          <w:sz w:val="32"/>
          <w:szCs w:val="32"/>
          <w:highlight w:val="none"/>
          <w:u w:val="none" w:color="auto"/>
          <w:lang w:val="en-US" w:eastAsia="zh-CN" w:bidi="ar-SA"/>
        </w:rPr>
        <w:t>全域生态空间格局。</w:t>
      </w:r>
    </w:p>
    <w:p w14:paraId="027B35FF">
      <w:pPr>
        <w:pStyle w:val="16"/>
        <w:keepNext w:val="0"/>
        <w:keepLines w:val="0"/>
        <w:pageBreakBefore w:val="0"/>
        <w:widowControl w:val="0"/>
        <w:numPr>
          <w:ilvl w:val="0"/>
          <w:numId w:val="0"/>
        </w:numPr>
        <w:tabs>
          <w:tab w:val="right" w:leader="dot" w:pos="8844"/>
        </w:tabs>
        <w:kinsoku/>
        <w:wordWrap/>
        <w:overflowPunct/>
        <w:topLinePunct w:val="0"/>
        <w:autoSpaceDE/>
        <w:autoSpaceDN/>
        <w:bidi w:val="0"/>
        <w:adjustRightInd/>
        <w:snapToGrid/>
        <w:spacing w:line="60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2026" w:name="_Toc30125"/>
      <w:bookmarkStart w:id="2027" w:name="_Toc8727"/>
      <w:bookmarkStart w:id="2028" w:name="_Toc31508"/>
      <w:bookmarkStart w:id="2029" w:name="_Toc24582"/>
      <w:bookmarkStart w:id="2030" w:name="_Toc32666"/>
      <w:bookmarkStart w:id="2031" w:name="_Toc10047"/>
      <w:bookmarkStart w:id="2032" w:name="_Toc25317"/>
      <w:bookmarkStart w:id="2033" w:name="_Toc5872"/>
      <w:bookmarkStart w:id="2034" w:name="_Toc4576"/>
      <w:bookmarkStart w:id="2035" w:name="_Toc12099"/>
      <w:bookmarkStart w:id="2036" w:name="_Toc19027"/>
      <w:bookmarkStart w:id="2037" w:name="_Toc8772"/>
      <w:bookmarkStart w:id="2038" w:name="_Toc32134"/>
      <w:bookmarkStart w:id="2039" w:name="_Toc5657"/>
      <w:r>
        <w:rPr>
          <w:rFonts w:hint="default" w:ascii="Times New Roman" w:hAnsi="Times New Roman" w:eastAsia="方正楷体_GBK" w:cs="Times New Roman"/>
          <w:b w:val="0"/>
          <w:bCs w:val="0"/>
          <w:color w:val="auto"/>
          <w:kern w:val="2"/>
          <w:sz w:val="32"/>
          <w:szCs w:val="32"/>
          <w:highlight w:val="none"/>
          <w:u w:val="none" w:color="auto"/>
          <w:lang w:val="en-US" w:eastAsia="zh-CN" w:bidi="ar-SA"/>
        </w:rPr>
        <w:t>第二节</w:t>
      </w:r>
      <w:r>
        <w:rPr>
          <w:rFonts w:hint="default" w:ascii="Times New Roman" w:hAnsi="Times New Roman" w:eastAsia="方正楷体_GBK" w:cs="Times New Roman"/>
          <w:b w:val="0"/>
          <w:bCs w:val="0"/>
          <w:color w:val="auto"/>
          <w:sz w:val="32"/>
          <w:szCs w:val="32"/>
          <w:highlight w:val="none"/>
          <w:u w:val="none" w:color="auto"/>
          <w:lang w:val="en-US" w:eastAsia="zh-CN"/>
        </w:rPr>
        <w:t xml:space="preserve"> </w:t>
      </w:r>
      <w:bookmarkEnd w:id="2026"/>
      <w:bookmarkEnd w:id="2027"/>
      <w:r>
        <w:rPr>
          <w:rFonts w:hint="default" w:ascii="Times New Roman" w:hAnsi="Times New Roman" w:eastAsia="方正楷体_GBK" w:cs="Times New Roman"/>
          <w:b w:val="0"/>
          <w:bCs w:val="0"/>
          <w:color w:val="auto"/>
          <w:sz w:val="32"/>
          <w:szCs w:val="32"/>
          <w:highlight w:val="none"/>
          <w:u w:val="none" w:color="auto"/>
          <w:lang w:val="en-US" w:eastAsia="zh-CN"/>
        </w:rPr>
        <w:t>打造生态</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立体绿城</w:t>
      </w:r>
      <w:bookmarkEnd w:id="2028"/>
      <w:bookmarkEnd w:id="2029"/>
      <w:bookmarkEnd w:id="2030"/>
      <w:bookmarkEnd w:id="2031"/>
      <w:bookmarkEnd w:id="2032"/>
      <w:bookmarkEnd w:id="2033"/>
      <w:bookmarkEnd w:id="2034"/>
      <w:bookmarkEnd w:id="2035"/>
      <w:bookmarkEnd w:id="2036"/>
      <w:bookmarkEnd w:id="2037"/>
      <w:bookmarkEnd w:id="2038"/>
      <w:bookmarkEnd w:id="2039"/>
      <w:r>
        <w:rPr>
          <w:rFonts w:hint="eastAsia" w:ascii="Times New Roman" w:hAnsi="Times New Roman" w:eastAsia="方正仿宋_GBK" w:cs="方正仿宋_GBK"/>
          <w:b w:val="0"/>
          <w:bCs w:val="0"/>
          <w:color w:val="auto"/>
          <w:sz w:val="32"/>
          <w:szCs w:val="32"/>
          <w:highlight w:val="none"/>
          <w:u w:val="none" w:color="auto"/>
          <w:lang w:val="en-US" w:eastAsia="zh-CN"/>
        </w:rPr>
        <w:t>”</w:t>
      </w:r>
    </w:p>
    <w:p w14:paraId="4AE8BF42">
      <w:pPr>
        <w:keepNext w:val="0"/>
        <w:keepLines w:val="0"/>
        <w:pageBreakBefore w:val="0"/>
        <w:widowControl w:val="0"/>
        <w:kinsoku/>
        <w:wordWrap/>
        <w:overflowPunct/>
        <w:topLinePunct w:val="0"/>
        <w:autoSpaceDE/>
        <w:autoSpaceDN/>
        <w:bidi w:val="0"/>
        <w:adjustRightInd/>
        <w:snapToGrid w:val="0"/>
        <w:spacing w:line="600" w:lineRule="exact"/>
        <w:ind w:left="0" w:firstLine="643"/>
        <w:textAlignment w:val="auto"/>
        <w:rPr>
          <w:rFonts w:hint="default" w:ascii="Times New Roman" w:hAnsi="Times New Roman" w:eastAsia="方正仿宋_GBK" w:cs="Times New Roman"/>
          <w:color w:val="auto"/>
          <w:kern w:val="2"/>
          <w:sz w:val="32"/>
          <w:szCs w:val="32"/>
          <w:highlight w:val="none"/>
          <w:u w:val="none" w:color="auto"/>
          <w:lang w:val="en-US" w:eastAsia="zh-CN" w:bidi="ar-SA"/>
        </w:rPr>
      </w:pPr>
      <w:r>
        <w:rPr>
          <w:rFonts w:hint="default" w:ascii="Times New Roman" w:hAnsi="Times New Roman" w:eastAsia="方正仿宋_GBK" w:cs="Times New Roman"/>
          <w:color w:val="auto"/>
          <w:kern w:val="2"/>
          <w:sz w:val="32"/>
          <w:szCs w:val="32"/>
          <w:highlight w:val="none"/>
          <w:u w:val="none" w:color="auto"/>
          <w:lang w:val="en-US" w:eastAsia="zh-CN" w:bidi="ar-SA"/>
        </w:rPr>
        <w:t>一体规划建设城市生态廊道、山城绿道与通风廊道，串联城市自然与人文节点，营造</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推窗见绿、出门见景、四季见花</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的绿城氛围。实施</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见缝插绿</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行动，充分利用城市边角地、闲置地、桥下空间、高架匝道围合区等</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金角银边</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地块打造口袋公园、小微绿地。大力推进立体绿化，以</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除险、拆违、清杂、增绿</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仿宋_GBK" w:cs="Times New Roman"/>
          <w:color w:val="auto"/>
          <w:kern w:val="2"/>
          <w:sz w:val="32"/>
          <w:szCs w:val="32"/>
          <w:highlight w:val="none"/>
          <w:u w:val="none" w:color="auto"/>
          <w:lang w:val="en-US" w:eastAsia="zh-CN" w:bidi="ar-SA"/>
        </w:rPr>
        <w:t>为重点，分类推进第五立面更新，鼓励商业楼宇实施垂直绿化。推进坡坎崖生态修复工程，完成坡地绿化美化2万平方米以上。</w:t>
      </w:r>
      <w:r>
        <w:rPr>
          <w:rFonts w:hint="default" w:ascii="Times New Roman" w:hAnsi="Times New Roman" w:eastAsia="方正仿宋_GBK" w:cs="Times New Roman"/>
          <w:color w:val="auto"/>
          <w:sz w:val="32"/>
          <w:szCs w:val="32"/>
          <w:highlight w:val="none"/>
          <w:u w:val="none" w:color="auto"/>
        </w:rPr>
        <w:t>合理控制</w:t>
      </w:r>
      <w:r>
        <w:rPr>
          <w:rFonts w:hint="default" w:ascii="Times New Roman" w:hAnsi="Times New Roman" w:eastAsia="方正仿宋_GBK" w:cs="Times New Roman"/>
          <w:color w:val="auto"/>
          <w:sz w:val="32"/>
          <w:szCs w:val="32"/>
          <w:highlight w:val="none"/>
          <w:u w:val="none" w:color="auto"/>
          <w:lang w:eastAsia="zh-CN"/>
        </w:rPr>
        <w:t>已拆待建区域</w:t>
      </w:r>
      <w:r>
        <w:rPr>
          <w:rFonts w:hint="default" w:ascii="Times New Roman" w:hAnsi="Times New Roman" w:eastAsia="方正仿宋_GBK" w:cs="Times New Roman"/>
          <w:color w:val="auto"/>
          <w:sz w:val="32"/>
          <w:szCs w:val="32"/>
          <w:highlight w:val="none"/>
          <w:u w:val="none" w:color="auto"/>
        </w:rPr>
        <w:t>开发强度，尽可能增加绿地及开敞空间，努力将渝中打造成</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一座会呼吸的城市</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w:t>
      </w:r>
    </w:p>
    <w:p w14:paraId="3362A9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2040" w:name="_Toc10209"/>
    </w:p>
    <w:p w14:paraId="6D24D2E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2041" w:name="_Toc30532"/>
      <w:bookmarkStart w:id="2042" w:name="_Toc13065"/>
      <w:bookmarkStart w:id="2043" w:name="_Toc24304"/>
      <w:bookmarkStart w:id="2044" w:name="_Toc12852"/>
      <w:bookmarkStart w:id="2045" w:name="_Toc24838"/>
      <w:bookmarkStart w:id="2046" w:name="_Toc32511"/>
      <w:bookmarkStart w:id="2047" w:name="_Toc32609"/>
      <w:bookmarkStart w:id="2048" w:name="_Toc18699"/>
      <w:bookmarkStart w:id="2049" w:name="_Toc32263"/>
      <w:bookmarkStart w:id="2050" w:name="_Toc15073"/>
      <w:bookmarkStart w:id="2051" w:name="_Toc601"/>
      <w:r>
        <w:rPr>
          <w:rFonts w:hint="default" w:ascii="Times New Roman" w:hAnsi="Times New Roman" w:eastAsia="方正黑体_GBK" w:cs="Times New Roman"/>
          <w:b w:val="0"/>
          <w:bCs w:val="0"/>
          <w:color w:val="auto"/>
          <w:kern w:val="44"/>
          <w:sz w:val="32"/>
          <w:szCs w:val="32"/>
          <w:highlight w:val="none"/>
          <w:u w:val="none" w:color="auto"/>
          <w:lang w:val="en-US" w:eastAsia="zh-CN"/>
        </w:rPr>
        <w:t>第十三篇 推动平安渝中法治渝中建设 以高水平安全护航高质量发展</w:t>
      </w:r>
      <w:bookmarkEnd w:id="2040"/>
      <w:bookmarkEnd w:id="2041"/>
      <w:bookmarkEnd w:id="2042"/>
      <w:bookmarkEnd w:id="2043"/>
      <w:bookmarkEnd w:id="2044"/>
      <w:bookmarkEnd w:id="2045"/>
      <w:bookmarkEnd w:id="2046"/>
      <w:bookmarkEnd w:id="2047"/>
      <w:bookmarkEnd w:id="2048"/>
      <w:bookmarkEnd w:id="2049"/>
      <w:bookmarkEnd w:id="2050"/>
      <w:bookmarkEnd w:id="2051"/>
    </w:p>
    <w:p w14:paraId="3BCB147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2052" w:name="_Toc14060"/>
    </w:p>
    <w:p w14:paraId="3B551F4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坚定不移贯彻落实总体国家安全观，深化平安渝中法治渝中一体推进机制，坚持大平安理念，发挥法治规范引领保障作用，构建全域覆盖、预防为主、多跨协同、智能高效的安全保障体系，全面提升本质安全水平。</w:t>
      </w:r>
    </w:p>
    <w:p w14:paraId="68879B8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053" w:name="_Toc26482"/>
      <w:bookmarkStart w:id="2054" w:name="_Toc26507"/>
      <w:bookmarkStart w:id="2055" w:name="_Toc27912"/>
      <w:bookmarkStart w:id="2056" w:name="_Toc22725"/>
      <w:bookmarkStart w:id="2057" w:name="_Toc21105"/>
      <w:bookmarkStart w:id="2058" w:name="_Toc10865"/>
      <w:bookmarkStart w:id="2059" w:name="_Toc19304"/>
      <w:bookmarkStart w:id="2060" w:name="_Toc27541"/>
      <w:bookmarkStart w:id="2061" w:name="_Toc29513"/>
      <w:bookmarkStart w:id="2062" w:name="_Toc16586"/>
      <w:bookmarkStart w:id="2063" w:name="_Toc16963"/>
      <w:bookmarkStart w:id="2064" w:name="_Toc30595"/>
      <w:r>
        <w:rPr>
          <w:rFonts w:hint="default" w:ascii="Times New Roman" w:hAnsi="Times New Roman" w:eastAsia="方正黑体_GBK" w:cs="Times New Roman"/>
          <w:color w:val="auto"/>
          <w:sz w:val="32"/>
          <w:szCs w:val="32"/>
          <w:highlight w:val="none"/>
          <w:u w:val="none" w:color="auto"/>
          <w:lang w:val="en-US" w:eastAsia="zh-CN"/>
        </w:rPr>
        <w:t>第五十二章 加强维护国家安全体系和能力建设</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p>
    <w:p w14:paraId="0D9C219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bookmarkStart w:id="2065" w:name="_Toc14911"/>
      <w:r>
        <w:rPr>
          <w:rFonts w:hint="default" w:ascii="Times New Roman" w:hAnsi="Times New Roman" w:eastAsia="方正仿宋_GBK" w:cs="Times New Roman"/>
          <w:color w:val="auto"/>
          <w:sz w:val="32"/>
          <w:szCs w:val="32"/>
          <w:highlight w:val="none"/>
          <w:u w:val="none" w:color="auto"/>
          <w:lang w:val="en-US" w:eastAsia="zh-CN"/>
        </w:rPr>
        <w:t>坚决落实国家安全战略体系，加强重点领域国家安全能力建设，突出保障事关长治久安、经济健康稳定、人民安居乐业的重大安全，全面筑牢国家安全人民防线。</w:t>
      </w:r>
    </w:p>
    <w:p w14:paraId="52C14F6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066" w:name="_Toc7141"/>
      <w:bookmarkStart w:id="2067" w:name="_Toc28719"/>
      <w:r>
        <w:rPr>
          <w:rFonts w:hint="default" w:ascii="Times New Roman" w:hAnsi="Times New Roman" w:eastAsia="方正楷体_GBK" w:cs="Times New Roman"/>
          <w:color w:val="auto"/>
          <w:sz w:val="32"/>
          <w:szCs w:val="32"/>
          <w:highlight w:val="none"/>
          <w:u w:val="none" w:color="auto"/>
          <w:lang w:val="en-US" w:eastAsia="zh-CN"/>
        </w:rPr>
        <w:t>第一节 坚定捍卫政治安全</w:t>
      </w:r>
      <w:bookmarkEnd w:id="2066"/>
      <w:bookmarkEnd w:id="2067"/>
    </w:p>
    <w:p w14:paraId="5B14E101">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640" w:firstLineChars="200"/>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rPr>
        <w:t>健全捍卫政治安全体系，</w:t>
      </w:r>
      <w:r>
        <w:rPr>
          <w:rFonts w:hint="default" w:ascii="Times New Roman" w:hAnsi="Times New Roman" w:eastAsia="方正仿宋_GBK" w:cs="Times New Roman"/>
          <w:color w:val="auto"/>
          <w:sz w:val="32"/>
          <w:szCs w:val="32"/>
          <w:highlight w:val="none"/>
          <w:u w:val="none" w:color="auto"/>
          <w:lang w:val="en-US" w:eastAsia="zh-CN"/>
        </w:rPr>
        <w:t>坚定维护国家政权安全、制度安全、意识形态安全，严密防范和严厉打击敌对势力渗透破坏、暴力恐怖、颠覆分裂活动，加强邪教问题综合治理，严防</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街头政治</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颜色革命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，确保涉政涉恐重大敏感事件</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零发生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。深入实施</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清朗巴渝</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专项行动，完善意识形态</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三全协同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体系。全面落实一体化国家战略体系和能力建设要求，加强网络、数据、人工智能、生物、生态、低空等新兴领域国家安全基本能力建设。落实国家安全责任制，提升维护国家安全所需的资金、物资、技术、装备等保障能力。加强民兵、预备役等后备力量储备，提升数字武装建设质效，完善国防动员体系。深化双拥共建和社会化</w:t>
      </w:r>
      <w:r>
        <w:rPr>
          <w:rFonts w:hint="default" w:ascii="Times New Roman" w:hAnsi="Times New Roman" w:eastAsia="方正仿宋_GBK" w:cs="Times New Roman"/>
          <w:color w:val="auto"/>
          <w:spacing w:val="-6"/>
          <w:sz w:val="32"/>
          <w:szCs w:val="32"/>
          <w:highlight w:val="none"/>
          <w:u w:val="none" w:color="auto"/>
          <w:lang w:val="en-US" w:eastAsia="zh-CN"/>
        </w:rPr>
        <w:t>拥军活动。开展总体国家安全观宣传教育，增强全民国家安全意识。</w:t>
      </w:r>
    </w:p>
    <w:p w14:paraId="76F22F2A">
      <w:pPr>
        <w:pStyle w:val="16"/>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center"/>
        <w:textAlignment w:val="auto"/>
        <w:outlineLvl w:val="2"/>
        <w:rPr>
          <w:rFonts w:hint="default" w:ascii="Times New Roman" w:hAnsi="Times New Roman" w:eastAsia="方正黑体_GBK" w:cs="Times New Roman"/>
          <w:color w:val="auto"/>
          <w:sz w:val="32"/>
          <w:szCs w:val="32"/>
          <w:highlight w:val="none"/>
          <w:u w:val="none" w:color="auto"/>
          <w:lang w:val="en-US" w:eastAsia="zh-CN"/>
        </w:rPr>
      </w:pPr>
      <w:bookmarkStart w:id="2068" w:name="_Toc24777"/>
      <w:bookmarkStart w:id="2069" w:name="_Toc23631"/>
      <w:r>
        <w:rPr>
          <w:rFonts w:hint="default" w:ascii="Times New Roman" w:hAnsi="Times New Roman" w:eastAsia="方正楷体_GBK" w:cs="Times New Roman"/>
          <w:color w:val="auto"/>
          <w:sz w:val="32"/>
          <w:szCs w:val="32"/>
          <w:highlight w:val="none"/>
          <w:u w:val="none" w:color="auto"/>
          <w:lang w:val="en-US" w:eastAsia="zh-CN"/>
        </w:rPr>
        <w:t xml:space="preserve">第二节  </w:t>
      </w:r>
      <w:bookmarkStart w:id="2070" w:name="_Toc2209"/>
      <w:bookmarkStart w:id="2071" w:name="_Toc22686"/>
      <w:bookmarkStart w:id="2072" w:name="_Toc8100"/>
      <w:bookmarkStart w:id="2073" w:name="_Toc11176"/>
      <w:bookmarkStart w:id="2074" w:name="_Toc15372"/>
      <w:bookmarkStart w:id="2075" w:name="_Toc25059"/>
      <w:bookmarkStart w:id="2076" w:name="_Toc28192"/>
      <w:bookmarkStart w:id="2077" w:name="_Toc30542"/>
      <w:bookmarkStart w:id="2078" w:name="_Toc19874"/>
      <w:r>
        <w:rPr>
          <w:rFonts w:hint="default" w:ascii="Times New Roman" w:hAnsi="Times New Roman" w:eastAsia="方正楷体_GBK" w:cs="Times New Roman"/>
          <w:color w:val="auto"/>
          <w:sz w:val="32"/>
          <w:szCs w:val="32"/>
          <w:highlight w:val="none"/>
          <w:u w:val="none" w:color="auto"/>
          <w:lang w:val="en-US" w:eastAsia="zh-CN"/>
        </w:rPr>
        <w:t>防范化解重点领域风险</w:t>
      </w:r>
      <w:bookmarkEnd w:id="2068"/>
      <w:bookmarkEnd w:id="2069"/>
      <w:bookmarkEnd w:id="2070"/>
      <w:bookmarkEnd w:id="2071"/>
      <w:bookmarkEnd w:id="2072"/>
      <w:bookmarkEnd w:id="2073"/>
      <w:bookmarkEnd w:id="2074"/>
      <w:bookmarkEnd w:id="2075"/>
      <w:bookmarkEnd w:id="2076"/>
      <w:bookmarkEnd w:id="2077"/>
      <w:bookmarkEnd w:id="2078"/>
    </w:p>
    <w:p w14:paraId="67BD52D4">
      <w:pPr>
        <w:pStyle w:val="14"/>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outlineLvl w:val="9"/>
        <w:rPr>
          <w:rFonts w:hint="default" w:ascii="Times New Roman" w:hAnsi="Times New Roman" w:cs="Times New Roman"/>
          <w:color w:val="auto"/>
          <w:highlight w:val="none"/>
          <w:u w:val="none" w:color="auto"/>
        </w:rPr>
      </w:pPr>
      <w:r>
        <w:rPr>
          <w:rFonts w:hint="default" w:ascii="Times New Roman" w:hAnsi="Times New Roman" w:eastAsia="方正仿宋_GBK" w:cs="Times New Roman"/>
          <w:color w:val="auto"/>
          <w:sz w:val="32"/>
          <w:szCs w:val="32"/>
          <w:highlight w:val="none"/>
          <w:u w:val="none" w:color="auto"/>
          <w:lang w:val="en-US" w:eastAsia="zh-CN"/>
        </w:rPr>
        <w:t>健全金融风险监测、预警、处置、问责闭环机制，依法打击非法金融活动，保持中小金融机构零风险。构建房地产市场平稳健康发展长效机制，精准实施信贷政策，完善贯通金融、信用、市场监管等环节全周期风险治理体系。落实全口径地方债务监测监管体系和防范化解隐性债务风险长效机制，加力化解政府债务风险。强化新技术、新业态、新模式安全监管，加强人工智能、生物安全、数据安全等潜在风险监控，促进低空经济、数字经济、平台经济等健康有序发展。健全风险评估和应对机制，提升产业链供应链韧性和安全水平。</w:t>
      </w:r>
    </w:p>
    <w:p w14:paraId="7F544117">
      <w:pPr>
        <w:pStyle w:val="14"/>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079" w:name="_Toc14442"/>
      <w:bookmarkStart w:id="2080" w:name="_Toc5259"/>
      <w:bookmarkStart w:id="2081" w:name="_Toc8291"/>
      <w:bookmarkStart w:id="2082" w:name="_Toc5520"/>
      <w:bookmarkStart w:id="2083" w:name="_Toc9962"/>
      <w:bookmarkStart w:id="2084" w:name="_Toc8393"/>
      <w:bookmarkStart w:id="2085" w:name="_Toc9901"/>
      <w:bookmarkStart w:id="2086" w:name="_Toc28853"/>
      <w:bookmarkStart w:id="2087" w:name="_Toc7056"/>
      <w:bookmarkStart w:id="2088" w:name="_Toc11210"/>
      <w:bookmarkStart w:id="2089" w:name="_Toc10752"/>
      <w:bookmarkStart w:id="2090" w:name="_Toc29074"/>
      <w:r>
        <w:rPr>
          <w:rFonts w:hint="default" w:ascii="Times New Roman" w:hAnsi="Times New Roman" w:eastAsia="方正黑体_GBK" w:cs="Times New Roman"/>
          <w:color w:val="auto"/>
          <w:sz w:val="32"/>
          <w:szCs w:val="32"/>
          <w:highlight w:val="none"/>
          <w:u w:val="none" w:color="auto"/>
          <w:lang w:val="en-US" w:eastAsia="zh-CN"/>
        </w:rPr>
        <w:t>第五十三章 提升大平安体系建设水平</w:t>
      </w:r>
      <w:bookmarkEnd w:id="2065"/>
      <w:bookmarkEnd w:id="2079"/>
      <w:bookmarkEnd w:id="2080"/>
      <w:bookmarkEnd w:id="2081"/>
      <w:bookmarkEnd w:id="2082"/>
      <w:bookmarkEnd w:id="2083"/>
      <w:bookmarkEnd w:id="2084"/>
      <w:bookmarkEnd w:id="2085"/>
      <w:bookmarkEnd w:id="2086"/>
      <w:bookmarkEnd w:id="2087"/>
      <w:bookmarkEnd w:id="2088"/>
      <w:bookmarkEnd w:id="2089"/>
      <w:bookmarkEnd w:id="2090"/>
    </w:p>
    <w:p w14:paraId="435E9693">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坚持人民至上、生命至上，强化重点领域安全能力建设，健全城市安全风险全量闭环智控体系，推动公共安全治理模式向事前转型，切实保障人民群众生命财产安全。</w:t>
      </w:r>
    </w:p>
    <w:p w14:paraId="4E846D7D">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091" w:name="_Toc8715"/>
      <w:bookmarkStart w:id="2092" w:name="_Toc22926"/>
      <w:bookmarkStart w:id="2093" w:name="_Toc8721"/>
      <w:bookmarkStart w:id="2094" w:name="_Toc749"/>
      <w:bookmarkStart w:id="2095" w:name="_Toc122"/>
      <w:bookmarkStart w:id="2096" w:name="_Toc24676"/>
      <w:bookmarkStart w:id="2097" w:name="_Toc26017"/>
      <w:bookmarkStart w:id="2098" w:name="_Toc16680"/>
      <w:bookmarkStart w:id="2099" w:name="_Toc195"/>
      <w:bookmarkStart w:id="2100" w:name="_Toc28699"/>
      <w:bookmarkStart w:id="2101" w:name="_Toc19296"/>
      <w:bookmarkStart w:id="2102" w:name="_Toc20928"/>
      <w:r>
        <w:rPr>
          <w:rFonts w:hint="default" w:ascii="Times New Roman" w:hAnsi="Times New Roman" w:eastAsia="方正楷体_GBK" w:cs="Times New Roman"/>
          <w:color w:val="auto"/>
          <w:sz w:val="32"/>
          <w:szCs w:val="32"/>
          <w:highlight w:val="none"/>
          <w:u w:val="none" w:color="auto"/>
          <w:lang w:val="en-US" w:eastAsia="zh-CN"/>
        </w:rPr>
        <w:t>第一节 保障食品药品安全</w:t>
      </w:r>
      <w:bookmarkEnd w:id="2091"/>
      <w:bookmarkEnd w:id="2092"/>
      <w:bookmarkEnd w:id="2093"/>
      <w:bookmarkEnd w:id="2094"/>
      <w:bookmarkEnd w:id="2095"/>
      <w:bookmarkEnd w:id="2096"/>
      <w:bookmarkEnd w:id="2097"/>
      <w:bookmarkEnd w:id="2098"/>
      <w:bookmarkEnd w:id="2099"/>
      <w:bookmarkEnd w:id="2100"/>
      <w:bookmarkEnd w:id="2101"/>
      <w:bookmarkEnd w:id="2102"/>
    </w:p>
    <w:p w14:paraId="5D7E1031">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围绕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四个最严</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要求，打造全程闭环、数智赋能的食品药品安全监管体系。实施食品安全放心工程，强化学校等集中用餐单位监管，推进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阳光厨房</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建设，督促外卖餐饮</w:t>
      </w:r>
      <w:r>
        <w:rPr>
          <w:rFonts w:hint="eastAsia" w:ascii="Times New Roman" w:hAnsi="Times New Roman" w:eastAsia="方正仿宋_GBK" w:cs="Times New Roman"/>
          <w:color w:val="auto"/>
          <w:sz w:val="32"/>
          <w:szCs w:val="32"/>
          <w:highlight w:val="none"/>
          <w:u w:val="none" w:color="auto"/>
          <w:lang w:val="en-US" w:eastAsia="zh-CN"/>
        </w:rPr>
        <w:t>单位</w:t>
      </w:r>
      <w:r>
        <w:rPr>
          <w:rFonts w:hint="default" w:ascii="Times New Roman" w:hAnsi="Times New Roman" w:eastAsia="方正仿宋_GBK" w:cs="Times New Roman"/>
          <w:color w:val="auto"/>
          <w:sz w:val="32"/>
          <w:szCs w:val="32"/>
          <w:highlight w:val="none"/>
          <w:u w:val="none" w:color="auto"/>
          <w:lang w:val="en-US" w:eastAsia="zh-CN"/>
        </w:rPr>
        <w:t>落实</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互联网+明厨亮灶</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。加大疫苗、血液制品、无菌及植入性医疗器械等高风险药品监管力度，确保药品抽检合格率稳定在99%以上。落实食品药品安全法规制度，织密安全防护网。</w:t>
      </w:r>
    </w:p>
    <w:p w14:paraId="3C1921A4">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仿宋_GBK" w:cs="Times New Roman"/>
          <w:color w:val="auto"/>
          <w:sz w:val="32"/>
          <w:szCs w:val="32"/>
          <w:highlight w:val="none"/>
          <w:u w:val="none" w:color="auto"/>
          <w:lang w:val="en-US" w:eastAsia="zh-CN"/>
        </w:rPr>
      </w:pPr>
      <w:bookmarkStart w:id="2103" w:name="_Toc25513"/>
      <w:bookmarkStart w:id="2104" w:name="_Toc15098"/>
      <w:bookmarkStart w:id="2105" w:name="_Toc6736"/>
      <w:r>
        <w:rPr>
          <w:rFonts w:hint="default" w:ascii="Times New Roman" w:hAnsi="Times New Roman" w:eastAsia="方正楷体_GBK" w:cs="Times New Roman"/>
          <w:color w:val="auto"/>
          <w:sz w:val="32"/>
          <w:szCs w:val="32"/>
          <w:highlight w:val="none"/>
          <w:u w:val="none" w:color="auto"/>
          <w:lang w:val="en-US" w:eastAsia="zh-CN"/>
        </w:rPr>
        <w:t>第二节 持续打好安全生产保卫战</w:t>
      </w:r>
      <w:bookmarkEnd w:id="2103"/>
      <w:bookmarkEnd w:id="2104"/>
      <w:bookmarkEnd w:id="2105"/>
    </w:p>
    <w:p w14:paraId="0E39B29E">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构建安全生产全域风险防控体系，聚焦工程建筑项目、城市交通、危险化学品、燃气、景区景点等关键领域，</w:t>
      </w:r>
      <w:r>
        <w:rPr>
          <w:rFonts w:hint="default" w:ascii="Times New Roman" w:hAnsi="Times New Roman" w:eastAsia="方正仿宋_GBK" w:cs="Times New Roman"/>
          <w:color w:val="auto"/>
          <w:spacing w:val="0"/>
          <w:sz w:val="32"/>
          <w:szCs w:val="32"/>
          <w:highlight w:val="none"/>
          <w:u w:val="none" w:color="auto"/>
          <w:lang w:val="en-US" w:eastAsia="zh-CN"/>
        </w:rPr>
        <w:t>提升风险智能监测与实战治理能力，</w:t>
      </w:r>
      <w:r>
        <w:rPr>
          <w:rFonts w:hint="default" w:ascii="Times New Roman" w:hAnsi="Times New Roman" w:eastAsia="方正仿宋_GBK" w:cs="Times New Roman"/>
          <w:color w:val="auto"/>
          <w:sz w:val="32"/>
          <w:szCs w:val="32"/>
          <w:highlight w:val="none"/>
          <w:u w:val="none" w:color="auto"/>
          <w:lang w:val="en-US" w:eastAsia="zh-CN"/>
        </w:rPr>
        <w:t>强化安全生产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一件事</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链条专项整治，坚决遏制较大以上安全事故。深入开展人员密集场所、库房等火灾高风险对象隐患排查，常态化抓好高层建筑消防安全整治。压实安全生产党政领导责任、部门监管责任、属地管理责任和企业主体责任，完善重大决策安全风险评估与论证机制。</w:t>
      </w:r>
    </w:p>
    <w:p w14:paraId="51EAA60C">
      <w:pPr>
        <w:pStyle w:val="16"/>
        <w:keepNext w:val="0"/>
        <w:keepLines w:val="0"/>
        <w:pageBreakBefore w:val="0"/>
        <w:widowControl w:val="0"/>
        <w:numPr>
          <w:ilvl w:val="-1"/>
          <w:numId w:val="0"/>
        </w:numPr>
        <w:tabs>
          <w:tab w:val="right" w:leader="dot" w:pos="8844"/>
        </w:tabs>
        <w:kinsoku/>
        <w:wordWrap/>
        <w:overflowPunct/>
        <w:topLinePunct w:val="0"/>
        <w:autoSpaceDE/>
        <w:autoSpaceDN/>
        <w:bidi w:val="0"/>
        <w:adjustRightInd/>
        <w:snapToGrid/>
        <w:spacing w:line="600" w:lineRule="exact"/>
        <w:ind w:left="420" w:leftChars="200" w:firstLineChars="0"/>
        <w:jc w:val="center"/>
        <w:textAlignment w:val="auto"/>
        <w:outlineLvl w:val="2"/>
        <w:rPr>
          <w:rFonts w:hint="default" w:ascii="Times New Roman" w:hAnsi="Times New Roman" w:eastAsia="方正仿宋_GBK" w:cs="Times New Roman"/>
          <w:color w:val="auto"/>
          <w:sz w:val="32"/>
          <w:szCs w:val="32"/>
          <w:highlight w:val="none"/>
          <w:u w:val="none" w:color="auto"/>
          <w:lang w:val="en-US" w:eastAsia="zh-CN"/>
        </w:rPr>
      </w:pPr>
      <w:bookmarkStart w:id="2106" w:name="_Toc16368"/>
      <w:bookmarkStart w:id="2107" w:name="_Toc23473"/>
      <w:bookmarkStart w:id="2108" w:name="_Toc5841"/>
      <w:r>
        <w:rPr>
          <w:rFonts w:hint="default" w:ascii="Times New Roman" w:hAnsi="Times New Roman" w:eastAsia="方正楷体_GBK" w:cs="Times New Roman"/>
          <w:color w:val="auto"/>
          <w:sz w:val="32"/>
          <w:szCs w:val="32"/>
          <w:highlight w:val="none"/>
          <w:u w:val="none" w:color="auto"/>
          <w:lang w:val="en-US" w:eastAsia="zh-CN"/>
        </w:rPr>
        <w:t>第三节 加强社会整体防控体系和能力建设</w:t>
      </w:r>
      <w:bookmarkEnd w:id="2106"/>
      <w:bookmarkEnd w:id="2107"/>
      <w:bookmarkEnd w:id="2108"/>
    </w:p>
    <w:p w14:paraId="0AFDC9F7">
      <w:pPr>
        <w:pStyle w:val="16"/>
        <w:keepNext w:val="0"/>
        <w:keepLines w:val="0"/>
        <w:pageBreakBefore w:val="0"/>
        <w:widowControl w:val="0"/>
        <w:numPr>
          <w:ilvl w:val="-1"/>
          <w:numId w:val="0"/>
        </w:numPr>
        <w:tabs>
          <w:tab w:val="right" w:leader="dot" w:pos="8844"/>
        </w:tabs>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cs="Times New Roman"/>
          <w:color w:val="auto"/>
          <w:highlight w:val="none"/>
          <w:u w:val="none" w:color="auto"/>
          <w:lang w:val="en-US" w:eastAsia="zh-CN"/>
        </w:rPr>
      </w:pPr>
      <w:r>
        <w:rPr>
          <w:rFonts w:hint="default" w:ascii="Times New Roman" w:hAnsi="Times New Roman" w:eastAsia="方正仿宋_GBK" w:cs="Times New Roman"/>
          <w:color w:val="auto"/>
          <w:sz w:val="32"/>
          <w:szCs w:val="40"/>
          <w:highlight w:val="none"/>
          <w:u w:val="none" w:color="auto"/>
          <w:lang w:val="en-US" w:eastAsia="zh-CN"/>
        </w:rPr>
        <w:t>常态化开展扫黑除恶斗争，依法严惩群众反映强烈的各类违法犯罪活动。强化未成年人违法犯罪预防和治理，探索涉案未成年人心理服务机制，</w:t>
      </w:r>
      <w:r>
        <w:rPr>
          <w:rFonts w:hint="default" w:ascii="Times New Roman" w:hAnsi="Times New Roman" w:eastAsia="方正仿宋_GBK" w:cs="Times New Roman"/>
          <w:color w:val="auto"/>
          <w:sz w:val="32"/>
          <w:szCs w:val="32"/>
          <w:highlight w:val="none"/>
          <w:u w:val="none" w:color="auto"/>
          <w:lang w:val="en-US" w:eastAsia="zh-CN"/>
        </w:rPr>
        <w:t>常态化开展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莎姐守未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护校安园</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、防溺水、防欺凌等专项行动，持续擦亮</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渝检护‘未’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红岩花儿朵朵开</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等工作品牌。健全一体化网络应急指挥体系，完善网络舆情报告预警和协同处置机制。深入推进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人工智能+全民反诈</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平台建设，严打新型网络犯罪。迭代升级毒品治理工作体系，深入开展新一轮禁毒人民战争。强化个人信息保护，建立个人极端事件防范长效机制。在要地周边开展无人机安全防护设施建设，强化空域管理。补齐公安基础设施短板，推进警用装备现代化智能化升级。</w:t>
      </w:r>
    </w:p>
    <w:p w14:paraId="438C92F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09" w:name="_Toc3111"/>
      <w:bookmarkStart w:id="2110" w:name="_Toc1398"/>
      <w:bookmarkStart w:id="2111" w:name="_Toc27384"/>
      <w:bookmarkStart w:id="2112" w:name="_Toc19057"/>
      <w:bookmarkStart w:id="2113" w:name="_Toc22735"/>
      <w:bookmarkStart w:id="2114" w:name="_Toc32613"/>
      <w:bookmarkStart w:id="2115" w:name="_Toc1226"/>
      <w:bookmarkStart w:id="2116" w:name="_Toc28680"/>
      <w:bookmarkStart w:id="2117" w:name="_Toc31763"/>
      <w:bookmarkStart w:id="2118" w:name="_Toc19462"/>
      <w:bookmarkStart w:id="2119" w:name="_Toc6705"/>
      <w:bookmarkStart w:id="2120" w:name="_Toc23588"/>
      <w:r>
        <w:rPr>
          <w:rFonts w:hint="default" w:ascii="Times New Roman" w:hAnsi="Times New Roman" w:eastAsia="方正楷体_GBK" w:cs="Times New Roman"/>
          <w:color w:val="auto"/>
          <w:sz w:val="32"/>
          <w:szCs w:val="32"/>
          <w:highlight w:val="none"/>
          <w:u w:val="none" w:color="auto"/>
          <w:lang w:val="en-US" w:eastAsia="zh-CN"/>
        </w:rPr>
        <w:t>第四节 加强防灾减灾救灾能力建设</w:t>
      </w:r>
      <w:bookmarkEnd w:id="2109"/>
      <w:bookmarkEnd w:id="2110"/>
      <w:bookmarkEnd w:id="2111"/>
      <w:bookmarkEnd w:id="2112"/>
      <w:bookmarkEnd w:id="2113"/>
      <w:bookmarkEnd w:id="2114"/>
      <w:bookmarkEnd w:id="2115"/>
      <w:bookmarkEnd w:id="2116"/>
      <w:bookmarkEnd w:id="2117"/>
      <w:bookmarkEnd w:id="2118"/>
      <w:bookmarkEnd w:id="2119"/>
      <w:bookmarkEnd w:id="2120"/>
    </w:p>
    <w:p w14:paraId="27308DD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健全大安全大应急框架下的智能联合指挥调度体系，完善灾害应对处置叫应、熔断、前置机制，逐步提高抗震设防标准，增强洪涝旱灾、绿地火灾、气象灾害、地震地质等自然灾害防御能力。完善应急预案体系，</w:t>
      </w:r>
      <w:r>
        <w:rPr>
          <w:rFonts w:hint="default" w:ascii="Times New Roman" w:hAnsi="Times New Roman" w:eastAsia="方正仿宋_GBK" w:cs="Times New Roman"/>
          <w:b w:val="0"/>
          <w:bCs w:val="0"/>
          <w:color w:val="auto"/>
          <w:kern w:val="44"/>
          <w:sz w:val="32"/>
          <w:szCs w:val="32"/>
          <w:highlight w:val="none"/>
          <w:u w:val="none" w:color="auto"/>
          <w:lang w:val="en-US" w:eastAsia="zh-CN" w:bidi="ar"/>
        </w:rPr>
        <w:t>优化区、街道、社区三级和长期、短期、紧急三类应急避难场所布局。</w:t>
      </w:r>
      <w:r>
        <w:rPr>
          <w:rFonts w:hint="default" w:ascii="Times New Roman" w:hAnsi="Times New Roman" w:eastAsia="方正仿宋_GBK" w:cs="Times New Roman"/>
          <w:color w:val="auto"/>
          <w:sz w:val="32"/>
          <w:szCs w:val="32"/>
          <w:highlight w:val="none"/>
          <w:u w:val="none" w:color="auto"/>
          <w:lang w:val="en-US" w:eastAsia="zh-CN"/>
        </w:rPr>
        <w:t>常态化组织实装演练和联防联训，提升突发事件处置应对能力。强化救灾物资储备能力，建立规模适度、管理规范、布局合理的救灾物资保障体系。</w:t>
      </w:r>
      <w:r>
        <w:rPr>
          <w:rFonts w:hint="default" w:ascii="Times New Roman" w:hAnsi="Times New Roman" w:eastAsia="方正仿宋_GBK" w:cs="Times New Roman"/>
          <w:b w:val="0"/>
          <w:bCs w:val="0"/>
          <w:color w:val="auto"/>
          <w:kern w:val="44"/>
          <w:sz w:val="32"/>
          <w:szCs w:val="32"/>
          <w:highlight w:val="none"/>
          <w:u w:val="none" w:color="auto"/>
          <w:lang w:val="en-US" w:eastAsia="zh-CN" w:bidi="ar"/>
        </w:rPr>
        <w:t>完善灾后救助和恢复重建补助机制。强</w:t>
      </w:r>
      <w:r>
        <w:rPr>
          <w:rFonts w:hint="default" w:ascii="Times New Roman" w:hAnsi="Times New Roman" w:eastAsia="方正仿宋_GBK" w:cs="Times New Roman"/>
          <w:color w:val="auto"/>
          <w:sz w:val="32"/>
          <w:szCs w:val="32"/>
          <w:highlight w:val="none"/>
          <w:u w:val="none" w:color="auto"/>
          <w:lang w:val="en-US" w:eastAsia="zh-CN"/>
        </w:rPr>
        <w:t>化粮食应急保供能力，确保突发事件下主副食品市场有效供给。建立预警和应急机制，维护电力、供水、油气、医疗、通信、网络等重要基础设施安全。</w:t>
      </w:r>
      <w:bookmarkStart w:id="2121" w:name="_Toc15291"/>
    </w:p>
    <w:p w14:paraId="06BAE2DA">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640" w:firstLineChars="20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122" w:name="_Toc8057"/>
      <w:bookmarkStart w:id="2123" w:name="_Toc17297"/>
      <w:bookmarkStart w:id="2124" w:name="_Toc14878"/>
      <w:bookmarkStart w:id="2125" w:name="_Toc15715"/>
      <w:bookmarkStart w:id="2126" w:name="_Toc6030"/>
      <w:bookmarkStart w:id="2127" w:name="_Toc23446"/>
      <w:bookmarkStart w:id="2128" w:name="_Toc10589"/>
      <w:bookmarkStart w:id="2129" w:name="_Toc16195"/>
      <w:bookmarkStart w:id="2130" w:name="_Toc25909"/>
      <w:bookmarkStart w:id="2131" w:name="_Toc6011"/>
      <w:bookmarkStart w:id="2132" w:name="_Toc19406"/>
      <w:bookmarkStart w:id="2133" w:name="_Toc22950"/>
      <w:r>
        <w:rPr>
          <w:rFonts w:hint="default" w:ascii="Times New Roman" w:hAnsi="Times New Roman" w:eastAsia="方正黑体_GBK" w:cs="Times New Roman"/>
          <w:color w:val="auto"/>
          <w:sz w:val="32"/>
          <w:szCs w:val="32"/>
          <w:highlight w:val="none"/>
          <w:u w:val="none" w:color="auto"/>
          <w:lang w:val="en-US" w:eastAsia="zh-CN"/>
        </w:rPr>
        <w:t>第五十四章 建设更高水平法治渝中</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14:paraId="6C502E2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健全全面依法治区体系，协同推进科学立法、严格执法、公正司法、全民守法，加快建设法治政府、法治社会。</w:t>
      </w:r>
    </w:p>
    <w:p w14:paraId="3E43CAE5">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34" w:name="_Toc4264"/>
      <w:bookmarkStart w:id="2135" w:name="_Toc1029"/>
      <w:bookmarkStart w:id="2136" w:name="_Toc5186"/>
      <w:bookmarkStart w:id="2137" w:name="_Toc5571"/>
      <w:bookmarkStart w:id="2138" w:name="_Toc17916"/>
      <w:bookmarkStart w:id="2139" w:name="_Toc23156"/>
      <w:bookmarkStart w:id="2140" w:name="_Toc21179"/>
      <w:bookmarkStart w:id="2141" w:name="_Toc188"/>
      <w:bookmarkStart w:id="2142" w:name="_Toc20457"/>
      <w:bookmarkStart w:id="2143" w:name="_Toc7083"/>
      <w:bookmarkStart w:id="2144" w:name="_Toc23963"/>
      <w:bookmarkStart w:id="2145" w:name="_Toc21257"/>
      <w:r>
        <w:rPr>
          <w:rFonts w:hint="default" w:ascii="Times New Roman" w:hAnsi="Times New Roman" w:eastAsia="方正楷体_GBK" w:cs="Times New Roman"/>
          <w:color w:val="auto"/>
          <w:sz w:val="32"/>
          <w:szCs w:val="32"/>
          <w:highlight w:val="none"/>
          <w:u w:val="none" w:color="auto"/>
          <w:lang w:val="en-US" w:eastAsia="zh-CN"/>
        </w:rPr>
        <w:t>第一节 深化法治政府建设</w:t>
      </w:r>
      <w:bookmarkEnd w:id="2134"/>
      <w:bookmarkEnd w:id="2135"/>
      <w:bookmarkEnd w:id="2136"/>
      <w:bookmarkEnd w:id="2137"/>
      <w:bookmarkEnd w:id="2138"/>
      <w:bookmarkEnd w:id="2139"/>
      <w:bookmarkEnd w:id="2140"/>
      <w:bookmarkEnd w:id="2141"/>
      <w:bookmarkEnd w:id="2142"/>
      <w:bookmarkEnd w:id="2143"/>
      <w:bookmarkEnd w:id="2144"/>
      <w:bookmarkEnd w:id="2145"/>
    </w:p>
    <w:p w14:paraId="0C7DDCEF">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巩固首批全国法治政府建设示范区创建成果，健全依法行政治理体系，构建涵盖行政所有职权类型的</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全景式权力清单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，全面落实主动公开基本目录制度，实现行政规范性文件备案审查全覆盖。加强领导干部依法办事监督检查，完善综合性法治评价工作机制。完善区街两级行政执法协调监督工作体系，推进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执法+监督</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等实战实用。充分发挥行政复议化解行政争议主渠道作用。加强行政执法队伍教育管理，全面提升执法队伍能力素质。</w:t>
      </w:r>
      <w:r>
        <w:rPr>
          <w:rFonts w:hint="default" w:ascii="Times New Roman" w:hAnsi="Times New Roman" w:eastAsia="方正仿宋_GBK" w:cs="Times New Roman"/>
          <w:color w:val="auto"/>
          <w:spacing w:val="0"/>
          <w:sz w:val="32"/>
          <w:szCs w:val="32"/>
          <w:highlight w:val="none"/>
          <w:u w:val="none" w:color="auto"/>
          <w:lang w:val="en-US" w:eastAsia="zh-CN"/>
        </w:rPr>
        <w:t>完善行政机关负责人出庭应诉机制。</w:t>
      </w:r>
    </w:p>
    <w:p w14:paraId="3366E8C6">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46" w:name="_Toc2512"/>
      <w:bookmarkStart w:id="2147" w:name="_Toc5026"/>
      <w:bookmarkStart w:id="2148" w:name="_Toc2771"/>
      <w:bookmarkStart w:id="2149" w:name="_Toc4199"/>
      <w:bookmarkStart w:id="2150" w:name="_Toc16948"/>
      <w:bookmarkStart w:id="2151" w:name="_Toc2555"/>
      <w:bookmarkStart w:id="2152" w:name="_Toc14763"/>
      <w:bookmarkStart w:id="2153" w:name="_Toc15977"/>
      <w:bookmarkStart w:id="2154" w:name="_Toc18532"/>
      <w:bookmarkStart w:id="2155" w:name="_Toc28217"/>
      <w:bookmarkStart w:id="2156" w:name="_Toc10944"/>
      <w:bookmarkStart w:id="2157" w:name="_Toc17551"/>
      <w:r>
        <w:rPr>
          <w:rFonts w:hint="default" w:ascii="Times New Roman" w:hAnsi="Times New Roman" w:eastAsia="方正楷体_GBK" w:cs="Times New Roman"/>
          <w:color w:val="auto"/>
          <w:sz w:val="32"/>
          <w:szCs w:val="32"/>
          <w:highlight w:val="none"/>
          <w:u w:val="none" w:color="auto"/>
          <w:lang w:val="en-US" w:eastAsia="zh-CN"/>
        </w:rPr>
        <w:t>第二节 推进公正高效权威司法</w:t>
      </w:r>
      <w:bookmarkEnd w:id="2146"/>
      <w:bookmarkEnd w:id="2147"/>
      <w:bookmarkEnd w:id="2148"/>
      <w:bookmarkEnd w:id="2149"/>
      <w:bookmarkEnd w:id="2150"/>
      <w:bookmarkEnd w:id="2151"/>
      <w:bookmarkEnd w:id="2152"/>
      <w:bookmarkEnd w:id="2153"/>
      <w:bookmarkEnd w:id="2154"/>
      <w:bookmarkEnd w:id="2155"/>
      <w:bookmarkEnd w:id="2156"/>
      <w:bookmarkEnd w:id="2157"/>
    </w:p>
    <w:p w14:paraId="665A373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入推进司法体制综合配套改革，全面落实司法责任制，完善监察权、侦查权、检察权、审判权、执行权相互配合、相互制约的体制机制，依法维护辖区群众合法权益。构建执法司法权力全生命周期监督体系，常态化开展执法司法质量态势分析，加强执法司法案件评查检查与责任追究。强化检察监督职能，加强公益诉讼。迭代升级</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政法一体化办案数字化系统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应用，提升智慧法院、智慧检务实战应用效能。</w:t>
      </w:r>
    </w:p>
    <w:p w14:paraId="312B7D90">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58" w:name="_Toc27190"/>
      <w:bookmarkStart w:id="2159" w:name="_Toc24812"/>
      <w:bookmarkStart w:id="2160" w:name="_Toc25013"/>
      <w:bookmarkStart w:id="2161" w:name="_Toc26137"/>
      <w:bookmarkStart w:id="2162" w:name="_Toc14057"/>
      <w:bookmarkStart w:id="2163" w:name="_Toc11309"/>
      <w:bookmarkStart w:id="2164" w:name="_Toc21292"/>
      <w:bookmarkStart w:id="2165" w:name="_Toc19844"/>
      <w:bookmarkStart w:id="2166" w:name="_Toc30883"/>
      <w:bookmarkStart w:id="2167" w:name="_Toc3755"/>
      <w:bookmarkStart w:id="2168" w:name="_Toc9722"/>
      <w:bookmarkStart w:id="2169" w:name="_Toc1283"/>
      <w:r>
        <w:rPr>
          <w:rFonts w:hint="default" w:ascii="Times New Roman" w:hAnsi="Times New Roman" w:eastAsia="方正楷体_GBK" w:cs="Times New Roman"/>
          <w:color w:val="auto"/>
          <w:sz w:val="32"/>
          <w:szCs w:val="32"/>
          <w:highlight w:val="none"/>
          <w:u w:val="none" w:color="auto"/>
          <w:lang w:val="en-US" w:eastAsia="zh-CN"/>
        </w:rPr>
        <w:t>第三节 推进法治社会建设</w:t>
      </w:r>
      <w:bookmarkEnd w:id="2158"/>
      <w:bookmarkEnd w:id="2159"/>
      <w:bookmarkEnd w:id="2160"/>
      <w:bookmarkEnd w:id="2161"/>
      <w:bookmarkEnd w:id="2162"/>
      <w:bookmarkEnd w:id="2163"/>
      <w:bookmarkEnd w:id="2164"/>
      <w:bookmarkEnd w:id="2165"/>
      <w:bookmarkEnd w:id="2166"/>
      <w:bookmarkEnd w:id="2167"/>
      <w:bookmarkEnd w:id="2168"/>
      <w:bookmarkEnd w:id="2169"/>
    </w:p>
    <w:p w14:paraId="56EF9B68">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加强法治文化建设，深入推进</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九五普法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营造全社会崇尚法治、恪守规则、尊重契约、维护公正的良好法治环境。加强西部金融中央法务区建设。健全便捷高效、均等普惠的现代公共法律服务体系，整合律师、公证、司法鉴定、人民调解等法律服务资源，切实提升法律援助保障水平。推进青少年法治教育基地建设。严格落实法律咨询专家制度，</w:t>
      </w:r>
      <w:r>
        <w:rPr>
          <w:rFonts w:hint="default" w:ascii="Times New Roman" w:hAnsi="Times New Roman" w:eastAsia="方正仿宋_GBK" w:cs="Times New Roman"/>
          <w:color w:val="auto"/>
          <w:sz w:val="32"/>
          <w:szCs w:val="40"/>
          <w:highlight w:val="none"/>
          <w:u w:val="none" w:color="auto"/>
          <w:lang w:val="en-US" w:eastAsia="zh-CN"/>
        </w:rPr>
        <w:t>打造</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1+11+N</w:t>
      </w:r>
      <w:r>
        <w:rPr>
          <w:rFonts w:hint="eastAsia" w:ascii="Times New Roman" w:hAnsi="Times New Roman" w:eastAsia="方正仿宋_GBK" w:cs="方正仿宋_GBK"/>
          <w:color w:val="auto"/>
          <w:sz w:val="32"/>
          <w:szCs w:val="40"/>
          <w:highlight w:val="none"/>
          <w:u w:val="none" w:color="auto"/>
          <w:lang w:val="en-US" w:eastAsia="zh-CN"/>
        </w:rPr>
        <w:t>”</w:t>
      </w:r>
      <w:r>
        <w:rPr>
          <w:rFonts w:hint="default" w:ascii="Times New Roman" w:hAnsi="Times New Roman" w:eastAsia="方正仿宋_GBK" w:cs="Times New Roman"/>
          <w:color w:val="auto"/>
          <w:sz w:val="32"/>
          <w:szCs w:val="40"/>
          <w:highlight w:val="none"/>
          <w:u w:val="none" w:color="auto"/>
          <w:lang w:val="en-US" w:eastAsia="zh-CN"/>
        </w:rPr>
        <w:t>基层服务站点体系。</w:t>
      </w:r>
      <w:r>
        <w:rPr>
          <w:rFonts w:hint="default" w:ascii="Times New Roman" w:hAnsi="Times New Roman" w:eastAsia="方正仿宋_GBK" w:cs="Times New Roman"/>
          <w:color w:val="auto"/>
          <w:sz w:val="32"/>
          <w:szCs w:val="32"/>
          <w:highlight w:val="none"/>
          <w:u w:val="none" w:color="auto"/>
          <w:lang w:val="en-US" w:eastAsia="zh-CN"/>
        </w:rPr>
        <w:t>加强涉外法治体系和能力建设，高质量建设中国—东盟法律服务中心，积极培育专业涉外法治人才，增强涉外法律服务质效。强化行业依法治理，引导支持各行业依规制定章程、规约，夯实法治建设根基。</w:t>
      </w:r>
    </w:p>
    <w:p w14:paraId="4E1589B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1"/>
        <w:rPr>
          <w:rFonts w:hint="default" w:ascii="Times New Roman" w:hAnsi="Times New Roman" w:eastAsia="方正黑体_GBK" w:cs="Times New Roman"/>
          <w:b w:val="0"/>
          <w:bCs w:val="0"/>
          <w:color w:val="auto"/>
          <w:sz w:val="32"/>
          <w:szCs w:val="32"/>
          <w:highlight w:val="none"/>
          <w:u w:val="none" w:color="auto"/>
          <w:lang w:val="en-US" w:eastAsia="zh-CN" w:bidi="ar"/>
        </w:rPr>
      </w:pPr>
      <w:bookmarkStart w:id="2170" w:name="_Toc23132"/>
      <w:bookmarkStart w:id="2171" w:name="_Toc13899"/>
      <w:bookmarkStart w:id="2172" w:name="_Toc6554"/>
      <w:bookmarkStart w:id="2173" w:name="_Toc22863"/>
      <w:bookmarkStart w:id="2174" w:name="_Toc14020"/>
      <w:bookmarkStart w:id="2175" w:name="_Toc12032"/>
      <w:bookmarkStart w:id="2176" w:name="_Toc26112"/>
      <w:bookmarkStart w:id="2177" w:name="_Toc8525"/>
      <w:bookmarkStart w:id="2178" w:name="_Toc1900"/>
      <w:bookmarkStart w:id="2179" w:name="_Toc10116"/>
      <w:bookmarkStart w:id="2180" w:name="_Toc20650"/>
      <w:bookmarkStart w:id="2181" w:name="_Toc12612"/>
      <w:r>
        <w:rPr>
          <w:rFonts w:hint="default" w:ascii="Times New Roman" w:hAnsi="Times New Roman" w:eastAsia="方正黑体_GBK" w:cs="Times New Roman"/>
          <w:b w:val="0"/>
          <w:bCs w:val="0"/>
          <w:color w:val="auto"/>
          <w:sz w:val="32"/>
          <w:szCs w:val="32"/>
          <w:highlight w:val="none"/>
          <w:u w:val="none" w:color="auto"/>
          <w:lang w:val="en-US" w:eastAsia="zh-CN"/>
        </w:rPr>
        <w:t>第五十五章 推进社会治理现代化</w:t>
      </w:r>
      <w:bookmarkEnd w:id="2170"/>
      <w:bookmarkEnd w:id="2171"/>
      <w:bookmarkEnd w:id="2172"/>
      <w:bookmarkEnd w:id="2173"/>
      <w:bookmarkEnd w:id="2174"/>
      <w:bookmarkEnd w:id="2175"/>
      <w:bookmarkEnd w:id="2176"/>
      <w:bookmarkEnd w:id="2177"/>
      <w:bookmarkEnd w:id="2178"/>
      <w:bookmarkEnd w:id="2179"/>
      <w:bookmarkEnd w:id="2180"/>
      <w:bookmarkEnd w:id="2181"/>
    </w:p>
    <w:p w14:paraId="3FFABD32">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提升党建引领提升数字化治理水平，推进区域社会治理体系和治理能力现代化，构建共建共治共享社会治理新格局。</w:t>
      </w:r>
    </w:p>
    <w:p w14:paraId="2E72D868">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82" w:name="_Toc13959"/>
      <w:bookmarkStart w:id="2183" w:name="_Toc20274"/>
      <w:bookmarkStart w:id="2184" w:name="_Toc26385"/>
      <w:bookmarkStart w:id="2185" w:name="_Toc31678"/>
      <w:bookmarkStart w:id="2186" w:name="_Toc5524"/>
      <w:bookmarkStart w:id="2187" w:name="_Toc25169"/>
      <w:bookmarkStart w:id="2188" w:name="_Toc11826"/>
      <w:bookmarkStart w:id="2189" w:name="_Toc9832"/>
      <w:bookmarkStart w:id="2190" w:name="_Toc16378"/>
      <w:bookmarkStart w:id="2191" w:name="_Toc25891"/>
      <w:bookmarkStart w:id="2192" w:name="_Toc19798"/>
      <w:bookmarkStart w:id="2193" w:name="_Toc1845"/>
      <w:r>
        <w:rPr>
          <w:rFonts w:hint="default" w:ascii="Times New Roman" w:hAnsi="Times New Roman" w:eastAsia="方正楷体_GBK" w:cs="Times New Roman"/>
          <w:color w:val="auto"/>
          <w:sz w:val="32"/>
          <w:szCs w:val="32"/>
          <w:highlight w:val="none"/>
          <w:u w:val="none" w:color="auto"/>
          <w:lang w:val="en-US" w:eastAsia="zh-CN"/>
        </w:rPr>
        <w:t>第一节 健全党建引领基层治理体系</w:t>
      </w:r>
      <w:bookmarkEnd w:id="2182"/>
      <w:bookmarkEnd w:id="2183"/>
      <w:bookmarkEnd w:id="2184"/>
      <w:bookmarkEnd w:id="2185"/>
      <w:bookmarkEnd w:id="2186"/>
      <w:bookmarkEnd w:id="2187"/>
      <w:bookmarkEnd w:id="2188"/>
      <w:bookmarkEnd w:id="2189"/>
      <w:bookmarkEnd w:id="2190"/>
      <w:bookmarkEnd w:id="2191"/>
      <w:bookmarkEnd w:id="2192"/>
      <w:bookmarkEnd w:id="2193"/>
    </w:p>
    <w:p w14:paraId="35C049A9">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Chars="200"/>
        <w:jc w:val="both"/>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深化党建统领</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141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基层智治体系建设，完善街道履职事项清单编制运行机制，健全社区工作事项准入制度</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健全机关、国企、学校、事业单位等各领域党组织发展实质作用有效机制，抓好新经济组织、新社会组织、新就业群体党的建设，加快打造新时代</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红岩先锋</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变革型组织。加强社会组织培育管理，依法依规推动行业协会商会等改革发展。健全凝聚服务群众工作机制，</w:t>
      </w:r>
      <w:r>
        <w:rPr>
          <w:rFonts w:hint="default" w:ascii="Times New Roman" w:hAnsi="Times New Roman" w:eastAsia="方正仿宋_GBK" w:cs="Times New Roman"/>
          <w:bCs w:val="0"/>
          <w:color w:val="auto"/>
          <w:sz w:val="32"/>
          <w:szCs w:val="32"/>
          <w:highlight w:val="none"/>
          <w:u w:val="none" w:color="auto"/>
        </w:rPr>
        <w:t>推动</w:t>
      </w:r>
      <w:r>
        <w:rPr>
          <w:rFonts w:hint="eastAsia" w:ascii="Times New Roman" w:hAnsi="Times New Roman" w:eastAsia="方正仿宋_GBK" w:cs="方正仿宋_GBK"/>
          <w:bCs w:val="0"/>
          <w:color w:val="auto"/>
          <w:sz w:val="32"/>
          <w:szCs w:val="32"/>
          <w:highlight w:val="none"/>
          <w:u w:val="none" w:color="auto"/>
          <w:lang w:eastAsia="zh-CN"/>
        </w:rPr>
        <w:t>“</w:t>
      </w:r>
      <w:r>
        <w:rPr>
          <w:rFonts w:hint="default" w:ascii="Times New Roman" w:hAnsi="Times New Roman" w:eastAsia="方正仿宋_GBK" w:cs="Times New Roman"/>
          <w:bCs w:val="0"/>
          <w:color w:val="auto"/>
          <w:sz w:val="32"/>
          <w:szCs w:val="32"/>
          <w:highlight w:val="none"/>
          <w:u w:val="none" w:color="auto"/>
        </w:rPr>
        <w:t>渝善渝美</w:t>
      </w:r>
      <w:r>
        <w:rPr>
          <w:rFonts w:hint="eastAsia" w:ascii="Times New Roman" w:hAnsi="Times New Roman" w:eastAsia="方正仿宋_GBK" w:cs="方正仿宋_GBK"/>
          <w:bCs w:val="0"/>
          <w:color w:val="auto"/>
          <w:sz w:val="32"/>
          <w:szCs w:val="32"/>
          <w:highlight w:val="none"/>
          <w:u w:val="none" w:color="auto"/>
          <w:lang w:eastAsia="zh-CN"/>
        </w:rPr>
        <w:t>”</w:t>
      </w:r>
      <w:r>
        <w:rPr>
          <w:rFonts w:hint="default" w:ascii="Times New Roman" w:hAnsi="Times New Roman" w:eastAsia="方正仿宋_GBK" w:cs="Times New Roman"/>
          <w:bCs w:val="0"/>
          <w:color w:val="auto"/>
          <w:sz w:val="32"/>
          <w:szCs w:val="32"/>
          <w:highlight w:val="none"/>
          <w:u w:val="none" w:color="auto"/>
        </w:rPr>
        <w:t>志愿服务常态化、制度化</w:t>
      </w:r>
      <w:r>
        <w:rPr>
          <w:rFonts w:hint="default" w:ascii="Times New Roman" w:hAnsi="Times New Roman" w:eastAsia="方正仿宋_GBK" w:cs="Times New Roman"/>
          <w:color w:val="auto"/>
          <w:sz w:val="32"/>
          <w:szCs w:val="32"/>
          <w:highlight w:val="none"/>
          <w:u w:val="none" w:color="auto"/>
          <w:lang w:val="en-US" w:eastAsia="zh-CN"/>
        </w:rPr>
        <w:t>，加强社区治理，完善设施和经费保障机制，提升基础服务管理能力。</w:t>
      </w:r>
    </w:p>
    <w:p w14:paraId="20E3AAAF">
      <w:pPr>
        <w:pStyle w:val="16"/>
        <w:keepNext w:val="0"/>
        <w:keepLines w:val="0"/>
        <w:pageBreakBefore w:val="0"/>
        <w:widowControl w:val="0"/>
        <w:numPr>
          <w:ilvl w:val="0"/>
          <w:numId w:val="2"/>
        </w:numPr>
        <w:tabs>
          <w:tab w:val="right" w:leader="dot" w:pos="8844"/>
        </w:tabs>
        <w:kinsoku/>
        <w:wordWrap/>
        <w:overflowPunct/>
        <w:topLinePunct w:val="0"/>
        <w:autoSpaceDE/>
        <w:autoSpaceDN/>
        <w:bidi w:val="0"/>
        <w:adjustRightInd/>
        <w:snapToGrid/>
        <w:spacing w:line="600" w:lineRule="exact"/>
        <w:ind w:left="0" w:leftChars="0" w:firstLineChars="200"/>
        <w:jc w:val="center"/>
        <w:textAlignment w:val="auto"/>
        <w:outlineLvl w:val="2"/>
        <w:rPr>
          <w:rFonts w:hint="default" w:ascii="Times New Roman" w:hAnsi="Times New Roman" w:eastAsia="方正楷体_GBK" w:cs="Times New Roman"/>
          <w:color w:val="auto"/>
          <w:sz w:val="32"/>
          <w:szCs w:val="32"/>
          <w:highlight w:val="none"/>
          <w:u w:val="none" w:color="auto"/>
          <w:lang w:val="en-US" w:eastAsia="zh-CN"/>
        </w:rPr>
      </w:pPr>
      <w:bookmarkStart w:id="2194" w:name="_Toc25897"/>
      <w:bookmarkStart w:id="2195" w:name="_Toc7034"/>
      <w:bookmarkStart w:id="2196" w:name="_Toc7469"/>
      <w:bookmarkStart w:id="2197" w:name="_Toc19060"/>
      <w:bookmarkStart w:id="2198" w:name="_Toc8121"/>
      <w:bookmarkStart w:id="2199" w:name="_Toc19889"/>
      <w:bookmarkStart w:id="2200" w:name="_Toc29582"/>
      <w:bookmarkStart w:id="2201" w:name="_Toc8916"/>
      <w:bookmarkStart w:id="2202" w:name="_Toc5287"/>
      <w:bookmarkStart w:id="2203" w:name="_Toc5700"/>
      <w:bookmarkStart w:id="2204" w:name="_Toc5632"/>
      <w:bookmarkStart w:id="2205" w:name="_Toc29407"/>
      <w:r>
        <w:rPr>
          <w:rFonts w:hint="default" w:ascii="Times New Roman" w:hAnsi="Times New Roman" w:eastAsia="方正楷体_GBK" w:cs="Times New Roman"/>
          <w:color w:val="auto"/>
          <w:sz w:val="32"/>
          <w:szCs w:val="32"/>
          <w:highlight w:val="none"/>
          <w:u w:val="none" w:color="auto"/>
          <w:lang w:val="en-US" w:eastAsia="zh-CN"/>
        </w:rPr>
        <w:t>深化新时代</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枫桥经验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楷体_GBK" w:cs="Times New Roman"/>
          <w:color w:val="auto"/>
          <w:sz w:val="32"/>
          <w:szCs w:val="32"/>
          <w:highlight w:val="none"/>
          <w:u w:val="none" w:color="auto"/>
          <w:lang w:val="en-US" w:eastAsia="zh-CN"/>
        </w:rPr>
        <w:t>渝中实践</w:t>
      </w:r>
      <w:bookmarkEnd w:id="2194"/>
      <w:bookmarkEnd w:id="2195"/>
      <w:bookmarkEnd w:id="2196"/>
      <w:bookmarkEnd w:id="2197"/>
      <w:bookmarkEnd w:id="2198"/>
      <w:bookmarkEnd w:id="2199"/>
      <w:bookmarkEnd w:id="2200"/>
      <w:bookmarkEnd w:id="2201"/>
      <w:bookmarkEnd w:id="2202"/>
      <w:bookmarkEnd w:id="2203"/>
      <w:bookmarkEnd w:id="2204"/>
      <w:bookmarkEnd w:id="2205"/>
    </w:p>
    <w:p w14:paraId="560E8F93">
      <w:pPr>
        <w:pStyle w:val="16"/>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left="0" w:leftChars="0" w:firstLine="640" w:firstLineChars="200"/>
        <w:jc w:val="left"/>
        <w:textAlignment w:val="auto"/>
        <w:outlineLvl w:val="9"/>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sz w:val="32"/>
          <w:szCs w:val="32"/>
          <w:highlight w:val="none"/>
          <w:u w:val="none" w:color="auto"/>
          <w:lang w:val="en-US" w:eastAsia="zh-CN"/>
        </w:rPr>
        <w:t>深入开展“抓源促治 强基固本”专项行动，持续优化“平安渝中”网格接待日、“渝中群防”等治理品牌建设，迭代创设“山城义警”，建成1000个最小应急单元、100个守望点，推进网上网下“双网格”协同治网体系建设，建立非法金融活动、网络安全、心理健康问题等新型风险识别预警和源头治理机制。</w:t>
      </w:r>
      <w:r>
        <w:rPr>
          <w:rFonts w:hint="default" w:ascii="Times New Roman" w:hAnsi="Times New Roman" w:eastAsia="方正仿宋_GBK" w:cs="Times New Roman"/>
          <w:bCs w:val="0"/>
          <w:color w:val="auto"/>
          <w:sz w:val="32"/>
          <w:szCs w:val="32"/>
          <w:highlight w:val="none"/>
          <w:u w:val="none" w:color="auto"/>
        </w:rPr>
        <w:t>完善</w:t>
      </w:r>
      <w:r>
        <w:rPr>
          <w:rFonts w:hint="eastAsia" w:ascii="Times New Roman" w:hAnsi="Times New Roman" w:eastAsia="方正仿宋_GBK" w:cs="方正仿宋_GBK"/>
          <w:bCs w:val="0"/>
          <w:color w:val="auto"/>
          <w:sz w:val="32"/>
          <w:szCs w:val="32"/>
          <w:highlight w:val="none"/>
          <w:u w:val="none" w:color="auto"/>
          <w:lang w:eastAsia="zh-CN"/>
        </w:rPr>
        <w:t>“</w:t>
      </w:r>
      <w:r>
        <w:rPr>
          <w:rFonts w:hint="default" w:ascii="Times New Roman" w:hAnsi="Times New Roman" w:eastAsia="方正仿宋_GBK" w:cs="Times New Roman"/>
          <w:bCs w:val="0"/>
          <w:color w:val="auto"/>
          <w:sz w:val="32"/>
          <w:szCs w:val="32"/>
          <w:highlight w:val="none"/>
          <w:u w:val="none" w:color="auto"/>
        </w:rPr>
        <w:t>民呼我为</w:t>
      </w:r>
      <w:r>
        <w:rPr>
          <w:rFonts w:hint="eastAsia" w:ascii="Times New Roman" w:hAnsi="Times New Roman" w:eastAsia="方正仿宋_GBK" w:cs="方正仿宋_GBK"/>
          <w:bCs w:val="0"/>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接诉即办</w:t>
      </w:r>
      <w:r>
        <w:rPr>
          <w:rFonts w:hint="eastAsia" w:ascii="Times New Roman" w:hAnsi="Times New Roman" w:eastAsia="方正仿宋_GBK" w:cs="方正仿宋_GBK"/>
          <w:bCs w:val="0"/>
          <w:color w:val="auto"/>
          <w:sz w:val="32"/>
          <w:szCs w:val="32"/>
          <w:highlight w:val="none"/>
          <w:u w:val="none" w:color="auto"/>
          <w:lang w:eastAsia="zh-CN"/>
        </w:rPr>
        <w:t>”</w:t>
      </w:r>
      <w:r>
        <w:rPr>
          <w:rFonts w:hint="default" w:ascii="Times New Roman" w:hAnsi="Times New Roman" w:eastAsia="方正仿宋_GBK" w:cs="Times New Roman"/>
          <w:bCs w:val="0"/>
          <w:color w:val="auto"/>
          <w:sz w:val="32"/>
          <w:szCs w:val="32"/>
          <w:highlight w:val="none"/>
          <w:u w:val="none" w:color="auto"/>
        </w:rPr>
        <w:t>等工作机制</w:t>
      </w:r>
      <w:r>
        <w:rPr>
          <w:rFonts w:hint="default" w:ascii="Times New Roman" w:hAnsi="Times New Roman" w:eastAsia="方正仿宋_GBK" w:cs="Times New Roman"/>
          <w:bCs w:val="0"/>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lang w:val="en-US" w:eastAsia="zh-CN"/>
        </w:rPr>
        <w:t>深入推进信访工作法治化，深化矛盾纠纷源头化解、多元化解、有序化解，实现基层矛盾纠纷化解率99%以上。迭代优化区综治中心实战效能，加快构建多跨协同大调解体系。</w:t>
      </w:r>
    </w:p>
    <w:p w14:paraId="1C2F8C60">
      <w:pPr>
        <w:tabs>
          <w:tab w:val="left" w:pos="1139"/>
        </w:tabs>
        <w:bidi w:val="0"/>
        <w:jc w:val="center"/>
        <w:rPr>
          <w:rFonts w:hint="default" w:ascii="Times New Roman" w:hAnsi="Times New Roman" w:eastAsia="方正黑体_GBK" w:cs="Times New Roman"/>
          <w:color w:val="auto"/>
          <w:sz w:val="28"/>
          <w:szCs w:val="28"/>
          <w:highlight w:val="none"/>
          <w:u w:val="none" w:color="auto"/>
          <w:lang w:val="en-US" w:eastAsia="zh-CN"/>
        </w:rPr>
      </w:pPr>
      <w:r>
        <w:rPr>
          <w:rFonts w:hint="default" w:ascii="Times New Roman" w:hAnsi="Times New Roman" w:eastAsia="方正黑体_GBK" w:cs="Times New Roman"/>
          <w:color w:val="auto"/>
          <w:sz w:val="28"/>
          <w:szCs w:val="28"/>
          <w:highlight w:val="none"/>
          <w:u w:val="none" w:color="auto"/>
          <w:lang w:val="en-US" w:eastAsia="zh-CN"/>
        </w:rPr>
        <w:t>专栏16 平安渝中法治渝中建设重点项目</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5F6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3C361BB">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1.社会治安。</w:t>
            </w:r>
            <w:r>
              <w:rPr>
                <w:rFonts w:hint="default" w:ascii="Times New Roman" w:hAnsi="Times New Roman" w:eastAsia="方正仿宋_GBK" w:cs="Times New Roman"/>
                <w:color w:val="auto"/>
                <w:sz w:val="24"/>
                <w:szCs w:val="24"/>
                <w:highlight w:val="none"/>
                <w:u w:val="none" w:color="auto"/>
                <w:vertAlign w:val="baseline"/>
                <w:lang w:val="en-US" w:eastAsia="zh-CN"/>
              </w:rPr>
              <w:t>补齐公安基础设施短板，推进警用装备现代化智能化升级。</w:t>
            </w:r>
          </w:p>
          <w:p w14:paraId="2B1F1083">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2.安全生产</w:t>
            </w:r>
            <w:r>
              <w:rPr>
                <w:rFonts w:hint="default" w:ascii="Times New Roman" w:hAnsi="Times New Roman" w:eastAsia="方正仿宋_GBK" w:cs="Times New Roman"/>
                <w:color w:val="auto"/>
                <w:sz w:val="24"/>
                <w:szCs w:val="24"/>
                <w:highlight w:val="none"/>
                <w:u w:val="none" w:color="auto"/>
                <w:vertAlign w:val="baseline"/>
                <w:lang w:val="en-US" w:eastAsia="zh-CN"/>
              </w:rPr>
              <w:t>。聚焦工程建筑、城市交通、危险化学品、燃气、景区景点等关键领域，开展安全生产风险智能监测与实战治理能力工程。</w:t>
            </w:r>
          </w:p>
          <w:p w14:paraId="41419FFB">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sz w:val="24"/>
                <w:szCs w:val="24"/>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3.消防安全</w:t>
            </w:r>
            <w:r>
              <w:rPr>
                <w:rFonts w:hint="default" w:ascii="Times New Roman" w:hAnsi="Times New Roman" w:eastAsia="方正仿宋_GBK" w:cs="Times New Roman"/>
                <w:color w:val="auto"/>
                <w:sz w:val="24"/>
                <w:szCs w:val="24"/>
                <w:highlight w:val="none"/>
                <w:u w:val="none" w:color="auto"/>
                <w:vertAlign w:val="baseline"/>
                <w:lang w:val="en-US" w:eastAsia="zh-CN"/>
              </w:rPr>
              <w:t>。建成投用时代天街、陆海国际中心、解放碑、洪崖洞、十八梯等5个小型消防站；开展人员密集场所、库房等火灾高风险设备更新工程。</w:t>
            </w:r>
          </w:p>
          <w:p w14:paraId="1796F0AC">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default" w:ascii="Times New Roman" w:hAnsi="Times New Roman" w:eastAsia="方正仿宋_GBK" w:cs="Times New Roman"/>
                <w:color w:val="auto"/>
                <w:highlight w:val="none"/>
                <w:u w:val="none" w:color="auto"/>
                <w:vertAlign w:val="baseline"/>
                <w:lang w:val="en-US" w:eastAsia="zh-CN"/>
              </w:rPr>
            </w:pPr>
            <w:r>
              <w:rPr>
                <w:rFonts w:hint="default" w:ascii="Times New Roman" w:hAnsi="Times New Roman" w:eastAsia="方正黑体_GBK" w:cs="Times New Roman"/>
                <w:color w:val="auto"/>
                <w:sz w:val="24"/>
                <w:szCs w:val="24"/>
                <w:highlight w:val="none"/>
                <w:u w:val="none" w:color="auto"/>
                <w:vertAlign w:val="baseline"/>
                <w:lang w:val="en-US" w:eastAsia="zh-CN"/>
              </w:rPr>
              <w:t>4.应急保障</w:t>
            </w:r>
            <w:r>
              <w:rPr>
                <w:rFonts w:hint="default" w:ascii="Times New Roman" w:hAnsi="Times New Roman" w:eastAsia="方正仿宋_GBK" w:cs="Times New Roman"/>
                <w:color w:val="auto"/>
                <w:sz w:val="24"/>
                <w:szCs w:val="24"/>
                <w:highlight w:val="none"/>
                <w:u w:val="none" w:color="auto"/>
                <w:vertAlign w:val="baseline"/>
                <w:lang w:val="en-US" w:eastAsia="zh-CN"/>
              </w:rPr>
              <w:t>。建成渝中区应急装备储备库，实施南区路、北部片区、中山二路沿线、解放碑地下环道关联区域等人防工程排危改造，推动人防工程智慧化改造。</w:t>
            </w:r>
          </w:p>
        </w:tc>
      </w:tr>
      <w:bookmarkEnd w:id="1590"/>
    </w:tbl>
    <w:p w14:paraId="39DC2B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2206" w:name="_Toc4832"/>
      <w:bookmarkStart w:id="2207" w:name="_Toc23523"/>
    </w:p>
    <w:p w14:paraId="29124C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0"/>
        <w:rPr>
          <w:rFonts w:hint="default" w:ascii="Times New Roman" w:hAnsi="Times New Roman" w:eastAsia="方正黑体_GBK" w:cs="Times New Roman"/>
          <w:b w:val="0"/>
          <w:bCs w:val="0"/>
          <w:color w:val="auto"/>
          <w:kern w:val="44"/>
          <w:sz w:val="32"/>
          <w:szCs w:val="32"/>
          <w:highlight w:val="none"/>
          <w:u w:val="none" w:color="auto"/>
          <w:lang w:val="en-US" w:eastAsia="zh-CN"/>
        </w:rPr>
      </w:pPr>
      <w:bookmarkStart w:id="2208" w:name="_Toc24161"/>
      <w:bookmarkStart w:id="2209" w:name="_Toc30935"/>
      <w:bookmarkStart w:id="2210" w:name="_Toc30973"/>
      <w:bookmarkStart w:id="2211" w:name="_Toc16453"/>
      <w:bookmarkStart w:id="2212" w:name="_Toc29099"/>
      <w:bookmarkStart w:id="2213" w:name="_Toc4983"/>
      <w:bookmarkStart w:id="2214" w:name="_Toc24940"/>
      <w:bookmarkStart w:id="2215" w:name="_Toc24025"/>
      <w:bookmarkStart w:id="2216" w:name="_Toc51"/>
      <w:bookmarkStart w:id="2217" w:name="_Toc17426"/>
      <w:bookmarkStart w:id="2218" w:name="_Toc12185"/>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begin"/>
      </w:r>
      <w:r>
        <w:rPr>
          <w:rFonts w:hint="default" w:ascii="Times New Roman" w:hAnsi="Times New Roman" w:eastAsia="方正黑体_GBK" w:cs="Times New Roman"/>
          <w:b w:val="0"/>
          <w:bCs w:val="0"/>
          <w:color w:val="auto"/>
          <w:kern w:val="44"/>
          <w:sz w:val="32"/>
          <w:szCs w:val="32"/>
          <w:highlight w:val="none"/>
          <w:u w:val="none" w:color="auto"/>
          <w:lang w:val="en-US" w:eastAsia="zh-CN"/>
        </w:rPr>
        <w:instrText xml:space="preserve"> HYPERLINK \l _Toc16477 </w:instrText>
      </w:r>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separate"/>
      </w:r>
      <w:r>
        <w:rPr>
          <w:rFonts w:hint="default" w:ascii="Times New Roman" w:hAnsi="Times New Roman" w:eastAsia="方正黑体_GBK" w:cs="Times New Roman"/>
          <w:b w:val="0"/>
          <w:bCs w:val="0"/>
          <w:color w:val="auto"/>
          <w:kern w:val="44"/>
          <w:sz w:val="32"/>
          <w:szCs w:val="32"/>
          <w:highlight w:val="none"/>
          <w:u w:val="none" w:color="auto"/>
          <w:lang w:val="en-US" w:eastAsia="zh-CN"/>
        </w:rPr>
        <w:t>第十四篇 健全规划实施保障机制</w:t>
      </w:r>
      <w:r>
        <w:rPr>
          <w:rFonts w:hint="default" w:ascii="Times New Roman" w:hAnsi="Times New Roman" w:eastAsia="方正黑体_GBK" w:cs="Times New Roman"/>
          <w:b w:val="0"/>
          <w:bCs w:val="0"/>
          <w:color w:val="auto"/>
          <w:kern w:val="44"/>
          <w:sz w:val="32"/>
          <w:szCs w:val="32"/>
          <w:highlight w:val="none"/>
          <w:u w:val="none" w:color="auto"/>
          <w:lang w:val="en-US" w:eastAsia="zh-CN"/>
        </w:rPr>
        <w:fldChar w:fldCharType="end"/>
      </w:r>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14:paraId="03ED5F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bookmarkStart w:id="2219" w:name="_Toc23262"/>
    </w:p>
    <w:p w14:paraId="147D89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坚持和加强党的全面领导，强化政府履职尽责，最大程度激发全社会力量，加强规划实施监督考核，凝聚推动</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十五五</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规划实施的强大合力。</w:t>
      </w:r>
    </w:p>
    <w:p w14:paraId="45CCD26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220" w:name="_Toc14216"/>
      <w:bookmarkStart w:id="2221" w:name="_Toc5465"/>
      <w:bookmarkStart w:id="2222" w:name="_Toc26907"/>
      <w:bookmarkStart w:id="2223" w:name="_Toc2341"/>
      <w:bookmarkStart w:id="2224" w:name="_Toc6747"/>
      <w:bookmarkStart w:id="2225" w:name="_Toc460"/>
      <w:bookmarkStart w:id="2226" w:name="_Toc17694"/>
      <w:bookmarkStart w:id="2227" w:name="_Toc7543"/>
      <w:bookmarkStart w:id="2228" w:name="_Toc5773"/>
      <w:bookmarkStart w:id="2229" w:name="_Toc9906"/>
      <w:bookmarkStart w:id="2230" w:name="_Toc16906"/>
      <w:bookmarkStart w:id="2231" w:name="_Toc15426"/>
      <w:r>
        <w:rPr>
          <w:rFonts w:hint="default" w:ascii="Times New Roman" w:hAnsi="Times New Roman" w:eastAsia="方正黑体_GBK" w:cs="Times New Roman"/>
          <w:color w:val="auto"/>
          <w:sz w:val="32"/>
          <w:szCs w:val="32"/>
          <w:highlight w:val="none"/>
          <w:u w:val="none" w:color="auto"/>
          <w:lang w:val="en-US" w:eastAsia="zh-CN"/>
        </w:rPr>
        <w:fldChar w:fldCharType="begin"/>
      </w:r>
      <w:r>
        <w:rPr>
          <w:rFonts w:hint="default" w:ascii="Times New Roman" w:hAnsi="Times New Roman" w:eastAsia="方正黑体_GBK" w:cs="Times New Roman"/>
          <w:color w:val="auto"/>
          <w:sz w:val="32"/>
          <w:szCs w:val="32"/>
          <w:highlight w:val="none"/>
          <w:u w:val="none" w:color="auto"/>
          <w:lang w:val="en-US" w:eastAsia="zh-CN"/>
        </w:rPr>
        <w:instrText xml:space="preserve"> HYPERLINK \l _Toc8893 </w:instrText>
      </w:r>
      <w:r>
        <w:rPr>
          <w:rFonts w:hint="default" w:ascii="Times New Roman" w:hAnsi="Times New Roman" w:eastAsia="方正黑体_GBK" w:cs="Times New Roman"/>
          <w:color w:val="auto"/>
          <w:sz w:val="32"/>
          <w:szCs w:val="32"/>
          <w:highlight w:val="none"/>
          <w:u w:val="none" w:color="auto"/>
          <w:lang w:val="en-US" w:eastAsia="zh-CN"/>
        </w:rPr>
        <w:fldChar w:fldCharType="separate"/>
      </w:r>
      <w:r>
        <w:rPr>
          <w:rFonts w:hint="default" w:ascii="Times New Roman" w:hAnsi="Times New Roman" w:eastAsia="方正黑体_GBK" w:cs="Times New Roman"/>
          <w:color w:val="auto"/>
          <w:sz w:val="32"/>
          <w:szCs w:val="32"/>
          <w:highlight w:val="none"/>
          <w:u w:val="none" w:color="auto"/>
          <w:lang w:val="en-US" w:eastAsia="zh-CN"/>
        </w:rPr>
        <w:t>第五十六章 坚持党对经济社会发展的全面领导</w:t>
      </w:r>
      <w:r>
        <w:rPr>
          <w:rFonts w:hint="default" w:ascii="Times New Roman" w:hAnsi="Times New Roman" w:eastAsia="方正黑体_GBK" w:cs="Times New Roman"/>
          <w:color w:val="auto"/>
          <w:sz w:val="32"/>
          <w:szCs w:val="32"/>
          <w:highlight w:val="none"/>
          <w:u w:val="none" w:color="auto"/>
          <w:lang w:val="en-US" w:eastAsia="zh-CN"/>
        </w:rPr>
        <w:fldChar w:fldCharType="end"/>
      </w:r>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14:paraId="330243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bookmarkStart w:id="2232" w:name="_Toc25351"/>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贯彻党把方向、谋大局、定政策、促改革要求，增强</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四个意识</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、坚定</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四个自信</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、做到</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两个维护</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，健全习近平总书记重要指示批示和党中央决策部署闭环落实机制，提高政治判断力、政治领悟力、政治执行力。健全党建统领</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885</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工作机制，推动与纪检监察、审计、财会、统计、人大等监督贯通协同。坚持把政治标准放在首位，全面贯彻落实新时代党的组织路线，树立和践行正确政绩观，完善干部考核评价机制，推进领导干部能上能下。深化干部现代化建设能力提升计划。坚持严管厚爱结合、激励约束并重，激发干部创造性张力。</w:t>
      </w:r>
      <w:r>
        <w:rPr>
          <w:rFonts w:hint="default" w:ascii="Times New Roman" w:hAnsi="Times New Roman" w:eastAsia="方正仿宋_GBK" w:cs="Times New Roman"/>
          <w:b w:val="0"/>
          <w:bCs w:val="0"/>
          <w:color w:val="auto"/>
          <w:sz w:val="32"/>
          <w:szCs w:val="32"/>
          <w:highlight w:val="none"/>
          <w:lang w:val="en-US" w:eastAsia="zh-CN"/>
        </w:rPr>
        <w:t>加快打造新时代红岩先锋变革型组织、增强党组织政治功能和组织功能，发挥党员先锋模范作用</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。锲而不舍落实中央八项规定精神，推进作风建设常态化长效化。</w:t>
      </w:r>
      <w:r>
        <w:rPr>
          <w:rFonts w:hint="default" w:ascii="Times New Roman" w:hAnsi="Times New Roman" w:eastAsia="方正仿宋_GBK" w:cs="Times New Roman"/>
          <w:b w:val="0"/>
          <w:bCs w:val="0"/>
          <w:color w:val="auto"/>
          <w:sz w:val="32"/>
          <w:szCs w:val="32"/>
          <w:highlight w:val="none"/>
          <w:lang w:val="en-US" w:eastAsia="zh-CN"/>
        </w:rPr>
        <w:t>持续深化拓展整治形式主义为基层减负工作。</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保持反腐败永远在路上的清醒坚定，完善一体推进不敢腐不能腐不想腐工作机制，加强对权力配置、运行的规范和监督，全域深化清廉渝中建设，持续深化整治群众身边不正之风和腐败问题，坚决打好反腐败斗争攻坚战、持久战、总体战。完善持续深入肃清流毒影响机制，营造风清气正的政治生态。</w:t>
      </w:r>
    </w:p>
    <w:p w14:paraId="095383E6">
      <w:pPr>
        <w:pStyle w:val="14"/>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233" w:name="_Toc12320"/>
      <w:bookmarkStart w:id="2234" w:name="_Toc31837"/>
      <w:bookmarkStart w:id="2235" w:name="_Toc27578"/>
      <w:bookmarkStart w:id="2236" w:name="_Toc13511"/>
      <w:bookmarkStart w:id="2237" w:name="_Toc16943"/>
      <w:bookmarkStart w:id="2238" w:name="_Toc11799"/>
      <w:bookmarkStart w:id="2239" w:name="_Toc9792"/>
      <w:bookmarkStart w:id="2240" w:name="_Toc7334"/>
      <w:bookmarkStart w:id="2241" w:name="_Toc20004"/>
      <w:bookmarkStart w:id="2242" w:name="_Toc20821"/>
      <w:bookmarkStart w:id="2243" w:name="_Toc13879"/>
      <w:bookmarkStart w:id="2244" w:name="_Toc14303"/>
      <w:r>
        <w:rPr>
          <w:rFonts w:hint="default" w:ascii="Times New Roman" w:hAnsi="Times New Roman" w:eastAsia="方正黑体_GBK" w:cs="Times New Roman"/>
          <w:color w:val="auto"/>
          <w:sz w:val="32"/>
          <w:szCs w:val="32"/>
          <w:highlight w:val="none"/>
          <w:u w:val="none" w:color="auto"/>
          <w:lang w:val="en-US" w:eastAsia="zh-CN"/>
        </w:rPr>
        <w:fldChar w:fldCharType="begin"/>
      </w:r>
      <w:r>
        <w:rPr>
          <w:rFonts w:hint="default" w:ascii="Times New Roman" w:hAnsi="Times New Roman" w:eastAsia="方正黑体_GBK" w:cs="Times New Roman"/>
          <w:color w:val="auto"/>
          <w:sz w:val="32"/>
          <w:szCs w:val="32"/>
          <w:highlight w:val="none"/>
          <w:u w:val="none" w:color="auto"/>
          <w:lang w:val="en-US" w:eastAsia="zh-CN"/>
        </w:rPr>
        <w:instrText xml:space="preserve"> HYPERLINK \l _Toc15419 </w:instrText>
      </w:r>
      <w:r>
        <w:rPr>
          <w:rFonts w:hint="default" w:ascii="Times New Roman" w:hAnsi="Times New Roman" w:eastAsia="方正黑体_GBK" w:cs="Times New Roman"/>
          <w:color w:val="auto"/>
          <w:sz w:val="32"/>
          <w:szCs w:val="32"/>
          <w:highlight w:val="none"/>
          <w:u w:val="none" w:color="auto"/>
          <w:lang w:val="en-US" w:eastAsia="zh-CN"/>
        </w:rPr>
        <w:fldChar w:fldCharType="separate"/>
      </w:r>
      <w:r>
        <w:rPr>
          <w:rFonts w:hint="default" w:ascii="Times New Roman" w:hAnsi="Times New Roman" w:eastAsia="方正黑体_GBK" w:cs="Times New Roman"/>
          <w:color w:val="auto"/>
          <w:sz w:val="32"/>
          <w:szCs w:val="32"/>
          <w:highlight w:val="none"/>
          <w:u w:val="none" w:color="auto"/>
          <w:lang w:val="en-US" w:eastAsia="zh-CN"/>
        </w:rPr>
        <w:t>第五十七章 深化</w:t>
      </w:r>
      <w:r>
        <w:rPr>
          <w:rFonts w:hint="default" w:ascii="Times New Roman" w:hAnsi="Times New Roman" w:eastAsia="方正黑体_GBK" w:cs="Times New Roman"/>
          <w:color w:val="auto"/>
          <w:sz w:val="32"/>
          <w:szCs w:val="32"/>
          <w:highlight w:val="none"/>
          <w:u w:val="none" w:color="auto"/>
          <w:lang w:val="en-US" w:eastAsia="zh-CN"/>
        </w:rPr>
        <w:fldChar w:fldCharType="end"/>
      </w:r>
      <w:r>
        <w:rPr>
          <w:rFonts w:hint="default" w:ascii="Times New Roman" w:hAnsi="Times New Roman" w:eastAsia="方正黑体_GBK" w:cs="Times New Roman"/>
          <w:color w:val="auto"/>
          <w:sz w:val="32"/>
          <w:szCs w:val="32"/>
          <w:highlight w:val="none"/>
          <w:u w:val="none" w:color="auto"/>
          <w:lang w:val="en-US" w:eastAsia="zh-CN"/>
        </w:rPr>
        <w:t>全过程人民民主渝中实践</w:t>
      </w:r>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14:paraId="487AB5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bookmarkStart w:id="2245" w:name="_Toc6163"/>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健全政协协商民主机制，持续深化全过程人民民主政协实践，加强各种协商渠道协同配合，推进协商民主广泛多层制度化发展。做强</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山城巷议·梯升幸福</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七星小院议事厅</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上心一件事</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等基层协商品牌。更好发挥工会、共青团、妇联、科协等群团组织作用，加强产业工人队伍建设、青少年发展、妇女儿童事业发展政策保障。完善大统战工作格局，深化落实统战工作责任制，健全同党外知识分子、非公有制经济人士、新的社会阶层人士的沟通联络机制，推进新时代多党合作事业高质量发展，完善港澳台工作机制，巩固和发展最广泛的爱国统一战线。健全铸牢中华民族共同体意识制度机制，共同做靓</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渝见石榴红</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品牌。全面贯彻党的侨务政策，更好凝聚侨心侨力。贯彻尊重劳动、尊重知识、尊重人才、尊重创造的方针，充分调动全社会投身现代化新重庆渝中建设的积极性主动性和创造性，形成万众一心、团结奋斗的生动局面。</w:t>
      </w:r>
    </w:p>
    <w:p w14:paraId="094C7048">
      <w:pPr>
        <w:pStyle w:val="14"/>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firstLine="0" w:firstLineChars="0"/>
        <w:jc w:val="center"/>
        <w:textAlignment w:val="auto"/>
        <w:outlineLvl w:val="1"/>
        <w:rPr>
          <w:rFonts w:hint="default" w:ascii="Times New Roman" w:hAnsi="Times New Roman" w:eastAsia="方正黑体_GBK" w:cs="Times New Roman"/>
          <w:color w:val="auto"/>
          <w:sz w:val="32"/>
          <w:szCs w:val="32"/>
          <w:highlight w:val="none"/>
          <w:u w:val="none" w:color="auto"/>
          <w:lang w:val="en-US" w:eastAsia="zh-CN"/>
        </w:rPr>
      </w:pPr>
      <w:bookmarkStart w:id="2246" w:name="_Toc10967"/>
      <w:bookmarkStart w:id="2247" w:name="_Toc29844"/>
      <w:bookmarkStart w:id="2248" w:name="_Toc3826"/>
      <w:bookmarkStart w:id="2249" w:name="_Toc16957"/>
      <w:bookmarkStart w:id="2250" w:name="_Toc19554"/>
      <w:bookmarkStart w:id="2251" w:name="_Toc17178"/>
      <w:bookmarkStart w:id="2252" w:name="_Toc16935"/>
      <w:bookmarkStart w:id="2253" w:name="_Toc26161"/>
      <w:bookmarkStart w:id="2254" w:name="_Toc12972"/>
      <w:bookmarkStart w:id="2255" w:name="_Toc29916"/>
      <w:bookmarkStart w:id="2256" w:name="_Toc27770"/>
      <w:bookmarkStart w:id="2257" w:name="_Toc24519"/>
      <w:r>
        <w:rPr>
          <w:rFonts w:hint="default" w:ascii="Times New Roman" w:hAnsi="Times New Roman" w:eastAsia="方正黑体_GBK" w:cs="Times New Roman"/>
          <w:color w:val="auto"/>
          <w:sz w:val="32"/>
          <w:szCs w:val="32"/>
          <w:highlight w:val="none"/>
          <w:u w:val="none" w:color="auto"/>
          <w:lang w:val="en-US" w:eastAsia="zh-CN"/>
        </w:rPr>
        <w:t>第五十八章 加强规划组织实施</w:t>
      </w:r>
      <w:bookmarkEnd w:id="2246"/>
      <w:bookmarkEnd w:id="2247"/>
      <w:bookmarkEnd w:id="2248"/>
      <w:bookmarkEnd w:id="2249"/>
      <w:bookmarkEnd w:id="2250"/>
      <w:bookmarkEnd w:id="2251"/>
      <w:bookmarkEnd w:id="2252"/>
      <w:bookmarkEnd w:id="2253"/>
      <w:bookmarkEnd w:id="2254"/>
      <w:bookmarkEnd w:id="2255"/>
      <w:bookmarkEnd w:id="2256"/>
      <w:bookmarkEnd w:id="2257"/>
    </w:p>
    <w:p w14:paraId="6772FAC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本规划经区人民代表大会审议批准，具有法律效力。要充分发挥规划对资源配置的导向作用，建立健全规划有效实施保障机制，确保各项目标任务顺利完成。</w:t>
      </w:r>
    </w:p>
    <w:p w14:paraId="489E074E">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2258" w:name="_Toc14024"/>
      <w:bookmarkStart w:id="2259" w:name="_Toc27531"/>
      <w:bookmarkStart w:id="2260" w:name="_Toc26466"/>
      <w:bookmarkStart w:id="2261" w:name="_Toc28953"/>
      <w:bookmarkStart w:id="2262" w:name="_Toc21017"/>
      <w:bookmarkStart w:id="2263" w:name="_Toc29107"/>
      <w:bookmarkStart w:id="2264" w:name="_Toc9153"/>
      <w:bookmarkStart w:id="2265" w:name="_Toc16173"/>
      <w:bookmarkStart w:id="2266" w:name="_Toc25636"/>
      <w:bookmarkStart w:id="2267" w:name="_Toc4422"/>
      <w:bookmarkStart w:id="2268" w:name="_Toc20555"/>
      <w:bookmarkStart w:id="2269" w:name="_Toc21201"/>
      <w:r>
        <w:rPr>
          <w:rFonts w:hint="default" w:ascii="Times New Roman" w:hAnsi="Times New Roman" w:eastAsia="方正楷体_GBK" w:cs="Times New Roman"/>
          <w:b w:val="0"/>
          <w:bCs w:val="0"/>
          <w:color w:val="auto"/>
          <w:sz w:val="32"/>
          <w:szCs w:val="32"/>
          <w:highlight w:val="none"/>
          <w:u w:val="none" w:color="auto"/>
          <w:lang w:val="en-US" w:eastAsia="zh-CN"/>
        </w:rPr>
        <w:t>第一节 完善规划管理制度</w:t>
      </w:r>
      <w:bookmarkEnd w:id="2258"/>
      <w:bookmarkEnd w:id="2259"/>
      <w:bookmarkEnd w:id="2260"/>
      <w:bookmarkEnd w:id="2261"/>
      <w:bookmarkEnd w:id="2262"/>
      <w:bookmarkEnd w:id="2263"/>
      <w:bookmarkEnd w:id="2264"/>
      <w:bookmarkEnd w:id="2265"/>
      <w:bookmarkEnd w:id="2266"/>
      <w:bookmarkEnd w:id="2267"/>
      <w:bookmarkEnd w:id="2268"/>
      <w:bookmarkEnd w:id="2269"/>
    </w:p>
    <w:p w14:paraId="5A8A45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根据本规划对特定领域提出的重点任务，建立以全区发展规划为统领、空间规划为基础、专项规划为支撑，定位准确、边界清晰、功能互补、统一衔接的规划体系。推动国土空间规划</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多规合一</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完善空间类专项规划目录清单管理机制和空间统筹平衡机制，夯实空间开发保护基础和平台功能，为各项重点任务落地实施提供空间保障。制定重点领域实施方案、行动计划和年度计划，分解落实规划提出的发展目标、主要指标和重点任务，设置年度目标并做好年度间综合平衡。健全区政府向区人民代表大会及其常委会报告机制，实施过程中宏观环境发生重大变化，需要对本规划进行调整时，依据法定程序和有关规定报区人民代表大会常务委员会批准。</w:t>
      </w:r>
    </w:p>
    <w:p w14:paraId="03803260">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2270" w:name="_Toc18929"/>
      <w:bookmarkStart w:id="2271" w:name="_Toc4881"/>
      <w:bookmarkStart w:id="2272" w:name="_Toc15852"/>
      <w:bookmarkStart w:id="2273" w:name="_Toc10812"/>
      <w:bookmarkStart w:id="2274" w:name="_Toc19606"/>
      <w:bookmarkStart w:id="2275" w:name="_Toc30394"/>
      <w:bookmarkStart w:id="2276" w:name="_Toc14211"/>
      <w:bookmarkStart w:id="2277" w:name="_Toc10470"/>
      <w:bookmarkStart w:id="2278" w:name="_Toc28465"/>
      <w:bookmarkStart w:id="2279" w:name="_Toc19195"/>
      <w:bookmarkStart w:id="2280" w:name="_Toc12976"/>
      <w:bookmarkStart w:id="2281" w:name="_Toc30798"/>
      <w:r>
        <w:rPr>
          <w:rFonts w:hint="default" w:ascii="Times New Roman" w:hAnsi="Times New Roman" w:eastAsia="方正楷体_GBK" w:cs="Times New Roman"/>
          <w:b w:val="0"/>
          <w:bCs w:val="0"/>
          <w:color w:val="auto"/>
          <w:sz w:val="32"/>
          <w:szCs w:val="32"/>
          <w:highlight w:val="none"/>
          <w:u w:val="none" w:color="auto"/>
          <w:lang w:val="en-US" w:eastAsia="zh-CN"/>
        </w:rPr>
        <w:t>第二节 强化</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四个重大</w:t>
      </w:r>
      <w:r>
        <w:rPr>
          <w:rFonts w:hint="eastAsia" w:ascii="Times New Roman" w:hAnsi="Times New Roman" w:eastAsia="方正仿宋_GBK" w:cs="方正仿宋_GBK"/>
          <w:b w:val="0"/>
          <w:bCs w:val="0"/>
          <w:color w:val="auto"/>
          <w:sz w:val="32"/>
          <w:szCs w:val="32"/>
          <w:highlight w:val="none"/>
          <w:u w:val="none" w:color="auto"/>
          <w:lang w:val="en-US" w:eastAsia="zh-CN"/>
        </w:rPr>
        <w:t>”</w:t>
      </w:r>
      <w:r>
        <w:rPr>
          <w:rFonts w:hint="default" w:ascii="Times New Roman" w:hAnsi="Times New Roman" w:eastAsia="方正楷体_GBK" w:cs="Times New Roman"/>
          <w:b w:val="0"/>
          <w:bCs w:val="0"/>
          <w:color w:val="auto"/>
          <w:sz w:val="32"/>
          <w:szCs w:val="32"/>
          <w:highlight w:val="none"/>
          <w:u w:val="none" w:color="auto"/>
          <w:lang w:val="en-US" w:eastAsia="zh-CN"/>
        </w:rPr>
        <w:t>支撑</w:t>
      </w:r>
      <w:bookmarkEnd w:id="2270"/>
      <w:bookmarkEnd w:id="2271"/>
      <w:bookmarkEnd w:id="2272"/>
      <w:bookmarkEnd w:id="2273"/>
      <w:bookmarkEnd w:id="2274"/>
      <w:bookmarkEnd w:id="2275"/>
      <w:bookmarkEnd w:id="2276"/>
      <w:bookmarkEnd w:id="2277"/>
      <w:bookmarkEnd w:id="2278"/>
      <w:bookmarkEnd w:id="2279"/>
      <w:bookmarkEnd w:id="2280"/>
      <w:bookmarkEnd w:id="2281"/>
    </w:p>
    <w:p w14:paraId="018381D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坚持</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项目跟着规划走、要素跟着项目走</w:t>
      </w:r>
      <w:r>
        <w:rPr>
          <w:rFonts w:hint="eastAsia" w:ascii="Times New Roman" w:hAnsi="Times New Roman" w:eastAsia="方正仿宋_GBK" w:cs="方正仿宋_GBK"/>
          <w:b w:val="0"/>
          <w:bCs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加强财政、土地、人才、金融、环保、用能等要素保障，推动本规划提出的重大项目、重大政策、重大改革、重大平台落实落地。健全项目储备库制度和推进机制，保障纳入本规划的工程项目规划选址。一体落实中央部署的重大改革任务、市委市政府部署的重大改革举措，细化落实区委区政府明确的改革抓手、改革路径，大力发扬基层首创精神，探索更多原创性、差异化改革。围绕发展所需、企业所盼、群众所急，不断完善政策工具箱，加强各种工具的系统集成、协同配合，常态化、敞口式开展政策预研储备，打好政策组合拳。集中力量建好各类</w:t>
      </w:r>
      <w:r>
        <w:rPr>
          <w:rFonts w:hint="default" w:ascii="Times New Roman" w:hAnsi="Times New Roman" w:eastAsia="方正仿宋_GBK" w:cs="Times New Roman"/>
          <w:b w:val="0"/>
          <w:bCs w:val="0"/>
          <w:color w:val="auto"/>
          <w:spacing w:val="-6"/>
          <w:kern w:val="2"/>
          <w:sz w:val="32"/>
          <w:szCs w:val="32"/>
          <w:highlight w:val="none"/>
          <w:u w:val="none" w:color="auto"/>
          <w:lang w:val="en-US" w:eastAsia="zh-CN" w:bidi="ar-SA"/>
        </w:rPr>
        <w:t>创新、产业、开放、消费等重大平台，打造高质量发展标志性成果。</w:t>
      </w:r>
    </w:p>
    <w:p w14:paraId="370AFC7F">
      <w:pPr>
        <w:pStyle w:val="16"/>
        <w:keepNext w:val="0"/>
        <w:keepLines w:val="0"/>
        <w:pageBreakBefore w:val="0"/>
        <w:widowControl w:val="0"/>
        <w:tabs>
          <w:tab w:val="right" w:leader="dot" w:pos="8844"/>
        </w:tabs>
        <w:kinsoku/>
        <w:wordWrap/>
        <w:overflowPunct/>
        <w:topLinePunct w:val="0"/>
        <w:autoSpaceDE/>
        <w:autoSpaceDN/>
        <w:bidi w:val="0"/>
        <w:adjustRightInd/>
        <w:snapToGrid/>
        <w:spacing w:line="590" w:lineRule="exact"/>
        <w:ind w:left="0" w:leftChars="0" w:firstLine="0" w:firstLineChars="0"/>
        <w:jc w:val="center"/>
        <w:textAlignment w:val="auto"/>
        <w:outlineLvl w:val="2"/>
        <w:rPr>
          <w:rFonts w:hint="default" w:ascii="Times New Roman" w:hAnsi="Times New Roman" w:eastAsia="方正楷体_GBK" w:cs="Times New Roman"/>
          <w:b w:val="0"/>
          <w:bCs w:val="0"/>
          <w:color w:val="auto"/>
          <w:sz w:val="32"/>
          <w:szCs w:val="32"/>
          <w:highlight w:val="none"/>
          <w:u w:val="none" w:color="auto"/>
          <w:lang w:val="en-US" w:eastAsia="zh-CN"/>
        </w:rPr>
      </w:pPr>
      <w:bookmarkStart w:id="2282" w:name="_Toc12289"/>
      <w:bookmarkStart w:id="2283" w:name="_Toc29607"/>
      <w:bookmarkStart w:id="2284" w:name="_Toc18939"/>
      <w:bookmarkStart w:id="2285" w:name="_Toc21769"/>
      <w:bookmarkStart w:id="2286" w:name="_Toc25917"/>
      <w:bookmarkStart w:id="2287" w:name="_Toc10348"/>
      <w:bookmarkStart w:id="2288" w:name="_Toc19291"/>
      <w:bookmarkStart w:id="2289" w:name="_Toc9554"/>
      <w:bookmarkStart w:id="2290" w:name="_Toc32706"/>
      <w:bookmarkStart w:id="2291" w:name="_Toc6783"/>
      <w:bookmarkStart w:id="2292" w:name="_Toc21324"/>
      <w:bookmarkStart w:id="2293" w:name="_Toc1919"/>
      <w:r>
        <w:rPr>
          <w:rFonts w:hint="default" w:ascii="Times New Roman" w:hAnsi="Times New Roman" w:eastAsia="方正楷体_GBK" w:cs="Times New Roman"/>
          <w:b w:val="0"/>
          <w:bCs w:val="0"/>
          <w:color w:val="auto"/>
          <w:sz w:val="32"/>
          <w:szCs w:val="32"/>
          <w:highlight w:val="none"/>
          <w:u w:val="none" w:color="auto"/>
          <w:lang w:val="en-US" w:eastAsia="zh-CN"/>
        </w:rPr>
        <w:t>第三节 加强规划实施监测评估</w:t>
      </w:r>
      <w:bookmarkEnd w:id="2282"/>
      <w:bookmarkEnd w:id="2283"/>
      <w:bookmarkEnd w:id="2284"/>
      <w:bookmarkEnd w:id="2285"/>
      <w:bookmarkEnd w:id="2286"/>
      <w:bookmarkEnd w:id="2287"/>
      <w:bookmarkEnd w:id="2288"/>
      <w:bookmarkEnd w:id="2289"/>
      <w:bookmarkEnd w:id="2290"/>
      <w:bookmarkEnd w:id="2291"/>
      <w:bookmarkEnd w:id="2292"/>
      <w:bookmarkEnd w:id="2293"/>
    </w:p>
    <w:p w14:paraId="51EF35F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t>明确本规划确定的预期性指标、约束性指标、重大事项和公共服务、生态环保、安全保障等领域任务责任主体。创新规划评估考核方式，开展政府自我评估和社会第三方评估，完善规划动态评估、跟踪、预警机制，健全年度监测分析、中期评估、总结评估体系，建立纲要实施督查机制。强化监测评估结果应用，把规划实施情况作为改进政府工作和绩效考核的重要依据，纳入各级领导干部考核评价体系，设置规划实施考核结果与被考核责任部门绩效挂钩机制。健全政府与企业、市民的信息沟通和反馈机制，畅通公众监督渠道。</w:t>
      </w:r>
      <w:bookmarkEnd w:id="2245"/>
    </w:p>
    <w:p w14:paraId="1B546B5F">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bCs w:val="0"/>
          <w:color w:val="auto"/>
          <w:kern w:val="2"/>
          <w:sz w:val="32"/>
          <w:szCs w:val="32"/>
          <w:highlight w:val="none"/>
          <w:u w:val="none" w:color="auto"/>
          <w:lang w:val="en-US" w:eastAsia="zh-CN" w:bidi="ar-SA"/>
        </w:rPr>
      </w:pPr>
      <w:r>
        <w:rPr>
          <w:rFonts w:hint="default" w:ascii="Times New Roman" w:hAnsi="Times New Roman" w:eastAsia="方正仿宋_GBK" w:cs="Times New Roman"/>
          <w:b w:val="0"/>
          <w:bCs w:val="0"/>
          <w:color w:val="auto"/>
          <w:kern w:val="2"/>
          <w:sz w:val="32"/>
          <w:szCs w:val="32"/>
          <w:highlight w:val="none"/>
          <w:u w:val="none" w:color="auto"/>
          <w:lang w:val="en-US" w:eastAsia="zh-CN" w:bidi="ar-SA"/>
        </w:rPr>
        <w:br w:type="page"/>
      </w:r>
    </w:p>
    <w:p w14:paraId="70B6BE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left"/>
        <w:textAlignment w:val="auto"/>
        <w:outlineLvl w:val="0"/>
        <w:rPr>
          <w:rFonts w:hint="eastAsia" w:ascii="Times New Roman" w:hAnsi="Times New Roman" w:eastAsia="方正黑体_GBK" w:cs="方正黑体_GBK"/>
          <w:b w:val="0"/>
          <w:bCs w:val="0"/>
          <w:color w:val="auto"/>
          <w:kern w:val="44"/>
          <w:sz w:val="32"/>
          <w:szCs w:val="32"/>
          <w:highlight w:val="none"/>
          <w:u w:val="none" w:color="auto"/>
          <w:lang w:val="en-US" w:eastAsia="zh-CN"/>
        </w:rPr>
      </w:pPr>
      <w:bookmarkStart w:id="2294" w:name="_Toc8290"/>
      <w:bookmarkStart w:id="2295" w:name="_Toc18260"/>
      <w:r>
        <w:rPr>
          <w:rFonts w:hint="eastAsia" w:ascii="Times New Roman" w:hAnsi="Times New Roman" w:eastAsia="方正黑体_GBK" w:cs="方正黑体_GBK"/>
          <w:b w:val="0"/>
          <w:bCs w:val="0"/>
          <w:color w:val="auto"/>
          <w:kern w:val="44"/>
          <w:sz w:val="32"/>
          <w:szCs w:val="32"/>
          <w:highlight w:val="none"/>
          <w:u w:val="none" w:color="auto"/>
          <w:lang w:val="en-US" w:eastAsia="zh-CN"/>
        </w:rPr>
        <w:t>附件</w:t>
      </w:r>
      <w:bookmarkEnd w:id="2294"/>
      <w:bookmarkEnd w:id="2295"/>
    </w:p>
    <w:p w14:paraId="5051EE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jc w:val="center"/>
        <w:textAlignment w:val="auto"/>
        <w:outlineLvl w:val="1"/>
        <w:rPr>
          <w:rFonts w:hint="default" w:ascii="Times New Roman" w:hAnsi="Times New Roman" w:eastAsia="方正小标宋_GBK" w:cs="Times New Roman"/>
          <w:b w:val="0"/>
          <w:bCs w:val="0"/>
          <w:color w:val="auto"/>
          <w:kern w:val="44"/>
          <w:sz w:val="44"/>
          <w:szCs w:val="44"/>
          <w:highlight w:val="none"/>
          <w:u w:val="none" w:color="auto"/>
          <w:lang w:val="en-US" w:eastAsia="zh-CN"/>
        </w:rPr>
      </w:pPr>
      <w:bookmarkStart w:id="2296" w:name="_Toc14251"/>
    </w:p>
    <w:p w14:paraId="1FC6CE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1"/>
        <w:rPr>
          <w:rFonts w:hint="default" w:ascii="Times New Roman" w:hAnsi="Times New Roman" w:eastAsia="方正小标宋_GBK" w:cs="Times New Roman"/>
          <w:b w:val="0"/>
          <w:bCs w:val="0"/>
          <w:color w:val="auto"/>
          <w:kern w:val="44"/>
          <w:sz w:val="44"/>
          <w:szCs w:val="44"/>
          <w:highlight w:val="none"/>
          <w:u w:val="none" w:color="auto"/>
          <w:lang w:val="en-US" w:eastAsia="zh-CN"/>
        </w:rPr>
      </w:pPr>
      <w:bookmarkStart w:id="2297" w:name="_Toc8989"/>
      <w:r>
        <w:rPr>
          <w:rFonts w:hint="default" w:ascii="Times New Roman" w:hAnsi="Times New Roman" w:eastAsia="方正小标宋_GBK" w:cs="Times New Roman"/>
          <w:b w:val="0"/>
          <w:bCs w:val="0"/>
          <w:color w:val="auto"/>
          <w:kern w:val="44"/>
          <w:sz w:val="44"/>
          <w:szCs w:val="44"/>
          <w:highlight w:val="none"/>
          <w:u w:val="none" w:color="auto"/>
          <w:lang w:val="en-US" w:eastAsia="zh-CN"/>
        </w:rPr>
        <w:t>名词解释</w:t>
      </w:r>
      <w:bookmarkEnd w:id="2296"/>
      <w:bookmarkEnd w:id="2297"/>
    </w:p>
    <w:p w14:paraId="107B2E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方正楷体_GBK" w:cs="Times New Roman"/>
          <w:b w:val="0"/>
          <w:bCs w:val="0"/>
          <w:color w:val="auto"/>
          <w:kern w:val="44"/>
          <w:sz w:val="32"/>
          <w:szCs w:val="32"/>
          <w:highlight w:val="none"/>
          <w:u w:val="none" w:color="auto"/>
          <w:lang w:val="en-US" w:eastAsia="zh-CN"/>
        </w:rPr>
      </w:pPr>
      <w:r>
        <w:rPr>
          <w:rFonts w:hint="default" w:ascii="Times New Roman" w:hAnsi="Times New Roman" w:eastAsia="方正楷体_GBK" w:cs="Times New Roman"/>
          <w:b w:val="0"/>
          <w:bCs w:val="0"/>
          <w:color w:val="auto"/>
          <w:kern w:val="44"/>
          <w:sz w:val="32"/>
          <w:szCs w:val="32"/>
          <w:highlight w:val="none"/>
          <w:u w:val="none" w:color="auto"/>
          <w:lang w:val="en-US" w:eastAsia="zh-CN"/>
        </w:rPr>
        <w:t>（按文本中出现先后顺序）</w:t>
      </w:r>
    </w:p>
    <w:p w14:paraId="13912870">
      <w:pPr>
        <w:pStyle w:val="4"/>
        <w:keepNext w:val="0"/>
        <w:keepLines w:val="0"/>
        <w:pageBreakBefore w:val="0"/>
        <w:widowControl w:val="0"/>
        <w:kinsoku/>
        <w:wordWrap/>
        <w:overflowPunct/>
        <w:topLinePunct w:val="0"/>
        <w:autoSpaceDE/>
        <w:autoSpaceDN/>
        <w:bidi w:val="0"/>
        <w:adjustRightInd/>
        <w:snapToGrid/>
        <w:spacing w:after="0" w:line="600" w:lineRule="exact"/>
        <w:textAlignment w:val="auto"/>
        <w:rPr>
          <w:rFonts w:hint="default" w:ascii="Times New Roman" w:hAnsi="Times New Roman"/>
          <w:color w:val="auto"/>
          <w:lang w:val="en-US" w:eastAsia="zh-CN"/>
        </w:rPr>
      </w:pPr>
    </w:p>
    <w:p w14:paraId="19F436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1.</w:t>
      </w:r>
      <w:r>
        <w:rPr>
          <w:rFonts w:hint="eastAsia" w:ascii="Times New Roman" w:hAnsi="Times New Roman" w:eastAsia="方正黑体_GBK" w:cs="方正黑体_GBK"/>
          <w:color w:val="auto"/>
          <w:spacing w:val="0"/>
          <w:sz w:val="32"/>
          <w:szCs w:val="32"/>
          <w:u w:val="none" w:color="auto"/>
          <w:lang w:val="en-US" w:eastAsia="zh-CN"/>
        </w:rPr>
        <w:t>锚定</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四大定位</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、发挥</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八大优势</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、打造</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六个新高地</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黑体_GBK" w:cs="方正黑体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锚定</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四大定位</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是指锚定渝中区重庆母城、‌都市极核、‌品质半岛、‌首善之区定位。发挥</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八大优势</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是指发挥国家战略叠加优势、‌都市中心优势、‌开放窗口优势、‌山水人文优势、‌现代服务业引领优势、‌综合配套优势、‌创业成本优势、‌创新潜力优势。打造</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六个新高地</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是指打造现代服务业发展新高地、内陆改革开放新高地、历史人文传承新高地、美好城市建设新高地、超大城市中心城区现代化治理新高地、新时代城市党建新高地。</w:t>
      </w:r>
    </w:p>
    <w:p w14:paraId="65DF6D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2.</w:t>
      </w:r>
      <w:r>
        <w:rPr>
          <w:rStyle w:val="23"/>
          <w:rFonts w:hint="eastAsia" w:ascii="Times New Roman" w:hAnsi="Times New Roman" w:eastAsia="方正仿宋_GBK" w:cs="方正仿宋_GBK"/>
          <w:b w:val="0"/>
          <w:bCs/>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宽洪大量</w:t>
      </w:r>
      <w:r>
        <w:rPr>
          <w:rStyle w:val="23"/>
          <w:rFonts w:hint="eastAsia" w:ascii="Times New Roman" w:hAnsi="Times New Roman" w:eastAsia="方正仿宋_GBK" w:cs="方正仿宋_GBK"/>
          <w:b w:val="0"/>
          <w:bCs/>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锦渝满堂</w:t>
      </w:r>
      <w:r>
        <w:rPr>
          <w:rStyle w:val="23"/>
          <w:rFonts w:hint="eastAsia" w:ascii="Times New Roman" w:hAnsi="Times New Roman" w:eastAsia="方正仿宋_GBK" w:cs="方正仿宋_GBK"/>
          <w:b w:val="0"/>
          <w:bCs/>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宽洪大量</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指成都市青羊区宽窄巷子和重庆市渝中区洪崖洞携手打造的文旅品牌，两地强化联动联建、协同互动，推动文旅融合发展。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锦渝满堂</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指渝中区与成都市锦江区两地在文化旅游领域推动信息共享、资源互换、客源互送、市场拓展与融合发展等，共同打造独具特色的</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锦渝满堂</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文旅品牌。</w:t>
      </w:r>
    </w:p>
    <w:p w14:paraId="2E586B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3.</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三攻坚一盘活</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2023年12月，市委六届四次全会召开，审议《中共重庆市委关于深入贯彻落实习近平总书记重要指示精神奋力实现</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三攻坚一盘活</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改革突破的意见》，提出深入推进国有企业、园区开发区、政企分离改革攻坚，推动国有资产盘活。</w:t>
      </w:r>
    </w:p>
    <w:p w14:paraId="617A61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4.</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eastAsia" w:ascii="Times New Roman" w:hAnsi="Times New Roman" w:eastAsia="方正黑体_GBK" w:cs="方正黑体_GBK"/>
          <w:b w:val="0"/>
          <w:bCs/>
          <w:color w:val="auto"/>
          <w:spacing w:val="0"/>
          <w:sz w:val="32"/>
          <w:szCs w:val="32"/>
          <w:u w:val="none" w:color="auto"/>
          <w:lang w:val="en-US" w:eastAsia="zh-CN"/>
        </w:rPr>
        <w:t>完善人员密集场所风险联防联控机制</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eastAsia" w:ascii="Times New Roman" w:hAnsi="Times New Roman" w:eastAsia="方正黑体_GBK" w:cs="方正黑体_GBK"/>
          <w:b w:val="0"/>
          <w:bCs/>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是指搭建以党委政府</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双首长</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为核心的区域指挥体系，根据安保需要，下设多个分指挥部，实行</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1+1+N</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（1名区级领导、1名公安领导、N名区级部门负责人和警种负责人）指挥模式，全天值守、靠前指挥、现场调度。</w:t>
      </w:r>
    </w:p>
    <w:p w14:paraId="33B096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5.</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eastAsia" w:ascii="Times New Roman" w:hAnsi="Times New Roman" w:eastAsia="方正黑体_GBK" w:cs="方正黑体_GBK"/>
          <w:b w:val="0"/>
          <w:bCs w:val="0"/>
          <w:color w:val="auto"/>
          <w:spacing w:val="0"/>
          <w:sz w:val="32"/>
          <w:szCs w:val="32"/>
          <w:highlight w:val="none"/>
          <w:u w:val="none" w:color="auto"/>
          <w:lang w:val="en-US" w:eastAsia="zh-CN"/>
        </w:rPr>
        <w:t>1+8+N+11</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eastAsia" w:ascii="Times New Roman" w:hAnsi="Times New Roman" w:eastAsia="方正黑体_GBK" w:cs="方正黑体_GBK"/>
          <w:b w:val="0"/>
          <w:bCs w:val="0"/>
          <w:color w:val="auto"/>
          <w:spacing w:val="0"/>
          <w:sz w:val="32"/>
          <w:szCs w:val="32"/>
          <w:highlight w:val="none"/>
          <w:u w:val="none" w:color="auto"/>
          <w:lang w:val="en-US" w:eastAsia="zh-CN"/>
        </w:rPr>
        <w:t>治理指挥体系。</w:t>
      </w:r>
      <w:r>
        <w:rPr>
          <w:rFonts w:hint="default" w:ascii="Times New Roman" w:hAnsi="Times New Roman" w:eastAsia="方正仿宋_GBK" w:cs="Times New Roman"/>
          <w:color w:val="auto"/>
          <w:spacing w:val="0"/>
          <w:sz w:val="32"/>
          <w:szCs w:val="32"/>
          <w:u w:val="none" w:color="auto"/>
          <w:lang w:val="en-US" w:eastAsia="zh-CN"/>
        </w:rPr>
        <w:t>是指实体运行区治理中心、区委区政府总值班室、区城治办一体指挥中枢，联勤联动洪崖洞、李子坝轻轨穿楼至鹅岭贰厂等8个一线指挥部，协同联动公安、消防、应急、城管等N个指挥模块和11个街道基层治理中心的城市治理指挥体系。</w:t>
      </w:r>
    </w:p>
    <w:p w14:paraId="7B24C2D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6"/>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6.</w:t>
      </w:r>
      <w:r>
        <w:rPr>
          <w:rFonts w:hint="eastAsia" w:ascii="Times New Roman" w:hAnsi="Times New Roman" w:eastAsia="方正仿宋_GBK" w:cs="方正仿宋_GBK"/>
          <w:color w:val="auto"/>
          <w:spacing w:val="-6"/>
          <w:sz w:val="32"/>
          <w:szCs w:val="32"/>
          <w:highlight w:val="none"/>
          <w:u w:val="none" w:color="auto"/>
          <w:lang w:val="en-US" w:eastAsia="zh-CN"/>
        </w:rPr>
        <w:t>“</w:t>
      </w:r>
      <w:r>
        <w:rPr>
          <w:rFonts w:hint="eastAsia" w:ascii="Times New Roman" w:hAnsi="Times New Roman" w:eastAsia="方正黑体_GBK" w:cs="方正黑体_GBK"/>
          <w:color w:val="auto"/>
          <w:spacing w:val="-6"/>
          <w:sz w:val="32"/>
          <w:szCs w:val="32"/>
          <w:highlight w:val="none"/>
          <w:u w:val="none" w:color="auto"/>
          <w:lang w:val="en-US" w:eastAsia="zh-CN"/>
        </w:rPr>
        <w:t>多中心合一</w:t>
      </w:r>
      <w:r>
        <w:rPr>
          <w:rFonts w:hint="eastAsia" w:ascii="Times New Roman" w:hAnsi="Times New Roman" w:eastAsia="方正仿宋_GBK" w:cs="方正仿宋_GBK"/>
          <w:color w:val="auto"/>
          <w:spacing w:val="-6"/>
          <w:sz w:val="32"/>
          <w:szCs w:val="32"/>
          <w:highlight w:val="none"/>
          <w:u w:val="none" w:color="auto"/>
          <w:lang w:val="en-US" w:eastAsia="zh-CN"/>
        </w:rPr>
        <w:t>”</w:t>
      </w:r>
      <w:r>
        <w:rPr>
          <w:rFonts w:hint="eastAsia" w:ascii="Times New Roman" w:hAnsi="Times New Roman" w:eastAsia="方正黑体_GBK" w:cs="方正黑体_GBK"/>
          <w:color w:val="auto"/>
          <w:spacing w:val="-6"/>
          <w:sz w:val="32"/>
          <w:szCs w:val="32"/>
          <w:highlight w:val="none"/>
          <w:u w:val="none" w:color="auto"/>
          <w:lang w:val="en-US" w:eastAsia="zh-CN"/>
        </w:rPr>
        <w:t>。</w:t>
      </w:r>
      <w:r>
        <w:rPr>
          <w:rFonts w:hint="default" w:ascii="Times New Roman" w:hAnsi="Times New Roman" w:eastAsia="方正仿宋_GBK" w:cs="Times New Roman"/>
          <w:color w:val="auto"/>
          <w:spacing w:val="-6"/>
          <w:sz w:val="32"/>
          <w:szCs w:val="32"/>
          <w:highlight w:val="none"/>
          <w:u w:val="none" w:color="auto"/>
        </w:rPr>
        <w:t>指将原本分散在不同部门、不同层级、不同领域的多个指挥中心、管理中心、调度中心进行实体化整合、一体化运行，形成</w:t>
      </w:r>
      <w:r>
        <w:rPr>
          <w:rFonts w:hint="eastAsia" w:ascii="Times New Roman" w:hAnsi="Times New Roman" w:eastAsia="方正仿宋_GBK" w:cs="方正仿宋_GBK"/>
          <w:color w:val="auto"/>
          <w:spacing w:val="-6"/>
          <w:sz w:val="32"/>
          <w:szCs w:val="32"/>
          <w:highlight w:val="none"/>
          <w:u w:val="none" w:color="auto"/>
          <w:lang w:eastAsia="zh-CN"/>
        </w:rPr>
        <w:t>“</w:t>
      </w:r>
      <w:r>
        <w:rPr>
          <w:rFonts w:hint="default" w:ascii="Times New Roman" w:hAnsi="Times New Roman" w:eastAsia="方正仿宋_GBK" w:cs="Times New Roman"/>
          <w:color w:val="auto"/>
          <w:spacing w:val="-6"/>
          <w:sz w:val="32"/>
          <w:szCs w:val="32"/>
          <w:highlight w:val="none"/>
          <w:u w:val="none" w:color="auto"/>
        </w:rPr>
        <w:t>一个中枢、一体指挥、协同联动</w:t>
      </w:r>
      <w:r>
        <w:rPr>
          <w:rFonts w:hint="eastAsia" w:ascii="Times New Roman" w:hAnsi="Times New Roman" w:eastAsia="方正仿宋_GBK" w:cs="方正仿宋_GBK"/>
          <w:color w:val="auto"/>
          <w:spacing w:val="-6"/>
          <w:sz w:val="32"/>
          <w:szCs w:val="32"/>
          <w:highlight w:val="none"/>
          <w:u w:val="none" w:color="auto"/>
          <w:lang w:eastAsia="zh-CN"/>
        </w:rPr>
        <w:t>”</w:t>
      </w:r>
      <w:r>
        <w:rPr>
          <w:rFonts w:hint="default" w:ascii="Times New Roman" w:hAnsi="Times New Roman" w:eastAsia="方正仿宋_GBK" w:cs="Times New Roman"/>
          <w:color w:val="auto"/>
          <w:spacing w:val="-6"/>
          <w:sz w:val="32"/>
          <w:szCs w:val="32"/>
          <w:highlight w:val="none"/>
          <w:u w:val="none" w:color="auto"/>
        </w:rPr>
        <w:t>的治理新格局。</w:t>
      </w:r>
    </w:p>
    <w:p w14:paraId="5AEE4A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7.</w:t>
      </w:r>
      <w:r>
        <w:rPr>
          <w:rStyle w:val="23"/>
          <w:rFonts w:hint="eastAsia" w:ascii="Times New Roman" w:hAnsi="Times New Roman" w:eastAsia="方正黑体_GBK" w:cs="方正黑体_GBK"/>
          <w:b w:val="0"/>
          <w:bCs/>
          <w:color w:val="auto"/>
          <w:spacing w:val="0"/>
          <w:sz w:val="32"/>
          <w:szCs w:val="32"/>
          <w:u w:val="none" w:color="auto"/>
          <w:lang w:val="en-US" w:eastAsia="zh-CN"/>
        </w:rPr>
        <w:t>网约房智管</w:t>
      </w:r>
      <w:r>
        <w:rPr>
          <w:rFonts w:hint="eastAsia" w:ascii="Times New Roman" w:hAnsi="Times New Roman" w:eastAsia="方正黑体_GBK" w:cs="方正黑体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是指通过数字化手段打造</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网约房智管服务</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应用，对每间网约房线上赋予</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房源码</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、线下安装物联感知</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智能锁</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，融合智能门锁采集、AI视频感知、110接警、投诉评价、部门排查等多元信息，动态监测治安问题、消防隐患、价格争端等10类重点风险事件，推动全区网约房从</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管理真空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向</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有序监管</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转变。</w:t>
      </w:r>
    </w:p>
    <w:p w14:paraId="7F0006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8.</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九治</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highlight w:val="none"/>
          <w:u w:val="none" w:color="auto"/>
          <w:lang w:val="en-US" w:eastAsia="zh-CN"/>
        </w:rPr>
        <w:t>是指治水、治气、治土、治废、治塑、治山、治岸、治城、治乡。</w:t>
      </w:r>
    </w:p>
    <w:p w14:paraId="291E46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9.</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黑体_GBK" w:cs="Times New Roman"/>
          <w:color w:val="auto"/>
          <w:spacing w:val="0"/>
          <w:sz w:val="32"/>
          <w:szCs w:val="32"/>
          <w:u w:val="none" w:color="auto"/>
          <w:lang w:val="en-US" w:eastAsia="zh-CN"/>
        </w:rPr>
        <w:t>一带六横十六纵</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黑体_GBK" w:cs="Times New Roman"/>
          <w:color w:val="auto"/>
          <w:spacing w:val="0"/>
          <w:sz w:val="32"/>
          <w:szCs w:val="32"/>
          <w:u w:val="none" w:color="auto"/>
          <w:lang w:val="en-US" w:eastAsia="zh-CN"/>
        </w:rPr>
        <w:t>山城步道系统</w:t>
      </w:r>
      <w:r>
        <w:rPr>
          <w:rFonts w:hint="eastAsia" w:ascii="Times New Roman" w:hAnsi="Times New Roman" w:eastAsia="方正黑体_GBK" w:cs="方正黑体_GBK"/>
          <w:color w:val="auto"/>
          <w:spacing w:val="0"/>
          <w:sz w:val="32"/>
          <w:szCs w:val="32"/>
          <w:highlight w:val="none"/>
          <w:u w:val="none" w:color="auto"/>
          <w:lang w:val="en-US" w:eastAsia="zh-CN"/>
        </w:rPr>
        <w:t>。</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一带</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是指滨江步道环线。</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六横</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是指横贯渝中区东西向的6条廊道。</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十六纵</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是指连接嘉陵江和长江、贯穿渝中区南北向的16条廊道。</w:t>
      </w:r>
    </w:p>
    <w:p w14:paraId="43A9BE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10.</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黑体_GBK" w:cs="Times New Roman"/>
          <w:color w:val="auto"/>
          <w:spacing w:val="0"/>
          <w:sz w:val="32"/>
          <w:szCs w:val="32"/>
          <w:u w:val="none" w:color="auto"/>
          <w:lang w:val="en-US" w:eastAsia="zh-CN"/>
        </w:rPr>
        <w:t>五横七纵</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黑体_GBK" w:cs="Times New Roman"/>
          <w:color w:val="auto"/>
          <w:spacing w:val="0"/>
          <w:sz w:val="32"/>
          <w:szCs w:val="32"/>
          <w:u w:val="none" w:color="auto"/>
          <w:lang w:val="en-US" w:eastAsia="zh-CN"/>
        </w:rPr>
        <w:t>轨道交通网络</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是指1、2、18、26、27号线等5条东西走向的轨道线路，3、5、6、9、10、12、28号线等7条南北走向的轨道线路。</w:t>
      </w:r>
    </w:p>
    <w:p w14:paraId="30D2FA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11.</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8大人生关怀</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是指在居民从出生到离世人生中的重要节点，给予最贴心的关怀，包括出生关怀、入学关怀、婚育关怀、重病关怀、生活困难关怀、节日关怀、养老关怀、离世关怀。</w:t>
      </w:r>
    </w:p>
    <w:p w14:paraId="684B14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12.</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15分钟高品质生活服务圈</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是指以社区居民为服务对象，以各类公共服务设施为中心，服务半径为步行15分钟左右的范围，以日常公共服务不出街道、基本生活服务不出社区为目标，打造基本公共服务体系。</w:t>
      </w:r>
    </w:p>
    <w:p w14:paraId="5A138F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13.</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规建治投融运</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一体化</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规划、建设、治理、投资、融资、运营</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一体化推进。</w:t>
      </w:r>
    </w:p>
    <w:p w14:paraId="14B3C7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14.</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黑体_GBK" w:cs="Times New Roman"/>
          <w:color w:val="auto"/>
          <w:spacing w:val="0"/>
          <w:sz w:val="32"/>
          <w:szCs w:val="32"/>
          <w:highlight w:val="none"/>
          <w:u w:val="none" w:color="auto"/>
          <w:lang w:val="en-US" w:eastAsia="zh-CN"/>
        </w:rPr>
        <w:t>渝进蓉出、蓉进渝出</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黑体_GBK" w:cs="Times New Roman"/>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rPr>
        <w:t>指重庆市与成都市依托240小时过境免签等政策，打造</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重庆入境—成都出境</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成都入境—重庆出境</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的闭环旅游与商务通道，串联两地核心资源，提升入境便利度与消费吸引力。</w:t>
      </w:r>
    </w:p>
    <w:p w14:paraId="719B5A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15.</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4311</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现代化产业体系。</w:t>
      </w:r>
      <w:r>
        <w:rPr>
          <w:rStyle w:val="22"/>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Style w:val="22"/>
          <w:rFonts w:hint="default" w:ascii="Times New Roman" w:hAnsi="Times New Roman" w:eastAsia="方正仿宋_GBK" w:cs="Times New Roman"/>
          <w:b w:val="0"/>
          <w:bCs w:val="0"/>
          <w:color w:val="auto"/>
          <w:spacing w:val="0"/>
          <w:sz w:val="32"/>
          <w:szCs w:val="32"/>
          <w:highlight w:val="none"/>
          <w:u w:val="none" w:color="auto"/>
          <w:lang w:val="en-US" w:eastAsia="zh-CN"/>
        </w:rPr>
        <w:t>4</w:t>
      </w:r>
      <w:r>
        <w:rPr>
          <w:rStyle w:val="22"/>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Style w:val="22"/>
          <w:rFonts w:hint="default" w:ascii="Times New Roman" w:hAnsi="Times New Roman" w:eastAsia="方正仿宋_GBK" w:cs="Times New Roman"/>
          <w:b w:val="0"/>
          <w:bCs w:val="0"/>
          <w:color w:val="auto"/>
          <w:spacing w:val="0"/>
          <w:sz w:val="32"/>
          <w:szCs w:val="32"/>
          <w:highlight w:val="none"/>
          <w:u w:val="none" w:color="auto"/>
          <w:lang w:val="en-US" w:eastAsia="zh-CN"/>
        </w:rPr>
        <w:t>指</w:t>
      </w:r>
      <w:r>
        <w:rPr>
          <w:rFonts w:hint="default" w:ascii="Times New Roman" w:hAnsi="Times New Roman" w:eastAsia="方正仿宋_GBK" w:cs="Times New Roman"/>
          <w:color w:val="auto"/>
          <w:sz w:val="32"/>
          <w:szCs w:val="32"/>
          <w:highlight w:val="none"/>
          <w:u w:val="none" w:color="auto"/>
          <w:lang w:val="en-US" w:eastAsia="zh-CN"/>
        </w:rPr>
        <w:t>现代金融、专业服务、科创服务、现代物流4大生产性服务业；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3</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指现代商贸、文旅文创、大健康3大生活性服务业；第一个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指现代建筑业；第二个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指新兴产业和未来产业。</w:t>
      </w:r>
    </w:p>
    <w:p w14:paraId="3B693B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16.</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三同</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两不</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三同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是指同样条件成本低、同样成本服务好、同样服务机会多。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两不</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是指企业办事不找人、企业办事不求人。</w:t>
      </w:r>
    </w:p>
    <w:p w14:paraId="42DF11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17.</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33618</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现代制造业。</w:t>
      </w:r>
      <w:r>
        <w:rPr>
          <w:rFonts w:hint="default" w:ascii="Times New Roman" w:hAnsi="Times New Roman" w:eastAsia="方正仿宋_GBK" w:cs="Times New Roman"/>
          <w:color w:val="auto"/>
          <w:sz w:val="32"/>
          <w:szCs w:val="22"/>
          <w:highlight w:val="none"/>
          <w:u w:val="none" w:color="auto"/>
          <w:lang w:eastAsia="zh-CN"/>
          <w14:ligatures w14:val="standardContextual"/>
        </w:rPr>
        <w:t>第1个</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3</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eastAsia" w:ascii="Times New Roman" w:hAnsi="Times New Roman" w:eastAsia="方正仿宋_GBK" w:cs="Times New Roman"/>
          <w:color w:val="auto"/>
          <w:sz w:val="32"/>
          <w:szCs w:val="22"/>
          <w:highlight w:val="none"/>
          <w:u w:val="none" w:color="auto"/>
          <w:lang w:val="en-US" w:eastAsia="zh-CN"/>
          <w14:ligatures w14:val="standardContextual"/>
        </w:rPr>
        <w:t>是指</w:t>
      </w:r>
      <w:r>
        <w:rPr>
          <w:rFonts w:hint="default" w:ascii="Times New Roman" w:hAnsi="Times New Roman" w:eastAsia="方正仿宋_GBK" w:cs="Times New Roman"/>
          <w:color w:val="auto"/>
          <w:sz w:val="32"/>
          <w:szCs w:val="22"/>
          <w:highlight w:val="none"/>
          <w:u w:val="none" w:color="auto"/>
          <w:lang w:eastAsia="zh-CN"/>
          <w14:ligatures w14:val="standardContextual"/>
        </w:rPr>
        <w:t>聚力打造智能网联新能源汽车、新一代电子信息制造业、先进材料等3大主导产业集群。第2个</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3</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eastAsia" w:ascii="Times New Roman" w:hAnsi="Times New Roman" w:eastAsia="方正仿宋_GBK" w:cs="Times New Roman"/>
          <w:color w:val="auto"/>
          <w:sz w:val="32"/>
          <w:szCs w:val="22"/>
          <w:highlight w:val="none"/>
          <w:u w:val="none" w:color="auto"/>
          <w:lang w:val="en-US" w:eastAsia="zh-CN"/>
          <w14:ligatures w14:val="standardContextual"/>
        </w:rPr>
        <w:t>是指</w:t>
      </w:r>
      <w:r>
        <w:rPr>
          <w:rFonts w:hint="default" w:ascii="Times New Roman" w:hAnsi="Times New Roman" w:eastAsia="方正仿宋_GBK" w:cs="Times New Roman"/>
          <w:color w:val="auto"/>
          <w:sz w:val="32"/>
          <w:szCs w:val="22"/>
          <w:highlight w:val="none"/>
          <w:u w:val="none" w:color="auto"/>
          <w:lang w:eastAsia="zh-CN"/>
          <w14:ligatures w14:val="standardContextual"/>
        </w:rPr>
        <w:t>升级打造智能制造及装备、食品及农产品加工、软件信息服务等3大支柱产业集群。</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6</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eastAsia" w:ascii="Times New Roman" w:hAnsi="Times New Roman" w:eastAsia="方正仿宋_GBK" w:cs="Times New Roman"/>
          <w:color w:val="auto"/>
          <w:sz w:val="32"/>
          <w:szCs w:val="22"/>
          <w:highlight w:val="none"/>
          <w:u w:val="none" w:color="auto"/>
          <w:lang w:val="en-US" w:eastAsia="zh-CN"/>
          <w14:ligatures w14:val="standardContextual"/>
        </w:rPr>
        <w:t>是指</w:t>
      </w:r>
      <w:r>
        <w:rPr>
          <w:rFonts w:hint="default" w:ascii="Times New Roman" w:hAnsi="Times New Roman" w:eastAsia="方正仿宋_GBK" w:cs="Times New Roman"/>
          <w:color w:val="auto"/>
          <w:sz w:val="32"/>
          <w:szCs w:val="22"/>
          <w:highlight w:val="none"/>
          <w:u w:val="none" w:color="auto"/>
          <w:lang w:eastAsia="zh-CN"/>
          <w14:ligatures w14:val="standardContextual"/>
        </w:rPr>
        <w:t>创新打造新型显示、合金材料、特色轻纺、智能绿色能源装备、智联电动车与高端摩托车、特色工艺集成电路等6大特色优势产业集群。</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18</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w:t>
      </w:r>
      <w:r>
        <w:rPr>
          <w:rFonts w:hint="eastAsia" w:ascii="Times New Roman" w:hAnsi="Times New Roman" w:eastAsia="方正仿宋_GBK" w:cs="Times New Roman"/>
          <w:color w:val="auto"/>
          <w:sz w:val="32"/>
          <w:szCs w:val="22"/>
          <w:highlight w:val="none"/>
          <w:u w:val="none" w:color="auto"/>
          <w:lang w:val="en-US" w:eastAsia="zh-CN"/>
          <w14:ligatures w14:val="standardContextual"/>
        </w:rPr>
        <w:t>是指</w:t>
      </w:r>
      <w:r>
        <w:rPr>
          <w:rFonts w:hint="default" w:ascii="Times New Roman" w:hAnsi="Times New Roman" w:eastAsia="方正仿宋_GBK" w:cs="Times New Roman"/>
          <w:color w:val="auto"/>
          <w:sz w:val="32"/>
          <w:szCs w:val="22"/>
          <w:highlight w:val="none"/>
          <w:u w:val="none" w:color="auto"/>
          <w:lang w:eastAsia="zh-CN"/>
          <w14:ligatures w14:val="standardContextual"/>
        </w:rPr>
        <w:t>培育壮大人工智能、具身智能机器人、传感器及仪器仪表、低空经济、动力装备、智能农机装备、高性能纤维及复合材料、合成材料、适老服务及休闲运动产品、生物医药、智慧医疗装备、空天信息、生物制造、原子级制造、前沿新材料、脑机接口及脑科学、光子与量子技术、沉浸技术等18个</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新星</w:t>
      </w:r>
      <w:r>
        <w:rPr>
          <w:rFonts w:hint="eastAsia" w:ascii="Times New Roman" w:hAnsi="Times New Roman" w:eastAsia="方正仿宋_GBK" w:cs="方正仿宋_GBK"/>
          <w:color w:val="auto"/>
          <w:sz w:val="32"/>
          <w:szCs w:val="22"/>
          <w:highlight w:val="none"/>
          <w:u w:val="none" w:color="auto"/>
          <w:lang w:eastAsia="zh-CN"/>
          <w14:ligatures w14:val="standardContextual"/>
        </w:rPr>
        <w:t>”</w:t>
      </w:r>
      <w:r>
        <w:rPr>
          <w:rFonts w:hint="default" w:ascii="Times New Roman" w:hAnsi="Times New Roman" w:eastAsia="方正仿宋_GBK" w:cs="Times New Roman"/>
          <w:color w:val="auto"/>
          <w:sz w:val="32"/>
          <w:szCs w:val="22"/>
          <w:highlight w:val="none"/>
          <w:u w:val="none" w:color="auto"/>
          <w:lang w:eastAsia="zh-CN"/>
          <w14:ligatures w14:val="standardContextual"/>
        </w:rPr>
        <w:t>产业</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集群。</w:t>
      </w:r>
    </w:p>
    <w:p w14:paraId="55204D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18.</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股贷债保担租</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是指股权投资、贷款、债券、保险、融资担保、融资租赁。</w:t>
      </w:r>
    </w:p>
    <w:p w14:paraId="35B196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19.</w:t>
      </w:r>
      <w:r>
        <w:rPr>
          <w:rStyle w:val="23"/>
          <w:rFonts w:hint="default" w:ascii="Times New Roman" w:hAnsi="Times New Roman" w:eastAsia="方正黑体_GBK" w:cs="Times New Roman"/>
          <w:b w:val="0"/>
          <w:bCs/>
          <w:color w:val="auto"/>
          <w:spacing w:val="0"/>
          <w:sz w:val="32"/>
          <w:szCs w:val="32"/>
          <w:u w:val="none" w:color="auto"/>
          <w:lang w:val="en-US" w:eastAsia="zh-CN"/>
        </w:rPr>
        <w:t>IPO。</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企业上市前审计鉴证服务审计，全称Initial Public Offering Audit，指企业在首次公开发行股票并上市前，由具有证券从业资格的会计师事务所对其进行的全面财务审计。</w:t>
      </w:r>
    </w:p>
    <w:p w14:paraId="3EEA94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20.</w:t>
      </w:r>
      <w:r>
        <w:rPr>
          <w:rStyle w:val="23"/>
          <w:rFonts w:hint="default" w:ascii="Times New Roman" w:hAnsi="Times New Roman" w:eastAsia="方正黑体_GBK" w:cs="Times New Roman"/>
          <w:b w:val="0"/>
          <w:bCs/>
          <w:color w:val="auto"/>
          <w:spacing w:val="0"/>
          <w:sz w:val="32"/>
          <w:szCs w:val="32"/>
          <w:u w:val="none" w:color="auto"/>
          <w:lang w:val="en-US" w:eastAsia="zh-CN"/>
        </w:rPr>
        <w:t>REITs。</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不动产投资信托基金，全称Real Estate Investment Trusts。即允许普通投资者通过购买基金份额，间接持有并分享不动产租金和运营收益的公开上市金融产品。</w:t>
      </w:r>
    </w:p>
    <w:p w14:paraId="5E8F70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21.</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跟着赛事去旅行</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体育赛事三进</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跟着赛事去旅行</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是指借助体育赛事的聚集效应，设计特色旅游线路、文体商旅展联动活动，吸引参赛者、观众赛事前后在当地及周边进行旅游消费，从而</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以赛引流、以赛促游</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体育赛事三进</w:t>
      </w:r>
      <w:r>
        <w:rPr>
          <w:rFonts w:hint="eastAsia" w:ascii="Times New Roman" w:hAnsi="Times New Roman" w:eastAsia="方正仿宋_GBK" w:cs="方正仿宋_GBK"/>
          <w:color w:val="auto"/>
          <w:sz w:val="32"/>
          <w:szCs w:val="22"/>
          <w:highlight w:val="none"/>
          <w:u w:val="none" w:color="auto"/>
          <w:lang w:val="en-US" w:eastAsia="zh-CN"/>
          <w14:ligatures w14:val="standardContextual"/>
        </w:rPr>
        <w:t>”</w:t>
      </w:r>
      <w:r>
        <w:rPr>
          <w:rFonts w:hint="default" w:ascii="Times New Roman" w:hAnsi="Times New Roman" w:eastAsia="方正仿宋_GBK" w:cs="Times New Roman"/>
          <w:color w:val="auto"/>
          <w:sz w:val="32"/>
          <w:szCs w:val="22"/>
          <w:highlight w:val="none"/>
          <w:u w:val="none" w:color="auto"/>
          <w:lang w:val="en-US" w:eastAsia="zh-CN"/>
          <w14:ligatures w14:val="standardContextual"/>
        </w:rPr>
        <w:t>是指体育赛事进景区、进街区、进商圈。</w:t>
      </w:r>
    </w:p>
    <w:p w14:paraId="20D0B4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22.</w:t>
      </w:r>
      <w:r>
        <w:rPr>
          <w:rStyle w:val="23"/>
          <w:rFonts w:hint="default" w:ascii="Times New Roman" w:hAnsi="Times New Roman" w:eastAsia="方正黑体_GBK" w:cs="Times New Roman"/>
          <w:b w:val="0"/>
          <w:bCs/>
          <w:color w:val="auto"/>
          <w:spacing w:val="0"/>
          <w:sz w:val="32"/>
          <w:szCs w:val="32"/>
          <w:u w:val="none" w:color="auto"/>
          <w:lang w:val="en-US" w:eastAsia="zh-CN"/>
        </w:rPr>
        <w:t>BIM</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建筑信息模型，全称Building Information Modeling。指以三维数字技术为基础，涵盖建筑项目设计、施工、运营等多个阶段。</w:t>
      </w:r>
    </w:p>
    <w:p w14:paraId="6E8C9B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23.</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智改数转</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智开算联</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智融全域</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智涌潮生</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智改数转</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智能化技改、数字化转型升级，</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智开算联</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智能</w:t>
      </w:r>
      <w:r>
        <w:rPr>
          <w:rFonts w:hint="eastAsia" w:ascii="Times New Roman" w:hAnsi="Times New Roman" w:eastAsia="方正仿宋_GBK" w:cs="Times New Roman"/>
          <w:b w:val="0"/>
          <w:bCs w:val="0"/>
          <w:color w:val="auto"/>
          <w:spacing w:val="0"/>
          <w:sz w:val="32"/>
          <w:szCs w:val="32"/>
          <w:highlight w:val="none"/>
          <w:u w:val="none" w:color="auto"/>
          <w:lang w:val="en-US" w:eastAsia="zh-CN"/>
        </w:rPr>
        <w:t>化</w:t>
      </w:r>
      <w:r>
        <w:rPr>
          <w:rFonts w:hint="default" w:ascii="Times New Roman" w:hAnsi="Times New Roman" w:eastAsia="方正仿宋_GBK" w:cs="Times New Roman"/>
          <w:b w:val="0"/>
          <w:bCs w:val="0"/>
          <w:color w:val="auto"/>
          <w:spacing w:val="0"/>
          <w:sz w:val="32"/>
          <w:szCs w:val="32"/>
          <w:highlight w:val="none"/>
          <w:u w:val="none" w:color="auto"/>
          <w:lang w:val="en-US" w:eastAsia="zh-CN"/>
        </w:rPr>
        <w:t>改造、开源生态、算力协同、数据联通，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智融全域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通过场景开放把智能技术全面融入并赋能全域经济社会发展，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智涌潮生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构建一流</w:t>
      </w:r>
      <w:r>
        <w:rPr>
          <w:rFonts w:hint="eastAsia" w:ascii="Times New Roman" w:hAnsi="Times New Roman" w:eastAsia="方正仿宋_GBK" w:cs="Times New Roman"/>
          <w:color w:val="auto"/>
          <w:sz w:val="32"/>
          <w:szCs w:val="32"/>
          <w:highlight w:val="none"/>
          <w:u w:val="none" w:color="auto"/>
          <w:lang w:val="en-US" w:eastAsia="zh-CN"/>
        </w:rPr>
        <w:t>智能化</w:t>
      </w:r>
      <w:r>
        <w:rPr>
          <w:rFonts w:hint="default" w:ascii="Times New Roman" w:hAnsi="Times New Roman" w:eastAsia="方正仿宋_GBK" w:cs="Times New Roman"/>
          <w:color w:val="auto"/>
          <w:sz w:val="32"/>
          <w:szCs w:val="32"/>
          <w:highlight w:val="none"/>
          <w:u w:val="none" w:color="auto"/>
          <w:lang w:val="en-US" w:eastAsia="zh-CN"/>
        </w:rPr>
        <w:t>产业生态系统，促进智慧产业如潮水般涌现成长。</w:t>
      </w:r>
    </w:p>
    <w:p w14:paraId="28381F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24.</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416</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科技创新布局</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4</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w:t>
      </w:r>
      <w:r>
        <w:rPr>
          <w:rFonts w:hint="default" w:ascii="Times New Roman" w:hAnsi="Times New Roman" w:eastAsia="方正仿宋_GBK" w:cs="Times New Roman"/>
          <w:b w:val="0"/>
          <w:bCs w:val="0"/>
          <w:color w:val="auto"/>
          <w:spacing w:val="0"/>
          <w:kern w:val="2"/>
          <w:sz w:val="32"/>
          <w:szCs w:val="32"/>
          <w:highlight w:val="none"/>
          <w:u w:val="none" w:color="auto"/>
          <w:shd w:val="clear"/>
          <w:lang w:val="en-US" w:eastAsia="zh-CN"/>
        </w:rPr>
        <w:t>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数智科技、生命健康、新材料、绿色低碳4大科创高地，</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eastAsia" w:ascii="Times New Roman" w:hAnsi="Times New Roman" w:eastAsia="方正仿宋_GBK" w:cs="Times New Roman"/>
          <w:b w:val="0"/>
          <w:bCs w:val="0"/>
          <w:color w:val="auto"/>
          <w:spacing w:val="0"/>
          <w:sz w:val="32"/>
          <w:szCs w:val="32"/>
          <w:highlight w:val="none"/>
          <w:u w:val="none" w:color="auto"/>
          <w:lang w:val="en-US" w:eastAsia="zh-CN"/>
        </w:rPr>
        <w:t>16</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eastAsia"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人工智能、区块链、云计算、大数据、量子信息、集成电路、智能制造、生物医药、核心软件、高端装备、新材料、新能源、智能网联汽车、航空航天、生态环保、现代农业16个重点领域创新。</w:t>
      </w:r>
    </w:p>
    <w:p w14:paraId="1861173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25.</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来数加工</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企业或机构接受境内外委托，对汇聚的数据资源进行清洗、标注、分析、挖掘等技术处理和价值开发。</w:t>
      </w:r>
    </w:p>
    <w:p w14:paraId="44DDFD7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26.</w:t>
      </w:r>
      <w:r>
        <w:rPr>
          <w:rFonts w:hint="default" w:ascii="Times New Roman" w:hAnsi="Times New Roman" w:eastAsia="方正仿宋_GBK" w:cs="Times New Roman"/>
          <w:b w:val="0"/>
          <w:bCs w:val="0"/>
          <w:color w:val="auto"/>
          <w:spacing w:val="0"/>
          <w:sz w:val="32"/>
          <w:szCs w:val="32"/>
          <w:highlight w:val="none"/>
          <w:u w:val="none" w:color="auto"/>
          <w:lang w:val="en-US" w:eastAsia="zh-CN"/>
        </w:rPr>
        <w:t>CAD、CAE、CAT、EDA</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CAD</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计算机辅助设计，全称Computer-Aided Design。CAE</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计算机辅助工程，全称Computer-Aided Engineering。CAT</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计算机辅助测试，全称Computer-Aided Testing。EDA</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电子设计自动化，全称Electronic Design Automation。</w:t>
      </w:r>
    </w:p>
    <w:p w14:paraId="6AAD20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27.</w:t>
      </w:r>
      <w:r>
        <w:rPr>
          <w:rFonts w:hint="default" w:ascii="Times New Roman" w:hAnsi="Times New Roman" w:eastAsia="方正黑体_GBK" w:cs="Times New Roman"/>
          <w:color w:val="auto"/>
          <w:spacing w:val="0"/>
          <w:sz w:val="32"/>
          <w:szCs w:val="32"/>
          <w:u w:val="none" w:color="auto"/>
          <w:lang w:val="en-US" w:eastAsia="zh-CN"/>
        </w:rPr>
        <w:t>数据集。</w:t>
      </w:r>
      <w:r>
        <w:rPr>
          <w:rFonts w:hint="default" w:ascii="Times New Roman" w:hAnsi="Times New Roman" w:eastAsia="方正仿宋_GBK" w:cs="Times New Roman"/>
          <w:color w:val="auto"/>
          <w:spacing w:val="0"/>
          <w:sz w:val="32"/>
          <w:szCs w:val="32"/>
          <w:u w:val="none" w:color="auto"/>
          <w:lang w:val="en-US" w:eastAsia="zh-CN"/>
        </w:rPr>
        <w:t>是指经过采集、加工等数据处理后，可直接用于开发和训练人工智能模型的数据集合。</w:t>
      </w:r>
    </w:p>
    <w:p w14:paraId="619CCF0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28.</w:t>
      </w:r>
      <w:r>
        <w:rPr>
          <w:rFonts w:hint="default" w:ascii="Times New Roman" w:hAnsi="Times New Roman" w:eastAsia="方正仿宋_GBK" w:cs="Times New Roman"/>
          <w:bCs/>
          <w:color w:val="auto"/>
          <w:sz w:val="32"/>
          <w:szCs w:val="32"/>
          <w:highlight w:val="none"/>
          <w:u w:val="none" w:color="auto"/>
        </w:rPr>
        <w:t>CIM、TIM</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CIM</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城市信息模型，全称City Information Modeling，在建筑信息模型（BIM）基础上，集成地理信息系统（GIS）、物联网（IoT）等数据，构建用于描述、模拟、分析和管理整个城市三维空间与功能信息的数字化模型。TIM</w:t>
      </w:r>
      <w:r>
        <w:rPr>
          <w:rFonts w:hint="default" w:ascii="Times New Roman" w:hAnsi="Times New Roman" w:eastAsia="方正仿宋_GBK" w:cs="Times New Roman"/>
          <w:b w:val="0"/>
          <w:bCs w:val="0"/>
          <w:color w:val="auto"/>
          <w:spacing w:val="0"/>
          <w:kern w:val="0"/>
          <w:sz w:val="32"/>
          <w:szCs w:val="32"/>
          <w:highlight w:val="none"/>
          <w:u w:val="none" w:color="auto"/>
          <w:shd w:val="clear" w:color="auto" w:fill="FFFFFF"/>
          <w:lang w:val="en-US" w:eastAsia="zh-CN"/>
        </w:rPr>
        <w:t>是指</w:t>
      </w:r>
      <w:r>
        <w:rPr>
          <w:rFonts w:hint="default" w:ascii="Times New Roman" w:hAnsi="Times New Roman" w:eastAsia="方正仿宋_GBK" w:cs="Times New Roman"/>
          <w:b w:val="0"/>
          <w:bCs w:val="0"/>
          <w:color w:val="auto"/>
          <w:spacing w:val="0"/>
          <w:sz w:val="32"/>
          <w:szCs w:val="32"/>
          <w:highlight w:val="none"/>
          <w:u w:val="none" w:color="auto"/>
          <w:lang w:val="en-US" w:eastAsia="zh-CN"/>
        </w:rPr>
        <w:t>交通基础设施模型，全称Transportation Infrastructure Modeling，</w:t>
      </w:r>
      <w:r>
        <w:rPr>
          <w:rFonts w:hint="eastAsia" w:ascii="Times New Roman" w:hAnsi="Times New Roman" w:eastAsia="方正仿宋_GBK" w:cs="Times New Roman"/>
          <w:b w:val="0"/>
          <w:bCs w:val="0"/>
          <w:color w:val="auto"/>
          <w:spacing w:val="0"/>
          <w:sz w:val="32"/>
          <w:szCs w:val="32"/>
          <w:highlight w:val="none"/>
          <w:u w:val="none" w:color="auto"/>
          <w:lang w:val="en-US" w:eastAsia="zh-CN"/>
        </w:rPr>
        <w:t>是</w:t>
      </w:r>
      <w:r>
        <w:rPr>
          <w:rFonts w:hint="default" w:ascii="Times New Roman" w:hAnsi="Times New Roman" w:eastAsia="方正仿宋_GBK" w:cs="Times New Roman"/>
          <w:b w:val="0"/>
          <w:bCs w:val="0"/>
          <w:color w:val="auto"/>
          <w:spacing w:val="0"/>
          <w:sz w:val="32"/>
          <w:szCs w:val="32"/>
          <w:highlight w:val="none"/>
          <w:u w:val="none" w:color="auto"/>
          <w:lang w:val="en-US" w:eastAsia="zh-CN"/>
        </w:rPr>
        <w:t>集成道路、桥梁、隧道、轨道等交通基础设施的几何、结构、资产、状态等信息的高精度数字化专业模型。</w:t>
      </w:r>
    </w:p>
    <w:p w14:paraId="480EB5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29.</w:t>
      </w:r>
      <w:r>
        <w:rPr>
          <w:rFonts w:hint="default" w:ascii="Times New Roman" w:hAnsi="Times New Roman" w:eastAsia="方正黑体_GBK" w:cs="Times New Roman"/>
          <w:b w:val="0"/>
          <w:bCs w:val="0"/>
          <w:color w:val="auto"/>
          <w:spacing w:val="0"/>
          <w:sz w:val="32"/>
          <w:szCs w:val="32"/>
          <w:highlight w:val="none"/>
          <w:u w:val="none" w:color="auto"/>
          <w:lang w:val="en-US" w:eastAsia="zh-CN"/>
        </w:rPr>
        <w:t>重点区域大客流智慧导控</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是指聚焦洪崖洞、解放碑等8个重点区域，集成14类应用数据和17个AI智能体，构建的</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全域感知、多跨协同、AI赋能、闭环管控</w:t>
      </w:r>
      <w:r>
        <w:rPr>
          <w:rFonts w:hint="eastAsia" w:ascii="Times New Roman" w:hAnsi="Times New Roman" w:eastAsia="方正仿宋_GBK" w:cs="方正仿宋_GBK"/>
          <w:color w:val="auto"/>
          <w:spacing w:val="0"/>
          <w:sz w:val="32"/>
          <w:szCs w:val="32"/>
          <w:u w:val="none" w:color="auto"/>
          <w:lang w:val="en-US" w:eastAsia="zh-CN"/>
        </w:rPr>
        <w:t>”</w:t>
      </w:r>
      <w:r>
        <w:rPr>
          <w:rFonts w:hint="eastAsia" w:ascii="Times New Roman" w:hAnsi="Times New Roman" w:eastAsia="方正仿宋_GBK" w:cs="Times New Roman"/>
          <w:color w:val="auto"/>
          <w:spacing w:val="0"/>
          <w:sz w:val="32"/>
          <w:szCs w:val="32"/>
          <w:u w:val="none" w:color="auto"/>
          <w:lang w:val="en-US" w:eastAsia="zh-CN"/>
        </w:rPr>
        <w:t>智慧治理体系，推动实</w:t>
      </w:r>
      <w:r>
        <w:rPr>
          <w:rFonts w:hint="eastAsia" w:ascii="Times New Roman" w:hAnsi="Times New Roman" w:eastAsia="方正仿宋_GBK" w:cs="Times New Roman"/>
          <w:color w:val="auto"/>
          <w:spacing w:val="-6"/>
          <w:sz w:val="32"/>
          <w:szCs w:val="32"/>
          <w:u w:val="none" w:color="auto"/>
          <w:lang w:val="en-US" w:eastAsia="zh-CN"/>
        </w:rPr>
        <w:t>现大客流事前精准预判、事中高效处置、事后迭代优化全周期管控。</w:t>
      </w:r>
    </w:p>
    <w:p w14:paraId="022C854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30.</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黑体_GBK" w:cs="Times New Roman"/>
          <w:b w:val="0"/>
          <w:bCs w:val="0"/>
          <w:color w:val="auto"/>
          <w:spacing w:val="0"/>
          <w:sz w:val="32"/>
          <w:szCs w:val="32"/>
          <w:highlight w:val="none"/>
          <w:u w:val="none" w:color="auto"/>
          <w:lang w:val="en-US" w:eastAsia="zh-CN"/>
        </w:rPr>
        <w:t>灵基智城</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是指由市设计院打造的全国首个部件级低成本建筑建模大模型，导入二维图纸</w:t>
      </w:r>
      <w:r>
        <w:rPr>
          <w:rFonts w:hint="eastAsia" w:ascii="Times New Roman" w:hAnsi="Times New Roman" w:eastAsia="方正仿宋_GBK" w:cs="Times New Roman"/>
          <w:b w:val="0"/>
          <w:bCs w:val="0"/>
          <w:color w:val="auto"/>
          <w:spacing w:val="0"/>
          <w:sz w:val="32"/>
          <w:szCs w:val="32"/>
          <w:highlight w:val="none"/>
          <w:u w:val="none" w:color="auto"/>
          <w:lang w:val="en-US" w:eastAsia="zh-CN"/>
        </w:rPr>
        <w:t>即可</w:t>
      </w:r>
      <w:r>
        <w:rPr>
          <w:rFonts w:hint="default" w:ascii="Times New Roman" w:hAnsi="Times New Roman" w:eastAsia="方正仿宋_GBK" w:cs="Times New Roman"/>
          <w:b w:val="0"/>
          <w:bCs w:val="0"/>
          <w:color w:val="auto"/>
          <w:spacing w:val="0"/>
          <w:sz w:val="32"/>
          <w:szCs w:val="32"/>
          <w:highlight w:val="none"/>
          <w:u w:val="none" w:color="auto"/>
          <w:lang w:val="en-US" w:eastAsia="zh-CN"/>
        </w:rPr>
        <w:t>自动生成三维部件级模型，较传统建模方式成本下降超80%、效率提升超1000倍。</w:t>
      </w:r>
    </w:p>
    <w:p w14:paraId="45CBCC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31.</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黑体_GBK" w:cs="Times New Roman"/>
          <w:b w:val="0"/>
          <w:bCs w:val="0"/>
          <w:color w:val="auto"/>
          <w:spacing w:val="0"/>
          <w:sz w:val="32"/>
          <w:szCs w:val="32"/>
          <w:highlight w:val="none"/>
          <w:u w:val="none" w:color="auto"/>
          <w:lang w:val="en-US" w:eastAsia="zh-CN"/>
        </w:rPr>
        <w:t>金睛视觉</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是指由中冶赛迪打造的钢铁行业大模型，融合钢铁行业2000万条标注数据，制造业复杂场景识别准确率达99%，已在国内40家头部钢企落地。</w:t>
      </w:r>
    </w:p>
    <w:p w14:paraId="058C57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32.</w:t>
      </w:r>
      <w:r>
        <w:rPr>
          <w:rStyle w:val="23"/>
          <w:rFonts w:hint="default" w:ascii="Times New Roman" w:hAnsi="Times New Roman" w:eastAsia="方正黑体_GBK" w:cs="Times New Roman"/>
          <w:b w:val="0"/>
          <w:bCs/>
          <w:color w:val="auto"/>
          <w:spacing w:val="0"/>
          <w:sz w:val="32"/>
          <w:szCs w:val="32"/>
          <w:u w:val="none" w:color="auto"/>
          <w:lang w:val="en-US" w:eastAsia="zh-CN"/>
        </w:rPr>
        <w:t>渝味360碗。</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是指重庆美食</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渝味360碗</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源自川渝传统</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九大碗</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宴席文化</w:t>
      </w:r>
      <w:r>
        <w:rPr>
          <w:rFonts w:hint="eastAsia" w:ascii="Times New Roman" w:hAnsi="Times New Roman" w:eastAsia="方正仿宋_GBK" w:cs="Times New Roman"/>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经广泛动员、区县初选、网络评选、市级评选等多环节，市文化旅游委、市商务委从巴渝大地1000余道美食菜品中评选出360道代表性美食，成为新时代重庆美食的一张崭新名片。</w:t>
      </w:r>
    </w:p>
    <w:p w14:paraId="1CDA18B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33.</w:t>
      </w:r>
      <w:r>
        <w:rPr>
          <w:rStyle w:val="23"/>
          <w:rFonts w:hint="default" w:ascii="Times New Roman" w:hAnsi="Times New Roman" w:eastAsia="方正黑体_GBK" w:cs="Times New Roman"/>
          <w:b w:val="0"/>
          <w:bCs/>
          <w:color w:val="auto"/>
          <w:spacing w:val="0"/>
          <w:sz w:val="32"/>
          <w:szCs w:val="32"/>
          <w:u w:val="none" w:color="auto"/>
          <w:lang w:val="en-US" w:eastAsia="zh-CN"/>
        </w:rPr>
        <w:t>票根经济</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是指一种通过将交通、文旅、赛事、演出等票务凭证转化为后续消费场景优惠凭证，实现单一消费向跨领域链式体验转型的经济形态。</w:t>
      </w:r>
    </w:p>
    <w:p w14:paraId="4E07305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kern w:val="2"/>
          <w:sz w:val="32"/>
          <w:szCs w:val="32"/>
          <w:lang w:val="en-US" w:eastAsia="zh-CN" w:bidi="ar-SA"/>
        </w:rPr>
        <w:t>34.</w:t>
      </w:r>
      <w:r>
        <w:rPr>
          <w:rFonts w:hint="eastAsia" w:ascii="Times New Roman" w:hAnsi="Times New Roman" w:eastAsia="方正仿宋_GBK" w:cs="方正仿宋_GBK"/>
          <w:color w:val="auto"/>
          <w:spacing w:val="0"/>
          <w:sz w:val="32"/>
          <w:szCs w:val="32"/>
          <w:highlight w:val="none"/>
          <w:u w:val="none" w:color="auto"/>
          <w:lang w:val="en-US" w:eastAsia="zh-CN"/>
        </w:rPr>
        <w:t>“</w:t>
      </w:r>
      <w:r>
        <w:rPr>
          <w:rFonts w:hint="default" w:ascii="Times New Roman" w:hAnsi="Times New Roman" w:eastAsia="方正黑体_GBK" w:cs="Times New Roman"/>
          <w:color w:val="auto"/>
          <w:spacing w:val="0"/>
          <w:sz w:val="32"/>
          <w:szCs w:val="32"/>
          <w:highlight w:val="none"/>
          <w:u w:val="none" w:color="auto"/>
          <w:lang w:val="en-US" w:eastAsia="zh-CN"/>
        </w:rPr>
        <w:t>5馆+5街区+2空间+2广场+2公园</w:t>
      </w:r>
      <w:r>
        <w:rPr>
          <w:rFonts w:hint="eastAsia" w:ascii="Times New Roman" w:hAnsi="Times New Roman" w:eastAsia="方正仿宋_GBK" w:cs="方正仿宋_GBK"/>
          <w:color w:val="auto"/>
          <w:spacing w:val="0"/>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pacing w:val="0"/>
          <w:sz w:val="32"/>
          <w:szCs w:val="32"/>
          <w:highlight w:val="none"/>
          <w:u w:val="none" w:color="auto"/>
          <w:lang w:val="en-US" w:eastAsia="zh-CN"/>
        </w:rPr>
        <w:t>A、B、C、D、E 5个不同定位场馆，迎宾大道、时代大道、熙攘大道、疏影巷、D8街区5个街区，壹洲美食街区、E馆二次元文化街区2个主题空间，北广场、D8广场2个广场，中央公园、微风公园2个公园。</w:t>
      </w:r>
    </w:p>
    <w:p w14:paraId="1AE15C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35.</w:t>
      </w:r>
      <w:r>
        <w:rPr>
          <w:rFonts w:hint="default" w:ascii="Times New Roman" w:hAnsi="Times New Roman" w:eastAsia="方正黑体_GBK" w:cs="Times New Roman"/>
          <w:color w:val="auto"/>
          <w:sz w:val="32"/>
          <w:szCs w:val="32"/>
          <w:highlight w:val="none"/>
          <w:lang w:val="en-US" w:eastAsia="zh-CN"/>
        </w:rPr>
        <w:t>非标商业</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lang w:val="en-US" w:eastAsia="zh-CN"/>
        </w:rPr>
        <w:t>相对于传统标准化商业（如大型购物中心、百货商场）的一种新型商业形态，通过独特的空间设计、小众的品牌组合、策展式的内容呈现和社群化的运营，打造具有高辨识度、强内容性和目的地属性的商业空间。</w:t>
      </w:r>
    </w:p>
    <w:p w14:paraId="7D84CC59">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lang w:val="en-US" w:eastAsia="zh-CN"/>
        </w:rPr>
      </w:pPr>
      <w:r>
        <w:rPr>
          <w:rFonts w:hint="default" w:ascii="Times New Roman" w:hAnsi="Times New Roman" w:eastAsia="方正仿宋_GBK" w:cs="Times New Roman"/>
          <w:color w:val="auto"/>
          <w:kern w:val="2"/>
          <w:sz w:val="32"/>
          <w:szCs w:val="32"/>
          <w:lang w:val="en-US" w:eastAsia="zh-CN" w:bidi="ar-SA"/>
        </w:rPr>
        <w:t>36.</w:t>
      </w:r>
      <w:r>
        <w:rPr>
          <w:rFonts w:hint="eastAsia" w:ascii="Times New Roman" w:hAnsi="Times New Roman" w:eastAsia="方正仿宋_GBK" w:cs="方正仿宋_GBK"/>
          <w:color w:val="auto"/>
          <w:highlight w:val="none"/>
          <w:lang w:val="en-US" w:eastAsia="zh-CN"/>
        </w:rPr>
        <w:t>“</w:t>
      </w:r>
      <w:r>
        <w:rPr>
          <w:rFonts w:hint="default" w:ascii="Times New Roman" w:hAnsi="Times New Roman" w:eastAsia="方正黑体_GBK" w:cs="Times New Roman"/>
          <w:color w:val="auto"/>
          <w:highlight w:val="none"/>
          <w:lang w:val="en-US" w:eastAsia="zh-CN"/>
        </w:rPr>
        <w:t>三级走访</w:t>
      </w:r>
      <w:r>
        <w:rPr>
          <w:rFonts w:hint="eastAsia" w:ascii="Times New Roman" w:hAnsi="Times New Roman" w:eastAsia="方正仿宋_GBK" w:cs="方正仿宋_GBK"/>
          <w:color w:val="auto"/>
          <w:highlight w:val="none"/>
          <w:lang w:val="en-US" w:eastAsia="zh-CN"/>
        </w:rPr>
        <w:t>”</w:t>
      </w:r>
      <w:r>
        <w:rPr>
          <w:rFonts w:hint="default" w:ascii="Times New Roman" w:hAnsi="Times New Roman" w:eastAsia="方正黑体_GBK" w:cs="Times New Roman"/>
          <w:color w:val="auto"/>
          <w:highlight w:val="none"/>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eastAsia" w:ascii="Times New Roman" w:hAnsi="Times New Roman" w:eastAsia="方正仿宋_GBK" w:cs="方正仿宋_GBK"/>
          <w:color w:val="auto"/>
          <w:lang w:val="en-US" w:eastAsia="zh-CN"/>
        </w:rPr>
        <w:t>“</w:t>
      </w:r>
      <w:r>
        <w:rPr>
          <w:rFonts w:hint="default" w:ascii="Times New Roman" w:hAnsi="Times New Roman" w:eastAsia="方正仿宋_GBK" w:cs="Times New Roman"/>
          <w:color w:val="auto"/>
          <w:lang w:val="en-US" w:eastAsia="zh-CN"/>
        </w:rPr>
        <w:t>区领导+产业部门+管委会（街道）</w:t>
      </w:r>
      <w:r>
        <w:rPr>
          <w:rFonts w:hint="eastAsia" w:ascii="Times New Roman" w:hAnsi="Times New Roman" w:eastAsia="方正仿宋_GBK" w:cs="方正仿宋_GBK"/>
          <w:color w:val="auto"/>
          <w:lang w:val="en-US" w:eastAsia="zh-CN"/>
        </w:rPr>
        <w:t>”</w:t>
      </w:r>
      <w:r>
        <w:rPr>
          <w:rFonts w:hint="default" w:ascii="Times New Roman" w:hAnsi="Times New Roman" w:eastAsia="方正仿宋_GBK" w:cs="Times New Roman"/>
          <w:color w:val="auto"/>
          <w:lang w:val="en-US" w:eastAsia="zh-CN"/>
        </w:rPr>
        <w:t>的分层联动服务企业体系。</w:t>
      </w:r>
    </w:p>
    <w:p w14:paraId="492EA79E">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highlight w:val="none"/>
          <w:lang w:val="en-US" w:eastAsia="zh-CN"/>
        </w:rPr>
      </w:pPr>
      <w:r>
        <w:rPr>
          <w:rFonts w:hint="default" w:ascii="Times New Roman" w:hAnsi="Times New Roman" w:eastAsia="方正仿宋_GBK" w:cs="Times New Roman"/>
          <w:color w:val="auto"/>
          <w:kern w:val="2"/>
          <w:sz w:val="32"/>
          <w:szCs w:val="32"/>
          <w:lang w:val="en-US" w:eastAsia="zh-CN" w:bidi="ar-SA"/>
        </w:rPr>
        <w:t>37.</w:t>
      </w:r>
      <w:r>
        <w:rPr>
          <w:rFonts w:hint="default" w:ascii="Times New Roman" w:hAnsi="Times New Roman" w:eastAsia="方正黑体_GBK" w:cs="Times New Roman"/>
          <w:color w:val="auto"/>
          <w:lang w:val="en-US" w:eastAsia="zh-CN"/>
        </w:rPr>
        <w:t>AIGC</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highlight w:val="none"/>
          <w:lang w:val="en-US" w:eastAsia="zh-CN"/>
        </w:rPr>
        <w:t>人工智能生成内容，</w:t>
      </w:r>
      <w:r>
        <w:rPr>
          <w:rFonts w:hint="default" w:ascii="Times New Roman" w:hAnsi="Times New Roman" w:eastAsia="方正仿宋_GBK" w:cs="Times New Roman"/>
          <w:color w:val="auto"/>
          <w:spacing w:val="0"/>
          <w:sz w:val="32"/>
          <w:szCs w:val="32"/>
          <w:highlight w:val="none"/>
          <w:u w:val="none" w:color="auto"/>
          <w:lang w:val="en-US" w:eastAsia="zh-CN"/>
        </w:rPr>
        <w:t>全称Artificial Intelligence Generated Content。</w:t>
      </w:r>
      <w:r>
        <w:rPr>
          <w:rFonts w:hint="default" w:ascii="Times New Roman" w:hAnsi="Times New Roman" w:eastAsia="方正仿宋_GBK" w:cs="Times New Roman"/>
          <w:color w:val="auto"/>
          <w:highlight w:val="none"/>
          <w:lang w:val="en-US" w:eastAsia="zh-CN"/>
        </w:rPr>
        <w:t>由人工智能系统基于深度学习、大模型等技术，根据人类指令自动生成文本、图像、音频、视频、代码、3D模型等各类内容的技术与生产方式。</w:t>
      </w:r>
    </w:p>
    <w:p w14:paraId="24072C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38.</w:t>
      </w:r>
      <w:r>
        <w:rPr>
          <w:rFonts w:hint="default" w:ascii="Times New Roman" w:hAnsi="Times New Roman" w:eastAsia="方正黑体_GBK" w:cs="Times New Roman"/>
          <w:color w:val="auto"/>
          <w:sz w:val="32"/>
          <w:szCs w:val="32"/>
          <w:lang w:val="en-US" w:eastAsia="zh-CN"/>
        </w:rPr>
        <w:t>Z世代。</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lang w:val="en-US" w:eastAsia="zh-CN"/>
        </w:rPr>
        <w:t>出生于</w:t>
      </w:r>
      <w:r>
        <w:rPr>
          <w:rFonts w:hint="eastAsia" w:ascii="Times New Roman" w:hAnsi="Times New Roman" w:eastAsia="方正仿宋_GBK" w:cs="Times New Roman"/>
          <w:color w:val="auto"/>
          <w:sz w:val="32"/>
          <w:szCs w:val="32"/>
          <w:lang w:val="en-US" w:eastAsia="zh-CN"/>
        </w:rPr>
        <w:t>1995年至2009年之间，</w:t>
      </w:r>
      <w:r>
        <w:rPr>
          <w:rFonts w:hint="default" w:ascii="Times New Roman" w:hAnsi="Times New Roman" w:eastAsia="方正仿宋_GBK" w:cs="Times New Roman"/>
          <w:color w:val="auto"/>
          <w:sz w:val="32"/>
          <w:szCs w:val="32"/>
          <w:lang w:val="en-US" w:eastAsia="zh-CN"/>
        </w:rPr>
        <w:t>在互联网、移动通信和数字技术高度普及与成熟的环境中出生和成长起来的一代。</w:t>
      </w:r>
    </w:p>
    <w:p w14:paraId="514B6A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39.</w:t>
      </w:r>
      <w:r>
        <w:rPr>
          <w:rFonts w:hint="default" w:ascii="Times New Roman" w:hAnsi="Times New Roman" w:eastAsia="方正黑体_GBK" w:cs="Times New Roman"/>
          <w:color w:val="auto"/>
          <w:sz w:val="32"/>
          <w:szCs w:val="32"/>
          <w:lang w:val="en-US" w:eastAsia="zh-CN"/>
        </w:rPr>
        <w:t>α世代。</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lang w:val="en-US" w:eastAsia="zh-CN"/>
        </w:rPr>
        <w:t>出生于2010年之后的青少年儿童群体。</w:t>
      </w:r>
    </w:p>
    <w:p w14:paraId="1B7D4DD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40.</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认股权+</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业务模式</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是指是一种介于债权与股权之间的金融创新工具，通常被称为投贷联动模式，旨在通过股债结合的方式为科技型中小企业提供融资支持。</w:t>
      </w:r>
    </w:p>
    <w:p w14:paraId="531B7C2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41.</w:t>
      </w:r>
      <w:r>
        <w:rPr>
          <w:rFonts w:hint="default" w:ascii="Times New Roman" w:hAnsi="Times New Roman" w:eastAsia="方正黑体_GBK" w:cs="Times New Roman"/>
          <w:b w:val="0"/>
          <w:bCs w:val="0"/>
          <w:color w:val="auto"/>
          <w:spacing w:val="0"/>
          <w:sz w:val="32"/>
          <w:szCs w:val="32"/>
          <w:highlight w:val="none"/>
          <w:u w:val="none" w:color="auto"/>
          <w:lang w:val="en-US" w:eastAsia="zh-CN"/>
        </w:rPr>
        <w:t>可信数据空间</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是指打破数据孤岛、实现数据规模化流通共享应用的平台，是映射现实空间的</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数字孪生体</w:t>
      </w:r>
      <w:r>
        <w:rPr>
          <w:rFonts w:hint="eastAsia" w:ascii="Times New Roman" w:hAnsi="Times New Roman" w:eastAsia="方正仿宋_GBK" w:cs="方正仿宋_GBK"/>
          <w:b w:val="0"/>
          <w:bCs w:val="0"/>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w:t>
      </w:r>
    </w:p>
    <w:p w14:paraId="335BE7C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u w:val="none" w:color="auto"/>
          <w:lang w:val="en-US" w:eastAsia="zh-CN"/>
        </w:rPr>
      </w:pPr>
      <w:r>
        <w:rPr>
          <w:rFonts w:hint="default" w:ascii="Times New Roman" w:hAnsi="Times New Roman" w:eastAsia="方正仿宋_GBK" w:cs="Times New Roman"/>
          <w:color w:val="auto"/>
          <w:spacing w:val="0"/>
          <w:kern w:val="2"/>
          <w:sz w:val="32"/>
          <w:szCs w:val="32"/>
          <w:u w:color="auto"/>
          <w:lang w:val="en-US" w:eastAsia="zh-CN" w:bidi="ar-SA"/>
        </w:rPr>
        <w:t>42.</w:t>
      </w:r>
      <w:r>
        <w:rPr>
          <w:rFonts w:hint="default" w:ascii="Times New Roman" w:hAnsi="Times New Roman" w:eastAsia="方正仿宋_GBK" w:cs="Times New Roman"/>
          <w:color w:val="auto"/>
          <w:spacing w:val="0"/>
          <w:sz w:val="32"/>
          <w:szCs w:val="32"/>
          <w:highlight w:val="none"/>
          <w:u w:val="none" w:color="auto"/>
          <w:lang w:val="en-US" w:eastAsia="zh-CN"/>
        </w:rPr>
        <w:t>OPC</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pacing w:val="0"/>
          <w:sz w:val="32"/>
          <w:szCs w:val="32"/>
          <w:highlight w:val="none"/>
          <w:u w:val="none" w:color="auto"/>
          <w:lang w:val="en-US" w:eastAsia="zh-CN"/>
        </w:rPr>
        <w:t>一人公司，全称One Person Company。即在人工智能协同支持下，由个人独立完成产品设计研发至市场投放全链路闭环的新型创业形态。</w:t>
      </w:r>
    </w:p>
    <w:p w14:paraId="69061E3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43.</w:t>
      </w:r>
      <w:r>
        <w:rPr>
          <w:rFonts w:hint="default" w:ascii="Times New Roman" w:hAnsi="Times New Roman" w:eastAsia="方正仿宋_GBK" w:cs="Times New Roman"/>
          <w:color w:val="auto"/>
          <w:sz w:val="32"/>
          <w:szCs w:val="32"/>
          <w:lang w:val="en-US" w:eastAsia="zh-CN"/>
        </w:rPr>
        <w:t>F+EPC+O</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lang w:val="en-US" w:eastAsia="zh-CN"/>
        </w:rPr>
        <w:t>是指集融资（Financing）、工程总承包（Engineering Procurement Construction）和运营（Operation）于一体的项目全生命周期模式。</w:t>
      </w:r>
    </w:p>
    <w:p w14:paraId="0F9EF2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44.</w:t>
      </w:r>
      <w:r>
        <w:rPr>
          <w:rFonts w:hint="default" w:ascii="Times New Roman" w:hAnsi="Times New Roman" w:eastAsia="方正黑体_GBK" w:cs="Times New Roman"/>
          <w:color w:val="auto"/>
          <w:sz w:val="32"/>
          <w:szCs w:val="32"/>
          <w:highlight w:val="none"/>
          <w:u w:val="none" w:color="auto"/>
          <w:lang w:val="en-US" w:eastAsia="zh-CN"/>
        </w:rPr>
        <w:t>RCEP</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区域全面经济伙伴关系协定，全称Regional Comprehensive Economic Partnership。2020年11月，由东盟10国（印度尼西亚、马来西亚、菲律宾、泰国、新加坡、文莱、柬埔寨、老挝、缅甸、越南）与中国、日本、韩国、澳大利亚、新西兰共15国正式签署《区域全面经济伙伴关系协定》。</w:t>
      </w:r>
    </w:p>
    <w:p w14:paraId="1AC4512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45.</w:t>
      </w:r>
      <w:r>
        <w:rPr>
          <w:rFonts w:hint="default" w:ascii="Times New Roman" w:hAnsi="Times New Roman" w:eastAsia="方正黑体_GBK" w:cs="Times New Roman"/>
          <w:color w:val="auto"/>
          <w:sz w:val="32"/>
          <w:szCs w:val="32"/>
          <w:highlight w:val="none"/>
          <w:u w:val="none" w:color="auto"/>
          <w:lang w:val="en-US" w:eastAsia="zh-CN"/>
        </w:rPr>
        <w:t>离岸贸易</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一家企业在未将货物实际进口到本国的情况下，完成从境外供应商采购、再销售给境外其他买家的全流程交易，是一种核心为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订单流、资金流、货物流三流分离</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的高阶国际贸易形式。</w:t>
      </w:r>
    </w:p>
    <w:p w14:paraId="7FD1CE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46.</w:t>
      </w:r>
      <w:r>
        <w:rPr>
          <w:rFonts w:hint="default" w:ascii="Times New Roman" w:hAnsi="Times New Roman" w:eastAsia="方正黑体_GBK" w:cs="Times New Roman"/>
          <w:color w:val="auto"/>
          <w:sz w:val="32"/>
          <w:szCs w:val="32"/>
          <w:highlight w:val="none"/>
          <w:u w:val="none" w:color="auto"/>
          <w:lang w:val="en-US" w:eastAsia="zh-CN"/>
        </w:rPr>
        <w:t>绿色贸易。</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将环境与可持续发展理念全面融入贸易活动，通过减少贸易对环境的负面影响来促进经济、社会与生态协调发展的新型贸易形式。</w:t>
      </w:r>
    </w:p>
    <w:p w14:paraId="7C1FDA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47.</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一核两翼三带五片区</w:t>
      </w:r>
      <w:r>
        <w:rPr>
          <w:rFonts w:hint="eastAsia" w:ascii="Times New Roman" w:hAnsi="Times New Roman" w:eastAsia="方正仿宋_GBK" w:cs="方正仿宋_GBK"/>
          <w:color w:val="auto"/>
          <w:sz w:val="32"/>
          <w:szCs w:val="32"/>
          <w:highlight w:val="none"/>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是指以解放碑中央商务区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一核</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引领示范，以重庆站滨江新城、化龙桥国际商务区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两翼</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协同带动，以两江滨江亲水休闲观光带、历史人文风貌带、大鹅岭山脊生态景观带</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三带</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涵养品质，以重庆政务功能核心区、西南大区文体科创走廊、大坪潮流商圈、数字经济产业园、环重医大健康产业园</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五片区</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支撑发展，构建布局合理、疏密有度、人口经济资源环境相互协调的城市发展新格局。</w:t>
      </w:r>
    </w:p>
    <w:p w14:paraId="5154945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auto"/>
          <w:spacing w:val="0"/>
          <w:sz w:val="32"/>
          <w:szCs w:val="32"/>
          <w:highlight w:val="none"/>
          <w:u w:val="none" w:color="auto"/>
          <w:lang w:val="en-US" w:eastAsia="zh-CN"/>
        </w:rPr>
      </w:pPr>
      <w:r>
        <w:rPr>
          <w:rFonts w:hint="default" w:ascii="Times New Roman" w:hAnsi="Times New Roman" w:eastAsia="方正仿宋_GBK" w:cs="Times New Roman"/>
          <w:b w:val="0"/>
          <w:bCs w:val="0"/>
          <w:color w:val="auto"/>
          <w:spacing w:val="0"/>
          <w:kern w:val="2"/>
          <w:sz w:val="32"/>
          <w:szCs w:val="32"/>
          <w:u w:color="auto"/>
          <w:lang w:val="en-US" w:eastAsia="zh-CN" w:bidi="ar-SA"/>
        </w:rPr>
        <w:t>48.</w:t>
      </w:r>
      <w:r>
        <w:rPr>
          <w:rStyle w:val="23"/>
          <w:rFonts w:hint="default" w:ascii="Times New Roman" w:hAnsi="Times New Roman" w:eastAsia="方正黑体_GBK" w:cs="Times New Roman"/>
          <w:b w:val="0"/>
          <w:bCs/>
          <w:color w:val="auto"/>
          <w:spacing w:val="0"/>
          <w:sz w:val="32"/>
          <w:szCs w:val="32"/>
          <w:u w:val="none" w:color="auto"/>
          <w:lang w:val="en-US" w:eastAsia="zh-CN"/>
        </w:rPr>
        <w:t>城市治理进社区</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是指将城市治理的重心和资源向基层社区下沉，通过政府主导、社会协同、居民参与的方式，将城市管理、公共服务、矛盾化解等工作延伸至社区单元，实现城市治理精细化、人性化和高效化。</w:t>
      </w:r>
    </w:p>
    <w:p w14:paraId="7ABA58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49.</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远航计划</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围绕金融、商贸、文旅、健康、科创、专业服务等主导产业和未来产业方向，引进和扶持一批能引领产业发展、带来重大经济效益或社会效益的顶尖人才和团队。</w:t>
      </w:r>
    </w:p>
    <w:p w14:paraId="58B94D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50.</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五育润心</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工程。</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教育领域提出的一项核心育人理念和行动计划，通过</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五育</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（德育、智育、体育、美育、劳育）的有机融合与渗透，达到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滋润心灵、涵养品行、促进成长</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的根本目的。</w:t>
      </w:r>
    </w:p>
    <w:p w14:paraId="58FDE7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51.</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三岩思政</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品牌</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通过整合</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红岩、曾家岩、虎头岩</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三大核心红色资源而系统构建的区域性、一体化思想政治教育品牌与育人实践体系。</w:t>
      </w:r>
    </w:p>
    <w:p w14:paraId="7D58EA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52.</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五名工程</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为培养造就一支高素质、专业化、创新型的新时代教育人才队伍，通过系统培养、严格遴选、示范引领等途径，重点建设</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名师、名班主任、名教研员、名校长、名书记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五类关键教育人才队伍的工作体系。</w:t>
      </w:r>
    </w:p>
    <w:p w14:paraId="6FA673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53.</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一街一路一商圈</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解放碑步行街、中山四路、龙湖时代天街商圈。</w:t>
      </w:r>
    </w:p>
    <w:p w14:paraId="4D5F32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54.</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三医协同</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六医统筹</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医疗、医保、医药三大体系协同改革，进一步系统整合医疗、医保、医药、医院、医生、中医六大要素。</w:t>
      </w:r>
    </w:p>
    <w:p w14:paraId="79AFE85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55.</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11311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黑体_GBK" w:cs="Times New Roman"/>
          <w:color w:val="auto"/>
          <w:sz w:val="32"/>
          <w:szCs w:val="32"/>
          <w:highlight w:val="none"/>
          <w:u w:val="none" w:color="auto"/>
          <w:lang w:val="en-US" w:eastAsia="zh-CN"/>
        </w:rPr>
        <w:t>区域健康共同体</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第一个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是指健共体的区级牵头医院市中医骨科医院；第二个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是指区级疾病防控机构区疾控中心；</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3</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是指3个区级专业医疗卫生机构区精神卫生中心、重庆牙科医院、区妇幼保健计划生育服务中心；</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11</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是指11家社区卫生服务中心。</w:t>
      </w:r>
    </w:p>
    <w:p w14:paraId="4567B1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56.</w:t>
      </w:r>
      <w:r>
        <w:rPr>
          <w:rStyle w:val="23"/>
          <w:rFonts w:hint="default" w:ascii="Times New Roman" w:hAnsi="Times New Roman" w:eastAsia="方正黑体_GBK" w:cs="Times New Roman"/>
          <w:b w:val="0"/>
          <w:bCs/>
          <w:color w:val="auto"/>
          <w:spacing w:val="0"/>
          <w:sz w:val="32"/>
          <w:szCs w:val="32"/>
          <w:u w:val="none" w:color="auto"/>
          <w:lang w:val="en-US" w:eastAsia="zh-CN"/>
        </w:rPr>
        <w:t>ESG综合服务</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围绕环境</w:t>
      </w:r>
      <w:r>
        <w:rPr>
          <w:rFonts w:hint="eastAsia" w:ascii="Times New Roman" w:hAnsi="Times New Roman" w:eastAsia="方正仿宋_GBK" w:cs="Times New Roman"/>
          <w:color w:val="auto"/>
          <w:sz w:val="32"/>
          <w:szCs w:val="32"/>
          <w:highlight w:val="none"/>
          <w:u w:val="none" w:color="auto"/>
          <w:lang w:val="en-US" w:eastAsia="zh-CN"/>
        </w:rPr>
        <w:t>（Environmental）</w:t>
      </w:r>
      <w:r>
        <w:rPr>
          <w:rFonts w:hint="default" w:ascii="Times New Roman" w:hAnsi="Times New Roman" w:eastAsia="方正仿宋_GBK" w:cs="Times New Roman"/>
          <w:color w:val="auto"/>
          <w:sz w:val="32"/>
          <w:szCs w:val="32"/>
          <w:highlight w:val="none"/>
          <w:u w:val="none" w:color="auto"/>
          <w:lang w:val="en-US" w:eastAsia="zh-CN"/>
        </w:rPr>
        <w:t>、社会</w:t>
      </w:r>
      <w:r>
        <w:rPr>
          <w:rFonts w:hint="eastAsia" w:ascii="Times New Roman" w:hAnsi="Times New Roman" w:eastAsia="方正仿宋_GBK" w:cs="Times New Roman"/>
          <w:color w:val="auto"/>
          <w:sz w:val="32"/>
          <w:szCs w:val="32"/>
          <w:highlight w:val="none"/>
          <w:u w:val="none" w:color="auto"/>
          <w:lang w:val="en-US" w:eastAsia="zh-CN"/>
        </w:rPr>
        <w:t>（Social）</w:t>
      </w:r>
      <w:r>
        <w:rPr>
          <w:rFonts w:hint="default" w:ascii="Times New Roman" w:hAnsi="Times New Roman" w:eastAsia="方正仿宋_GBK" w:cs="Times New Roman"/>
          <w:color w:val="auto"/>
          <w:sz w:val="32"/>
          <w:szCs w:val="32"/>
          <w:highlight w:val="none"/>
          <w:u w:val="none" w:color="auto"/>
          <w:lang w:val="en-US" w:eastAsia="zh-CN"/>
        </w:rPr>
        <w:t>和治理</w:t>
      </w:r>
      <w:r>
        <w:rPr>
          <w:rFonts w:hint="eastAsia" w:ascii="Times New Roman" w:hAnsi="Times New Roman" w:eastAsia="方正仿宋_GBK" w:cs="Times New Roman"/>
          <w:color w:val="auto"/>
          <w:sz w:val="32"/>
          <w:szCs w:val="32"/>
          <w:highlight w:val="none"/>
          <w:u w:val="none" w:color="auto"/>
          <w:lang w:val="en-US" w:eastAsia="zh-CN"/>
        </w:rPr>
        <w:t>（Governance）</w:t>
      </w:r>
      <w:r>
        <w:rPr>
          <w:rFonts w:hint="default" w:ascii="Times New Roman" w:hAnsi="Times New Roman" w:eastAsia="方正仿宋_GBK" w:cs="Times New Roman"/>
          <w:color w:val="auto"/>
          <w:sz w:val="32"/>
          <w:szCs w:val="32"/>
          <w:highlight w:val="none"/>
          <w:u w:val="none" w:color="auto"/>
          <w:lang w:val="en-US" w:eastAsia="zh-CN"/>
        </w:rPr>
        <w:t>理念提供的集成化支持体系，帮助企业、投资者等利益相关方系统性地管理可持续发展绩效</w:t>
      </w:r>
      <w:r>
        <w:rPr>
          <w:rFonts w:hint="eastAsia" w:ascii="Times New Roman" w:hAnsi="Times New Roman" w:eastAsia="方正仿宋_GBK" w:cs="Times New Roman"/>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涵盖咨询、评级、披露框架、数据管理及合规支持等多个环节，</w:t>
      </w:r>
      <w:r>
        <w:rPr>
          <w:rFonts w:hint="eastAsia" w:ascii="Times New Roman" w:hAnsi="Times New Roman" w:eastAsia="方正仿宋_GBK" w:cs="Times New Roman"/>
          <w:color w:val="auto"/>
          <w:sz w:val="32"/>
          <w:szCs w:val="32"/>
          <w:highlight w:val="none"/>
          <w:u w:val="none" w:color="auto"/>
          <w:lang w:val="en-US" w:eastAsia="zh-CN"/>
        </w:rPr>
        <w:t>可</w:t>
      </w:r>
      <w:r>
        <w:rPr>
          <w:rFonts w:hint="default" w:ascii="Times New Roman" w:hAnsi="Times New Roman" w:eastAsia="方正仿宋_GBK" w:cs="Times New Roman"/>
          <w:color w:val="auto"/>
          <w:sz w:val="32"/>
          <w:szCs w:val="32"/>
          <w:highlight w:val="none"/>
          <w:u w:val="none" w:color="auto"/>
          <w:lang w:val="en-US" w:eastAsia="zh-CN"/>
        </w:rPr>
        <w:t>提升企业可持续竞争力，并满足监管要求与市场期望。</w:t>
      </w:r>
    </w:p>
    <w:p w14:paraId="4BE605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57.</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光储直柔</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技术</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b w:val="0"/>
          <w:bCs w:val="0"/>
          <w:color w:val="auto"/>
          <w:spacing w:val="0"/>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在建筑领域应用太阳能光伏（Photovoltaic）、储能（Energy storage）、直流配电（Direct current）和柔性交互（Flexibility）四项技术的简称。是发展零碳能源的重要支柱，通过直接消纳风电、光电等可再生能源，使建筑用电由刚性负载转变为柔性负载，其中</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柔</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是最终目的，而</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光</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储</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直</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是实现</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柔</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的必要条件。</w:t>
      </w:r>
    </w:p>
    <w:p w14:paraId="23C40B6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58.</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碳惠通</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温室气体自愿减排机制</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以</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碳惠通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为品牌，涵盖</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碳履约、碳中和、碳普惠</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的温室气体自愿减排转换路径，主要包括管理系统、交易系统、</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碳惠通</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平台三个子系统。</w:t>
      </w:r>
    </w:p>
    <w:p w14:paraId="5A6E8B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59.</w:t>
      </w:r>
      <w:r>
        <w:rPr>
          <w:rStyle w:val="23"/>
          <w:rFonts w:hint="default" w:ascii="Times New Roman" w:hAnsi="Times New Roman" w:eastAsia="方正黑体_GBK" w:cs="Times New Roman"/>
          <w:b w:val="0"/>
          <w:bCs/>
          <w:color w:val="auto"/>
          <w:spacing w:val="0"/>
          <w:sz w:val="32"/>
          <w:szCs w:val="32"/>
          <w:u w:val="none" w:color="auto"/>
          <w:lang w:val="en-US" w:eastAsia="zh-CN"/>
        </w:rPr>
        <w:t>全域</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无废城市</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以创新、协调、绿色、开放、共享的新发展理念为引领，通过推动形成绿色发展方式和生活方式，持续推进固体废物源头减量和资源化利用，最大限度减少填埋量，将固体废物环境影响降至最低的城市发展模式。</w:t>
      </w:r>
    </w:p>
    <w:p w14:paraId="67869B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60.</w:t>
      </w:r>
      <w:r>
        <w:rPr>
          <w:rFonts w:hint="eastAsia" w:ascii="Times New Roman" w:hAnsi="Times New Roman" w:eastAsia="方正仿宋_GBK" w:cs="方正仿宋_GBK"/>
          <w:b w:val="0"/>
          <w:bCs w:val="0"/>
          <w:color w:val="auto"/>
          <w:sz w:val="32"/>
          <w:szCs w:val="32"/>
          <w:highlight w:val="none"/>
          <w:u w:val="none" w:color="auto"/>
          <w:lang w:eastAsia="zh-CN"/>
        </w:rPr>
        <w:t>“</w:t>
      </w:r>
      <w:r>
        <w:rPr>
          <w:rFonts w:hint="default" w:ascii="Times New Roman" w:hAnsi="Times New Roman" w:eastAsia="方正黑体_GBK" w:cs="Times New Roman"/>
          <w:b w:val="0"/>
          <w:bCs w:val="0"/>
          <w:color w:val="auto"/>
          <w:sz w:val="32"/>
          <w:szCs w:val="32"/>
          <w:highlight w:val="none"/>
          <w:u w:val="none" w:color="auto"/>
        </w:rPr>
        <w:t>生态质量指数</w:t>
      </w:r>
      <w:r>
        <w:rPr>
          <w:rFonts w:hint="eastAsia" w:ascii="Times New Roman" w:hAnsi="Times New Roman" w:eastAsia="方正仿宋_GBK" w:cs="方正仿宋_GBK"/>
          <w:b w:val="0"/>
          <w:bCs w:val="0"/>
          <w:color w:val="auto"/>
          <w:sz w:val="32"/>
          <w:szCs w:val="32"/>
          <w:highlight w:val="none"/>
          <w:u w:val="none" w:color="auto"/>
          <w:lang w:eastAsia="zh-CN"/>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rPr>
        <w:t>区域生态质量综合评价指标，对区域生态格局、生态功能、生物多样性、生态胁迫四方面情况的整体反映。</w:t>
      </w:r>
    </w:p>
    <w:p w14:paraId="5B5243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61.</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建筑光伏一体化</w:t>
      </w:r>
      <w:r>
        <w:rPr>
          <w:rFonts w:hint="eastAsia" w:ascii="Times New Roman" w:hAnsi="Times New Roman" w:eastAsia="方正仿宋_GBK" w:cs="方正仿宋_GBK"/>
          <w:color w:val="auto"/>
          <w:sz w:val="32"/>
          <w:szCs w:val="32"/>
          <w:highlight w:val="none"/>
          <w:u w:val="none" w:color="auto"/>
          <w:lang w:eastAsia="zh-CN"/>
        </w:rPr>
        <w:t>”</w:t>
      </w:r>
      <w:r>
        <w:rPr>
          <w:rFonts w:hint="default" w:ascii="Times New Roman" w:hAnsi="Times New Roman" w:eastAsia="方正黑体_GBK" w:cs="Times New Roman"/>
          <w:color w:val="auto"/>
          <w:sz w:val="32"/>
          <w:szCs w:val="32"/>
          <w:highlight w:val="none"/>
          <w:u w:val="none" w:color="auto"/>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rPr>
        <w:t>一种将太阳能发电</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光伏</w:t>
      </w:r>
      <w:r>
        <w:rPr>
          <w:rFonts w:hint="default" w:ascii="Times New Roman" w:hAnsi="Times New Roman" w:eastAsia="方正仿宋_GBK" w:cs="Times New Roman"/>
          <w:color w:val="auto"/>
          <w:sz w:val="32"/>
          <w:szCs w:val="32"/>
          <w:highlight w:val="none"/>
          <w:u w:val="none" w:color="auto"/>
          <w:lang w:eastAsia="zh-CN"/>
        </w:rPr>
        <w:t>）</w:t>
      </w:r>
      <w:r>
        <w:rPr>
          <w:rFonts w:hint="default" w:ascii="Times New Roman" w:hAnsi="Times New Roman" w:eastAsia="方正仿宋_GBK" w:cs="Times New Roman"/>
          <w:color w:val="auto"/>
          <w:sz w:val="32"/>
          <w:szCs w:val="32"/>
          <w:highlight w:val="none"/>
          <w:u w:val="none" w:color="auto"/>
        </w:rPr>
        <w:t>产品集成到建筑上的技术，分为光伏方阵与建筑的结合、光伏方阵与建筑的集成两大类</w:t>
      </w:r>
      <w:r>
        <w:rPr>
          <w:rFonts w:hint="default" w:ascii="Times New Roman" w:hAnsi="Times New Roman" w:eastAsia="方正仿宋_GBK" w:cs="Times New Roman"/>
          <w:color w:val="auto"/>
          <w:sz w:val="32"/>
          <w:szCs w:val="32"/>
          <w:highlight w:val="none"/>
          <w:u w:val="none" w:color="auto"/>
          <w:lang w:eastAsia="zh-CN"/>
        </w:rPr>
        <w:t>。</w:t>
      </w:r>
    </w:p>
    <w:p w14:paraId="75EB2F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62.</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Fonts w:hint="default" w:ascii="Times New Roman" w:hAnsi="Times New Roman" w:eastAsia="方正黑体_GBK" w:cs="Times New Roman"/>
          <w:color w:val="auto"/>
          <w:kern w:val="2"/>
          <w:sz w:val="32"/>
          <w:szCs w:val="32"/>
          <w:highlight w:val="none"/>
          <w:u w:val="none" w:color="auto"/>
          <w:lang w:val="en-US" w:eastAsia="zh-CN" w:bidi="ar-SA"/>
        </w:rPr>
        <w:t>一廊、两江、多节点、多脉络</w:t>
      </w:r>
      <w:r>
        <w:rPr>
          <w:rFonts w:hint="eastAsia" w:ascii="Times New Roman" w:hAnsi="Times New Roman" w:eastAsia="方正仿宋_GBK" w:cs="方正仿宋_GBK"/>
          <w:color w:val="auto"/>
          <w:kern w:val="2"/>
          <w:sz w:val="32"/>
          <w:szCs w:val="32"/>
          <w:highlight w:val="none"/>
          <w:u w:val="none" w:color="auto"/>
          <w:lang w:val="en-US" w:eastAsia="zh-CN" w:bidi="ar-SA"/>
        </w:rPr>
        <w:t>”</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一廊</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是指由</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枇杷山—鹅岭—红岩村</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中部山脊线构成的生态廊道。</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两江</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是指由长江、嘉陵江水域等构成的两江生态岸线。</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多节点</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是指由人民公园、文化宫等各类公园绿地、公共广场构成的生态节点。</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多脉络</w:t>
      </w:r>
      <w:r>
        <w:rPr>
          <w:rFonts w:hint="eastAsia" w:ascii="Times New Roman" w:hAnsi="Times New Roman" w:eastAsia="方正仿宋_GBK" w:cs="方正仿宋_GBK"/>
          <w:color w:val="auto"/>
          <w:spacing w:val="0"/>
          <w:sz w:val="32"/>
          <w:szCs w:val="32"/>
          <w:u w:val="none" w:color="auto"/>
          <w:lang w:val="en-US" w:eastAsia="zh-CN"/>
        </w:rPr>
        <w:t>”</w:t>
      </w:r>
      <w:r>
        <w:rPr>
          <w:rFonts w:hint="default" w:ascii="Times New Roman" w:hAnsi="Times New Roman" w:eastAsia="方正仿宋_GBK" w:cs="Times New Roman"/>
          <w:color w:val="auto"/>
          <w:spacing w:val="0"/>
          <w:sz w:val="32"/>
          <w:szCs w:val="32"/>
          <w:u w:val="none" w:color="auto"/>
          <w:lang w:val="en-US" w:eastAsia="zh-CN"/>
        </w:rPr>
        <w:t>是指由滨江绿道、环山绿道、山水连通绿道、城市绿道等构成的生态脉络。</w:t>
      </w:r>
    </w:p>
    <w:p w14:paraId="45AF74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63.</w:t>
      </w:r>
      <w:r>
        <w:rPr>
          <w:rStyle w:val="23"/>
          <w:rFonts w:hint="default" w:ascii="Times New Roman" w:hAnsi="Times New Roman" w:eastAsia="方正黑体_GBK" w:cs="Times New Roman"/>
          <w:b w:val="0"/>
          <w:bCs/>
          <w:color w:val="auto"/>
          <w:spacing w:val="0"/>
          <w:sz w:val="32"/>
          <w:szCs w:val="32"/>
          <w:u w:val="none" w:color="auto"/>
          <w:lang w:val="en-US" w:eastAsia="zh-CN"/>
        </w:rPr>
        <w:t>意识形态</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三全协同</w:t>
      </w:r>
      <w:r>
        <w:rPr>
          <w:rStyle w:val="23"/>
          <w:rFonts w:hint="eastAsia" w:ascii="Times New Roman" w:hAnsi="Times New Roman" w:eastAsia="方正仿宋_GBK" w:cs="方正仿宋_GBK"/>
          <w:b w:val="0"/>
          <w:bCs/>
          <w:color w:val="auto"/>
          <w:spacing w:val="0"/>
          <w:sz w:val="32"/>
          <w:szCs w:val="32"/>
          <w:u w:val="none" w:color="auto"/>
          <w:lang w:val="en-US" w:eastAsia="zh-CN"/>
        </w:rPr>
        <w:t>”</w:t>
      </w:r>
      <w:r>
        <w:rPr>
          <w:rStyle w:val="23"/>
          <w:rFonts w:hint="default" w:ascii="Times New Roman" w:hAnsi="Times New Roman" w:eastAsia="方正黑体_GBK" w:cs="Times New Roman"/>
          <w:b w:val="0"/>
          <w:bCs/>
          <w:color w:val="auto"/>
          <w:spacing w:val="0"/>
          <w:sz w:val="32"/>
          <w:szCs w:val="32"/>
          <w:u w:val="none" w:color="auto"/>
          <w:lang w:val="en-US" w:eastAsia="zh-CN"/>
        </w:rPr>
        <w:t>体系。</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意识形态风险全过程协同管理体系、意识形态阵地全领域协同管理体系、意识形态责任全链条协同管理体系。</w:t>
      </w:r>
    </w:p>
    <w:p w14:paraId="5C3E84CC">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64.</w:t>
      </w:r>
      <w:r>
        <w:rPr>
          <w:rStyle w:val="23"/>
          <w:rFonts w:hint="eastAsia" w:ascii="Times New Roman" w:hAnsi="Times New Roman" w:eastAsia="方正仿宋_GBK" w:cs="方正仿宋_GBK"/>
          <w:b w:val="0"/>
          <w:bCs w:val="0"/>
          <w:color w:val="auto"/>
          <w:u w:val="none" w:color="auto"/>
          <w:lang w:val="en-US" w:eastAsia="zh-CN"/>
        </w:rPr>
        <w:t>“</w:t>
      </w:r>
      <w:r>
        <w:rPr>
          <w:rStyle w:val="23"/>
          <w:rFonts w:hint="default" w:ascii="Times New Roman" w:hAnsi="Times New Roman" w:eastAsia="方正黑体_GBK" w:cs="Times New Roman"/>
          <w:b w:val="0"/>
          <w:bCs w:val="0"/>
          <w:color w:val="auto"/>
          <w:u w:val="none" w:color="auto"/>
          <w:lang w:val="en-US" w:eastAsia="zh-CN"/>
        </w:rPr>
        <w:t>四个最严</w:t>
      </w:r>
      <w:r>
        <w:rPr>
          <w:rStyle w:val="23"/>
          <w:rFonts w:hint="eastAsia" w:ascii="Times New Roman" w:hAnsi="Times New Roman" w:eastAsia="方正仿宋_GBK" w:cs="方正仿宋_GBK"/>
          <w:b w:val="0"/>
          <w:bCs w:val="0"/>
          <w:color w:val="auto"/>
          <w:u w:val="none" w:color="auto"/>
          <w:lang w:val="en-US" w:eastAsia="zh-CN"/>
        </w:rPr>
        <w:t>”</w:t>
      </w:r>
      <w:r>
        <w:rPr>
          <w:rStyle w:val="23"/>
          <w:rFonts w:hint="default" w:ascii="Times New Roman" w:hAnsi="Times New Roman" w:eastAsia="方正黑体_GBK" w:cs="Times New Roman"/>
          <w:b w:val="0"/>
          <w:bCs w:val="0"/>
          <w:color w:val="auto"/>
          <w:u w:val="none" w:color="auto"/>
          <w:lang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highlight w:val="none"/>
          <w:u w:val="none" w:color="auto"/>
          <w:lang w:val="en-US" w:eastAsia="zh-CN"/>
        </w:rPr>
        <w:t>最严谨的标准、最严格的监管、最严厉的处罚、最严肃的问责。</w:t>
      </w:r>
    </w:p>
    <w:p w14:paraId="629349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color="auto"/>
          <w:lang w:val="en-US" w:eastAsia="zh-CN"/>
        </w:rPr>
      </w:pPr>
      <w:r>
        <w:rPr>
          <w:rFonts w:hint="default" w:ascii="Times New Roman" w:hAnsi="Times New Roman" w:eastAsia="方正仿宋_GBK" w:cs="Times New Roman"/>
          <w:color w:val="auto"/>
          <w:kern w:val="2"/>
          <w:sz w:val="32"/>
          <w:szCs w:val="32"/>
          <w:u w:color="auto"/>
          <w:lang w:val="en-US" w:eastAsia="zh-CN" w:bidi="ar-SA"/>
        </w:rPr>
        <w:t>65.</w:t>
      </w:r>
      <w:r>
        <w:rPr>
          <w:rStyle w:val="23"/>
          <w:rFonts w:hint="eastAsia" w:ascii="Times New Roman" w:hAnsi="Times New Roman" w:eastAsia="方正仿宋_GBK" w:cs="方正仿宋_GBK"/>
          <w:b w:val="0"/>
          <w:bCs/>
          <w:color w:val="auto"/>
          <w:sz w:val="32"/>
          <w:szCs w:val="32"/>
          <w:u w:val="none" w:color="auto"/>
          <w:lang w:eastAsia="zh-CN"/>
        </w:rPr>
        <w:t>“</w:t>
      </w:r>
      <w:r>
        <w:rPr>
          <w:rFonts w:hint="default" w:ascii="Times New Roman" w:hAnsi="Times New Roman" w:eastAsia="方正黑体_GBK" w:cs="Times New Roman"/>
          <w:b w:val="0"/>
          <w:bCs/>
          <w:color w:val="auto"/>
          <w:sz w:val="32"/>
          <w:szCs w:val="32"/>
          <w:highlight w:val="none"/>
          <w:u w:val="none" w:color="auto"/>
        </w:rPr>
        <w:t>885</w:t>
      </w:r>
      <w:r>
        <w:rPr>
          <w:rStyle w:val="23"/>
          <w:rFonts w:hint="eastAsia" w:ascii="Times New Roman" w:hAnsi="Times New Roman" w:eastAsia="方正仿宋_GBK" w:cs="方正仿宋_GBK"/>
          <w:b w:val="0"/>
          <w:bCs/>
          <w:color w:val="auto"/>
          <w:sz w:val="32"/>
          <w:szCs w:val="32"/>
          <w:u w:val="none" w:color="auto"/>
          <w:lang w:eastAsia="zh-CN"/>
        </w:rPr>
        <w:t>”</w:t>
      </w:r>
      <w:r>
        <w:rPr>
          <w:rFonts w:hint="default" w:ascii="Times New Roman" w:hAnsi="Times New Roman" w:eastAsia="方正黑体_GBK" w:cs="Times New Roman"/>
          <w:b w:val="0"/>
          <w:bCs/>
          <w:color w:val="auto"/>
          <w:sz w:val="32"/>
          <w:szCs w:val="32"/>
          <w:highlight w:val="none"/>
          <w:u w:val="none" w:color="auto"/>
        </w:rPr>
        <w:t>工作机制</w:t>
      </w:r>
      <w:r>
        <w:rPr>
          <w:rStyle w:val="23"/>
          <w:rFonts w:hint="default" w:ascii="Times New Roman" w:hAnsi="Times New Roman" w:eastAsia="方正黑体_GBK" w:cs="Times New Roman"/>
          <w:b w:val="0"/>
          <w:bCs/>
          <w:color w:val="auto"/>
          <w:spacing w:val="0"/>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第1个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8</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党建、经济、平安、改革、创新、生态、文化、民生八张报表。第2个</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8</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巡视、审计、督查、生态环保督察、安全生产和自然灾害、网络舆情、群众信访、平安稳定八张问题清单。</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5</w:t>
      </w:r>
      <w:r>
        <w:rPr>
          <w:rFonts w:hint="eastAsia" w:ascii="Times New Roman" w:hAnsi="Times New Roman" w:eastAsia="方正仿宋_GBK" w:cs="方正仿宋_GBK"/>
          <w:color w:val="auto"/>
          <w:sz w:val="32"/>
          <w:szCs w:val="32"/>
          <w:highlight w:val="none"/>
          <w:u w:val="none" w:color="auto"/>
          <w:lang w:val="en-US" w:eastAsia="zh-CN"/>
        </w:rPr>
        <w:t>”</w:t>
      </w:r>
      <w:r>
        <w:rPr>
          <w:rFonts w:hint="default" w:ascii="Times New Roman" w:hAnsi="Times New Roman" w:eastAsia="方正仿宋_GBK" w:cs="Times New Roman"/>
          <w:color w:val="auto"/>
          <w:sz w:val="32"/>
          <w:szCs w:val="32"/>
          <w:highlight w:val="none"/>
          <w:u w:val="none" w:color="auto"/>
          <w:lang w:val="en-US" w:eastAsia="zh-CN"/>
        </w:rPr>
        <w:t>，</w:t>
      </w:r>
      <w:r>
        <w:rPr>
          <w:rFonts w:hint="eastAsia" w:ascii="Times New Roman" w:hAnsi="Times New Roman" w:eastAsia="方正仿宋_GBK" w:cs="Times New Roman"/>
          <w:color w:val="auto"/>
          <w:sz w:val="32"/>
          <w:szCs w:val="32"/>
          <w:highlight w:val="none"/>
          <w:u w:val="none" w:color="auto"/>
          <w:lang w:val="en-US" w:eastAsia="zh-CN"/>
        </w:rPr>
        <w:t>是指</w:t>
      </w:r>
      <w:r>
        <w:rPr>
          <w:rFonts w:hint="default" w:ascii="Times New Roman" w:hAnsi="Times New Roman" w:eastAsia="方正仿宋_GBK" w:cs="Times New Roman"/>
          <w:color w:val="auto"/>
          <w:sz w:val="32"/>
          <w:szCs w:val="32"/>
          <w:highlight w:val="none"/>
          <w:u w:val="none" w:color="auto"/>
          <w:lang w:val="en-US" w:eastAsia="zh-CN"/>
        </w:rPr>
        <w:t>常态化三服务、最佳实践案例激励推广和典型问题复盘、领导班子运行评估和群众口碑评价、区县委书记和市级部门一把手例会、争先创优赛马比拼五项机制。</w:t>
      </w:r>
    </w:p>
    <w:p w14:paraId="73BD8143">
      <w:pPr>
        <w:pStyle w:val="4"/>
        <w:rPr>
          <w:rFonts w:hint="default"/>
          <w:lang w:val="en-US" w:eastAsia="zh-CN"/>
        </w:rPr>
        <w:sectPr>
          <w:footerReference r:id="rId7" w:type="default"/>
          <w:pgSz w:w="11906" w:h="16838"/>
          <w:pgMar w:top="1417" w:right="1587" w:bottom="1417" w:left="1587" w:header="851" w:footer="1134" w:gutter="0"/>
          <w:pgBorders>
            <w:top w:val="none" w:sz="0" w:space="0"/>
            <w:left w:val="none" w:sz="0" w:space="0"/>
            <w:bottom w:val="none" w:sz="0" w:space="0"/>
            <w:right w:val="none" w:sz="0" w:space="0"/>
          </w:pgBorders>
          <w:pgNumType w:fmt="numberInDash" w:start="1"/>
          <w:cols w:space="0" w:num="1"/>
          <w:rtlGutter w:val="0"/>
          <w:docGrid w:type="lines" w:linePitch="312" w:charSpace="0"/>
        </w:sectPr>
      </w:pPr>
    </w:p>
    <w:p w14:paraId="1C88CA45">
      <w:pPr>
        <w:rPr>
          <w:rFonts w:hint="default"/>
          <w:lang w:val="en-US" w:eastAsia="zh-CN"/>
        </w:rPr>
      </w:pPr>
    </w:p>
    <w:sectPr>
      <w:footerReference r:id="rId8" w:type="default"/>
      <w:pgSz w:w="11906" w:h="16838"/>
      <w:pgMar w:top="1984" w:right="1474" w:bottom="1644" w:left="1474" w:header="851" w:footer="1134" w:gutter="0"/>
      <w:pgBorders>
        <w:top w:val="none" w:sz="0" w:space="0"/>
        <w:left w:val="none" w:sz="0" w:space="0"/>
        <w:bottom w:val="none" w:sz="0" w:space="0"/>
        <w:right w:val="none" w:sz="0" w:space="0"/>
      </w:pgBorders>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embedRegular r:id="rId1" w:fontKey="{E6845E4C-CE9B-4045-97B6-1DA60074D742}"/>
  </w:font>
  <w:font w:name="宋体">
    <w:panose1 w:val="02010600030101010101"/>
    <w:charset w:val="50"/>
    <w:family w:val="auto"/>
    <w:pitch w:val="default"/>
    <w:sig w:usb0="00000003" w:usb1="288F0000" w:usb2="00000006" w:usb3="00000000" w:csb0="00040001" w:csb1="00000000"/>
    <w:embedRegular r:id="rId2" w:fontKey="{F2A43ED4-3E13-4096-B4AF-287800B8E7D7}"/>
  </w:font>
  <w:font w:name="Wingdings">
    <w:panose1 w:val="05000000000000000000"/>
    <w:charset w:val="02"/>
    <w:family w:val="auto"/>
    <w:pitch w:val="default"/>
    <w:sig w:usb0="00000000" w:usb1="00000000" w:usb2="00000000" w:usb3="00000000" w:csb0="80000000" w:csb1="00000000"/>
    <w:embedRegular r:id="rId3" w:fontKey="{9CEAED22-0FB0-4BB1-A8CF-175F468A6C1D}"/>
  </w:font>
  <w:font w:name="Arial">
    <w:panose1 w:val="020B0604020202020204"/>
    <w:charset w:val="01"/>
    <w:family w:val="swiss"/>
    <w:pitch w:val="default"/>
    <w:sig w:usb0="E0002AFF" w:usb1="C0007843" w:usb2="00000009" w:usb3="00000000" w:csb0="400001FF" w:csb1="FFFF0000"/>
    <w:embedRegular r:id="rId4" w:fontKey="{7FD5704E-EB61-4760-BF85-B03D071AA1FA}"/>
  </w:font>
  <w:font w:name="黑体">
    <w:panose1 w:val="02010609060101010101"/>
    <w:charset w:val="86"/>
    <w:family w:val="auto"/>
    <w:pitch w:val="default"/>
    <w:sig w:usb0="800002BF" w:usb1="38CF7CFA" w:usb2="00000016" w:usb3="00000000" w:csb0="00040001" w:csb1="00000000"/>
    <w:embedRegular r:id="rId5" w:fontKey="{58EF3D2A-52EA-41FF-82B7-19893DE6DC2C}"/>
  </w:font>
  <w:font w:name="Courier New">
    <w:panose1 w:val="02070309020205020404"/>
    <w:charset w:val="01"/>
    <w:family w:val="modern"/>
    <w:pitch w:val="default"/>
    <w:sig w:usb0="E0002AFF" w:usb1="C0007843" w:usb2="00000009" w:usb3="00000000" w:csb0="400001FF" w:csb1="FFFF0000"/>
    <w:embedRegular r:id="rId6" w:fontKey="{2F9947F4-37C8-4BD4-AD06-8CB51A9F6291}"/>
  </w:font>
  <w:font w:name="Symbol">
    <w:panose1 w:val="05050102010706020507"/>
    <w:charset w:val="02"/>
    <w:family w:val="roman"/>
    <w:pitch w:val="default"/>
    <w:sig w:usb0="00000000" w:usb1="00000000" w:usb2="00000000" w:usb3="00000000" w:csb0="80000000" w:csb1="00000000"/>
    <w:embedRegular r:id="rId7" w:fontKey="{C7639529-D189-4A13-AC5C-BF6288F03AC0}"/>
  </w:font>
  <w:font w:name="Calibri">
    <w:panose1 w:val="020F0502020204030204"/>
    <w:charset w:val="00"/>
    <w:family w:val="swiss"/>
    <w:pitch w:val="default"/>
    <w:sig w:usb0="E00002FF" w:usb1="4000ACFF" w:usb2="00000001" w:usb3="00000000" w:csb0="2000019F" w:csb1="00000000"/>
    <w:embedRegular r:id="rId8" w:fontKey="{93DD2D0A-CA49-4393-8348-0D3A47EDB16C}"/>
  </w:font>
  <w:font w:name="Cambria">
    <w:panose1 w:val="02040503050406030204"/>
    <w:charset w:val="00"/>
    <w:family w:val="roman"/>
    <w:pitch w:val="default"/>
    <w:sig w:usb0="E00002FF" w:usb1="400004FF" w:usb2="00000000" w:usb3="00000000" w:csb0="2000019F" w:csb1="00000000"/>
    <w:embedRegular r:id="rId9" w:fontKey="{9511CEA7-E917-4378-967D-2F989FCC971F}"/>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方正仿宋_GBK">
    <w:panose1 w:val="03000509000000000000"/>
    <w:charset w:val="86"/>
    <w:family w:val="auto"/>
    <w:pitch w:val="default"/>
    <w:sig w:usb0="00000001" w:usb1="080E0000" w:usb2="00000000" w:usb3="00000000" w:csb0="00040000" w:csb1="00000000"/>
    <w:embedRegular r:id="rId10" w:fontKey="{E7996FB9-8D8D-4E9A-88F2-A6821B6BF631}"/>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embedRegular r:id="rId11" w:fontKey="{E33D5D82-FFE1-4BE0-B267-19A1854FDA3C}"/>
  </w:font>
  <w:font w:name="方正小标宋_GBK">
    <w:panose1 w:val="03000509000000000000"/>
    <w:charset w:val="86"/>
    <w:family w:val="script"/>
    <w:pitch w:val="default"/>
    <w:sig w:usb0="00000001" w:usb1="080E0000" w:usb2="00000000" w:usb3="00000000" w:csb0="00040000" w:csb1="00000000"/>
    <w:embedRegular r:id="rId12" w:fontKey="{E6075FEE-3377-40C5-97E4-C731BF21FF56}"/>
  </w:font>
  <w:font w:name="方正楷体_GBK">
    <w:panose1 w:val="03000509000000000000"/>
    <w:charset w:val="86"/>
    <w:family w:val="script"/>
    <w:pitch w:val="default"/>
    <w:sig w:usb0="00000001" w:usb1="080E0000" w:usb2="00000000" w:usb3="00000000" w:csb0="00040000" w:csb1="00000000"/>
    <w:embedRegular r:id="rId13" w:fontKey="{82EF634F-11C1-4833-9CC6-A198010707AF}"/>
  </w:font>
  <w:font w:name="方正仿宋_GB2312">
    <w:panose1 w:val="02000000000000000000"/>
    <w:charset w:val="86"/>
    <w:family w:val="auto"/>
    <w:pitch w:val="default"/>
    <w:sig w:usb0="A00002BF" w:usb1="184F6CFA" w:usb2="00000012" w:usb3="00000000" w:csb0="00040001" w:csb1="00000000"/>
    <w:embedRegular r:id="rId14" w:fontKey="{B368856A-2605-4257-8C02-F9B3F0754E3B}"/>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embedRegular r:id="rId15" w:fontKey="{B72A3082-E766-4404-8BEB-8CCC64435A41}"/>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755E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-132080</wp:posOffset>
              </wp:positionV>
              <wp:extent cx="988060" cy="26987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88060" cy="269875"/>
                      </a:xfrm>
                      <a:prstGeom prst="rect">
                        <a:avLst/>
                      </a:prstGeom>
                      <a:noFill/>
                      <a:ln w="6350">
                        <a:noFill/>
                      </a:ln>
                    </wps:spPr>
                    <wps:txbx>
                      <w:txbxContent>
                        <w:p w14:paraId="7F3593BA">
                          <w:pPr>
                            <w:pStyle w:val="11"/>
                            <w:ind w:firstLine="280" w:firstLineChars="100"/>
                            <w:rPr>
                              <w:rFonts w:hint="eastAsia" w:eastAsia="宋体"/>
                              <w:sz w:val="28"/>
                              <w:szCs w:val="28"/>
                              <w:lang w:eastAsia="zh-CN"/>
                            </w:rPr>
                          </w:pPr>
                          <w:r>
                            <w:rPr>
                              <w:rFonts w:hint="eastAsia" w:ascii="方正仿宋_GBK" w:eastAsia="方正仿宋_GBK" w:cs="方正仿宋_GBK"/>
                              <w:sz w:val="28"/>
                              <w:szCs w:val="28"/>
                              <w:lang w:eastAsia="zh-CN" w:bidi="ar-SA"/>
                            </w:rPr>
                            <w:t>—</w:t>
                          </w:r>
                          <w:r>
                            <w:rPr>
                              <w:rFonts w:hint="eastAsia"/>
                              <w:sz w:val="28"/>
                              <w:szCs w:val="28"/>
                              <w:lang w:val="en-US" w:eastAsia="zh-CN"/>
                            </w:rPr>
                            <w:t xml:space="preserve"> </w:t>
                          </w:r>
                          <w:r>
                            <w:rPr>
                              <w:rFonts w:hint="default" w:ascii="Times New Roman" w:hAnsi="Times New Roman" w:cs="Times New Roman"/>
                              <w:sz w:val="28"/>
                              <w:szCs w:val="28"/>
                              <w:lang w:eastAsia="zh-CN" w:bidi="ar-SA"/>
                            </w:rPr>
                            <w:fldChar w:fldCharType="begin"/>
                          </w:r>
                          <w:r>
                            <w:rPr>
                              <w:rFonts w:hint="default" w:ascii="Times New Roman" w:hAnsi="Times New Roman" w:cs="Times New Roman"/>
                              <w:sz w:val="28"/>
                              <w:szCs w:val="28"/>
                              <w:lang w:eastAsia="zh-CN" w:bidi="ar-SA"/>
                            </w:rPr>
                            <w:instrText xml:space="preserve"> PAGE  \* MERGEFORMAT </w:instrText>
                          </w:r>
                          <w:r>
                            <w:rPr>
                              <w:rFonts w:hint="default" w:ascii="Times New Roman" w:hAnsi="Times New Roman" w:cs="Times New Roman"/>
                              <w:sz w:val="28"/>
                              <w:szCs w:val="28"/>
                              <w:lang w:eastAsia="zh-CN" w:bidi="ar-SA"/>
                            </w:rPr>
                            <w:fldChar w:fldCharType="separate"/>
                          </w:r>
                          <w:r>
                            <w:rPr>
                              <w:rFonts w:hint="default" w:ascii="Times New Roman" w:hAnsi="Times New Roman" w:cs="Times New Roman"/>
                              <w:sz w:val="28"/>
                              <w:szCs w:val="28"/>
                              <w:lang w:eastAsia="zh-CN" w:bidi="ar-SA"/>
                            </w:rPr>
                            <w:t>1</w:t>
                          </w:r>
                          <w:r>
                            <w:rPr>
                              <w:rFonts w:hint="default" w:ascii="Times New Roman" w:hAnsi="Times New Roman" w:cs="Times New Roman"/>
                              <w:sz w:val="28"/>
                              <w:szCs w:val="28"/>
                              <w:lang w:eastAsia="zh-CN" w:bidi="ar-SA"/>
                            </w:rPr>
                            <w:fldChar w:fldCharType="end"/>
                          </w:r>
                          <w:r>
                            <w:rPr>
                              <w:rFonts w:hint="default" w:ascii="Times New Roman" w:hAnsi="Times New Roman" w:cs="Times New Roman"/>
                              <w:sz w:val="28"/>
                              <w:szCs w:val="28"/>
                              <w:lang w:val="en-US" w:eastAsia="zh-CN" w:bidi="ar-SA"/>
                            </w:rPr>
                            <w:t xml:space="preserve"> </w:t>
                          </w:r>
                          <w:r>
                            <w:rPr>
                              <w:rFonts w:hint="eastAsia" w:ascii="方正仿宋_GBK" w:eastAsia="方正仿宋_GBK" w:cs="方正仿宋_GBK"/>
                              <w:sz w:val="28"/>
                              <w:szCs w:val="28"/>
                              <w:lang w:eastAsia="zh-CN" w:bidi="ar-SA"/>
                            </w:rPr>
                            <w:t>—</w:t>
                          </w:r>
                        </w:p>
                      </w:txbxContent>
                    </wps:txbx>
                    <wps:bodyPr lIns="0" tIns="0" rIns="0" bIns="0" upright="0"/>
                  </wps:wsp>
                </a:graphicData>
              </a:graphic>
            </wp:anchor>
          </w:drawing>
        </mc:Choice>
        <mc:Fallback>
          <w:pict>
            <v:shape id="_x0000_s1026" o:spid="_x0000_s1026" o:spt="202" type="#_x0000_t202" style="position:absolute;left:0pt;margin-top:-10.4pt;height:21.25pt;width:77.8pt;mso-position-horizontal:outside;mso-position-horizontal-relative:margin;z-index:251659264;mso-width-relative:page;mso-height-relative:page;" filled="f" stroked="f" coordsize="21600,21600" o:gfxdata="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ITVeS/WAAAABwEAAA8AAAAAAAAAAQAgAAAAIgAAAGRycy9kb3ducmV2Lnht&#10;bFBLAQIUABQAAAAIAIdO4kBxroxpwgEAAHoDAAAOAAAAAAAAAAEAIAAAACUBAABkcnMvZTJvRG9j&#10;LnhtbFBLBQYAAAAABgAGAFkBAABZBQAAAAA=&#10;">
              <v:fill on="f" focussize="0,0"/>
              <v:stroke on="f" weight="0.5pt"/>
              <v:imagedata o:title=""/>
              <o:lock v:ext="edit" aspectratio="f"/>
              <v:textbox inset="0mm,0mm,0mm,0mm">
                <w:txbxContent>
                  <w:p w14:paraId="7F3593BA">
                    <w:pPr>
                      <w:pStyle w:val="11"/>
                      <w:ind w:firstLine="280" w:firstLineChars="100"/>
                      <w:rPr>
                        <w:rFonts w:hint="eastAsia" w:eastAsia="宋体"/>
                        <w:sz w:val="28"/>
                        <w:szCs w:val="28"/>
                        <w:lang w:eastAsia="zh-CN"/>
                      </w:rPr>
                    </w:pPr>
                    <w:r>
                      <w:rPr>
                        <w:rFonts w:hint="eastAsia" w:ascii="方正仿宋_GBK" w:eastAsia="方正仿宋_GBK" w:cs="方正仿宋_GBK"/>
                        <w:sz w:val="28"/>
                        <w:szCs w:val="28"/>
                        <w:lang w:eastAsia="zh-CN" w:bidi="ar-SA"/>
                      </w:rPr>
                      <w:t>—</w:t>
                    </w:r>
                    <w:r>
                      <w:rPr>
                        <w:rFonts w:hint="eastAsia"/>
                        <w:sz w:val="28"/>
                        <w:szCs w:val="28"/>
                        <w:lang w:val="en-US" w:eastAsia="zh-CN"/>
                      </w:rPr>
                      <w:t xml:space="preserve"> </w:t>
                    </w:r>
                    <w:r>
                      <w:rPr>
                        <w:rFonts w:hint="default" w:ascii="Times New Roman" w:hAnsi="Times New Roman" w:cs="Times New Roman"/>
                        <w:sz w:val="28"/>
                        <w:szCs w:val="28"/>
                        <w:lang w:eastAsia="zh-CN" w:bidi="ar-SA"/>
                      </w:rPr>
                      <w:fldChar w:fldCharType="begin"/>
                    </w:r>
                    <w:r>
                      <w:rPr>
                        <w:rFonts w:hint="default" w:ascii="Times New Roman" w:hAnsi="Times New Roman" w:cs="Times New Roman"/>
                        <w:sz w:val="28"/>
                        <w:szCs w:val="28"/>
                        <w:lang w:eastAsia="zh-CN" w:bidi="ar-SA"/>
                      </w:rPr>
                      <w:instrText xml:space="preserve"> PAGE  \* MERGEFORMAT </w:instrText>
                    </w:r>
                    <w:r>
                      <w:rPr>
                        <w:rFonts w:hint="default" w:ascii="Times New Roman" w:hAnsi="Times New Roman" w:cs="Times New Roman"/>
                        <w:sz w:val="28"/>
                        <w:szCs w:val="28"/>
                        <w:lang w:eastAsia="zh-CN" w:bidi="ar-SA"/>
                      </w:rPr>
                      <w:fldChar w:fldCharType="separate"/>
                    </w:r>
                    <w:r>
                      <w:rPr>
                        <w:rFonts w:hint="default" w:ascii="Times New Roman" w:hAnsi="Times New Roman" w:cs="Times New Roman"/>
                        <w:sz w:val="28"/>
                        <w:szCs w:val="28"/>
                        <w:lang w:eastAsia="zh-CN" w:bidi="ar-SA"/>
                      </w:rPr>
                      <w:t>1</w:t>
                    </w:r>
                    <w:r>
                      <w:rPr>
                        <w:rFonts w:hint="default" w:ascii="Times New Roman" w:hAnsi="Times New Roman" w:cs="Times New Roman"/>
                        <w:sz w:val="28"/>
                        <w:szCs w:val="28"/>
                        <w:lang w:eastAsia="zh-CN" w:bidi="ar-SA"/>
                      </w:rPr>
                      <w:fldChar w:fldCharType="end"/>
                    </w:r>
                    <w:r>
                      <w:rPr>
                        <w:rFonts w:hint="default" w:ascii="Times New Roman" w:hAnsi="Times New Roman" w:cs="Times New Roman"/>
                        <w:sz w:val="28"/>
                        <w:szCs w:val="28"/>
                        <w:lang w:val="en-US" w:eastAsia="zh-CN" w:bidi="ar-SA"/>
                      </w:rPr>
                      <w:t xml:space="preserve"> </w:t>
                    </w:r>
                    <w:r>
                      <w:rPr>
                        <w:rFonts w:hint="eastAsia" w:ascii="方正仿宋_GBK" w:eastAsia="方正仿宋_GBK" w:cs="方正仿宋_GBK"/>
                        <w:sz w:val="28"/>
                        <w:szCs w:val="28"/>
                        <w:lang w:eastAsia="zh-CN" w:bidi="ar-S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51F9">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4348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DC974">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6F24A">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F76F24A">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82B3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54FF3">
    <w:pPr>
      <w:pStyle w:val="13"/>
    </w:pPr>
    <w:r>
      <w:br w:type="textWrapp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BFC5"/>
    <w:multiLevelType w:val="singleLevel"/>
    <w:tmpl w:val="927DBFC5"/>
    <w:lvl w:ilvl="0" w:tentative="0">
      <w:start w:val="2"/>
      <w:numFmt w:val="chineseCounting"/>
      <w:suff w:val="space"/>
      <w:lvlText w:val="第%1节"/>
      <w:lvlJc w:val="left"/>
      <w:rPr>
        <w:rFonts w:hint="eastAsia"/>
      </w:rPr>
    </w:lvl>
  </w:abstractNum>
  <w:abstractNum w:abstractNumId="1">
    <w:nsid w:val="E48EE5BA"/>
    <w:multiLevelType w:val="singleLevel"/>
    <w:tmpl w:val="E48EE5BA"/>
    <w:lvl w:ilvl="0" w:tentative="0">
      <w:start w:val="8"/>
      <w:numFmt w:val="chineseCounting"/>
      <w:suff w:val="space"/>
      <w:lvlText w:val="第%1篇"/>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jM2U4NTBkZmRkNDRiYjVjZmVmODJmZTQ0OTZlMjkifQ=="/>
  </w:docVars>
  <w:rsids>
    <w:rsidRoot w:val="035B6554"/>
    <w:rsid w:val="00A150CC"/>
    <w:rsid w:val="00EA1F78"/>
    <w:rsid w:val="010B1275"/>
    <w:rsid w:val="016A0ABA"/>
    <w:rsid w:val="018F64A6"/>
    <w:rsid w:val="01BD0920"/>
    <w:rsid w:val="01CC1BAD"/>
    <w:rsid w:val="01E7722D"/>
    <w:rsid w:val="02225B04"/>
    <w:rsid w:val="02D904FF"/>
    <w:rsid w:val="03086AA8"/>
    <w:rsid w:val="03261EB9"/>
    <w:rsid w:val="0329567E"/>
    <w:rsid w:val="035B6554"/>
    <w:rsid w:val="03911FB1"/>
    <w:rsid w:val="040E3378"/>
    <w:rsid w:val="041B2F4B"/>
    <w:rsid w:val="04AE7B23"/>
    <w:rsid w:val="04DA0E71"/>
    <w:rsid w:val="04E069A6"/>
    <w:rsid w:val="04EE72A6"/>
    <w:rsid w:val="052B559D"/>
    <w:rsid w:val="05583557"/>
    <w:rsid w:val="05697348"/>
    <w:rsid w:val="05BB24F7"/>
    <w:rsid w:val="05CD3091"/>
    <w:rsid w:val="05F00FB5"/>
    <w:rsid w:val="06316315"/>
    <w:rsid w:val="06D003D8"/>
    <w:rsid w:val="06E6078E"/>
    <w:rsid w:val="071470A6"/>
    <w:rsid w:val="07480571"/>
    <w:rsid w:val="075C3866"/>
    <w:rsid w:val="079C20ED"/>
    <w:rsid w:val="07BB7F8D"/>
    <w:rsid w:val="07D8041D"/>
    <w:rsid w:val="083F5381"/>
    <w:rsid w:val="088D5B2C"/>
    <w:rsid w:val="08FD17AE"/>
    <w:rsid w:val="09A952A2"/>
    <w:rsid w:val="0A03235C"/>
    <w:rsid w:val="0A047B35"/>
    <w:rsid w:val="0A5325B9"/>
    <w:rsid w:val="0A697FCF"/>
    <w:rsid w:val="0A940A1C"/>
    <w:rsid w:val="0ADD4CBE"/>
    <w:rsid w:val="0B065D04"/>
    <w:rsid w:val="0B0E30C9"/>
    <w:rsid w:val="0B1B4E9F"/>
    <w:rsid w:val="0B5443BD"/>
    <w:rsid w:val="0B7B7DE4"/>
    <w:rsid w:val="0B8B6BEB"/>
    <w:rsid w:val="0BCB702E"/>
    <w:rsid w:val="0BD87233"/>
    <w:rsid w:val="0BF27659"/>
    <w:rsid w:val="0C6C2183"/>
    <w:rsid w:val="0CCC37E4"/>
    <w:rsid w:val="0CD10852"/>
    <w:rsid w:val="0CF010E6"/>
    <w:rsid w:val="0D2B23E7"/>
    <w:rsid w:val="0D2C7013"/>
    <w:rsid w:val="0DB82FDE"/>
    <w:rsid w:val="0DBA1915"/>
    <w:rsid w:val="0ED1518B"/>
    <w:rsid w:val="0EE57B2C"/>
    <w:rsid w:val="0EF66A8F"/>
    <w:rsid w:val="0F266BB8"/>
    <w:rsid w:val="0F3514E1"/>
    <w:rsid w:val="0F6C5984"/>
    <w:rsid w:val="0F9C5147"/>
    <w:rsid w:val="103260BD"/>
    <w:rsid w:val="10594DE6"/>
    <w:rsid w:val="10A122E9"/>
    <w:rsid w:val="10B71B0D"/>
    <w:rsid w:val="10DC1574"/>
    <w:rsid w:val="10FF17E1"/>
    <w:rsid w:val="11292A0B"/>
    <w:rsid w:val="112A7E00"/>
    <w:rsid w:val="11E05BDD"/>
    <w:rsid w:val="12062D4C"/>
    <w:rsid w:val="122441F6"/>
    <w:rsid w:val="12255F01"/>
    <w:rsid w:val="12435EB0"/>
    <w:rsid w:val="124E6388"/>
    <w:rsid w:val="1257777F"/>
    <w:rsid w:val="125F245C"/>
    <w:rsid w:val="125F72C4"/>
    <w:rsid w:val="12670B10"/>
    <w:rsid w:val="128325A2"/>
    <w:rsid w:val="12A84516"/>
    <w:rsid w:val="13023098"/>
    <w:rsid w:val="13495A42"/>
    <w:rsid w:val="134E4DE1"/>
    <w:rsid w:val="13D91B00"/>
    <w:rsid w:val="13E342CE"/>
    <w:rsid w:val="13E82C60"/>
    <w:rsid w:val="142A015D"/>
    <w:rsid w:val="1431053C"/>
    <w:rsid w:val="144321BB"/>
    <w:rsid w:val="14892535"/>
    <w:rsid w:val="149360F8"/>
    <w:rsid w:val="14C12454"/>
    <w:rsid w:val="15990253"/>
    <w:rsid w:val="160E25D2"/>
    <w:rsid w:val="164F016F"/>
    <w:rsid w:val="16516554"/>
    <w:rsid w:val="16F05D79"/>
    <w:rsid w:val="1716052D"/>
    <w:rsid w:val="17546119"/>
    <w:rsid w:val="17572226"/>
    <w:rsid w:val="17654FB1"/>
    <w:rsid w:val="176B02F5"/>
    <w:rsid w:val="178F0BB6"/>
    <w:rsid w:val="17C36243"/>
    <w:rsid w:val="17E71049"/>
    <w:rsid w:val="180874B3"/>
    <w:rsid w:val="182909A6"/>
    <w:rsid w:val="1849010B"/>
    <w:rsid w:val="188227B3"/>
    <w:rsid w:val="188622FA"/>
    <w:rsid w:val="189632FF"/>
    <w:rsid w:val="18B95BA2"/>
    <w:rsid w:val="18C8043C"/>
    <w:rsid w:val="18FA38B1"/>
    <w:rsid w:val="196E4C6A"/>
    <w:rsid w:val="19D1592B"/>
    <w:rsid w:val="1A251826"/>
    <w:rsid w:val="1A373689"/>
    <w:rsid w:val="1A436C46"/>
    <w:rsid w:val="1A4871B7"/>
    <w:rsid w:val="1A8769F4"/>
    <w:rsid w:val="1AC04236"/>
    <w:rsid w:val="1B8A7D06"/>
    <w:rsid w:val="1BC70483"/>
    <w:rsid w:val="1BC74681"/>
    <w:rsid w:val="1BED0F5C"/>
    <w:rsid w:val="1C1E0C92"/>
    <w:rsid w:val="1CD04682"/>
    <w:rsid w:val="1CF40D24"/>
    <w:rsid w:val="1D097F78"/>
    <w:rsid w:val="1D0A6AA0"/>
    <w:rsid w:val="1D792CF0"/>
    <w:rsid w:val="1D9B4C90"/>
    <w:rsid w:val="1E252E38"/>
    <w:rsid w:val="1E7159F1"/>
    <w:rsid w:val="1E731CD2"/>
    <w:rsid w:val="1E8B118F"/>
    <w:rsid w:val="1E9E05E4"/>
    <w:rsid w:val="1EE76EBC"/>
    <w:rsid w:val="1F103AC3"/>
    <w:rsid w:val="1F1620F4"/>
    <w:rsid w:val="1FB262C1"/>
    <w:rsid w:val="1FED10A7"/>
    <w:rsid w:val="201028DB"/>
    <w:rsid w:val="20D62132"/>
    <w:rsid w:val="20EC0962"/>
    <w:rsid w:val="20FF0BCC"/>
    <w:rsid w:val="211253C8"/>
    <w:rsid w:val="219A4508"/>
    <w:rsid w:val="21A32365"/>
    <w:rsid w:val="22204D8A"/>
    <w:rsid w:val="222D4805"/>
    <w:rsid w:val="22381929"/>
    <w:rsid w:val="225B679C"/>
    <w:rsid w:val="22B11762"/>
    <w:rsid w:val="22F55B76"/>
    <w:rsid w:val="22F77177"/>
    <w:rsid w:val="23680061"/>
    <w:rsid w:val="24295EAF"/>
    <w:rsid w:val="24495E35"/>
    <w:rsid w:val="245F2A7A"/>
    <w:rsid w:val="24707065"/>
    <w:rsid w:val="24DB0068"/>
    <w:rsid w:val="251B66B7"/>
    <w:rsid w:val="25624527"/>
    <w:rsid w:val="257D5A97"/>
    <w:rsid w:val="25974A8B"/>
    <w:rsid w:val="25C04573"/>
    <w:rsid w:val="25D078B2"/>
    <w:rsid w:val="260D1C1D"/>
    <w:rsid w:val="26485289"/>
    <w:rsid w:val="26614889"/>
    <w:rsid w:val="267407E6"/>
    <w:rsid w:val="267F0C45"/>
    <w:rsid w:val="26A81308"/>
    <w:rsid w:val="26D22EBB"/>
    <w:rsid w:val="26F23A1A"/>
    <w:rsid w:val="26F447CD"/>
    <w:rsid w:val="26FA153B"/>
    <w:rsid w:val="26FF7406"/>
    <w:rsid w:val="27A42E6D"/>
    <w:rsid w:val="27BD58EF"/>
    <w:rsid w:val="286876D8"/>
    <w:rsid w:val="28744C87"/>
    <w:rsid w:val="287D54AC"/>
    <w:rsid w:val="287E1436"/>
    <w:rsid w:val="287E232B"/>
    <w:rsid w:val="28E22AAD"/>
    <w:rsid w:val="29DA269C"/>
    <w:rsid w:val="2A204F8D"/>
    <w:rsid w:val="2A786FEF"/>
    <w:rsid w:val="2A790107"/>
    <w:rsid w:val="2AA763D5"/>
    <w:rsid w:val="2B184CF0"/>
    <w:rsid w:val="2B441C94"/>
    <w:rsid w:val="2B5B67C5"/>
    <w:rsid w:val="2BA47406"/>
    <w:rsid w:val="2BA83528"/>
    <w:rsid w:val="2BD72484"/>
    <w:rsid w:val="2BF10171"/>
    <w:rsid w:val="2C1C2EE3"/>
    <w:rsid w:val="2C5E3228"/>
    <w:rsid w:val="2C8417A1"/>
    <w:rsid w:val="2D3A6FA0"/>
    <w:rsid w:val="2D551E03"/>
    <w:rsid w:val="2D7A22FD"/>
    <w:rsid w:val="2DCD3AA1"/>
    <w:rsid w:val="2E386804"/>
    <w:rsid w:val="2E40208D"/>
    <w:rsid w:val="2E8111D2"/>
    <w:rsid w:val="2EFB53EC"/>
    <w:rsid w:val="2F157172"/>
    <w:rsid w:val="2F306B07"/>
    <w:rsid w:val="2F494923"/>
    <w:rsid w:val="2F547A33"/>
    <w:rsid w:val="2F5836A8"/>
    <w:rsid w:val="2F6F1AD9"/>
    <w:rsid w:val="2FC7004F"/>
    <w:rsid w:val="2FCC6F2B"/>
    <w:rsid w:val="2FD1132C"/>
    <w:rsid w:val="2FD61B58"/>
    <w:rsid w:val="303B19BB"/>
    <w:rsid w:val="3059526A"/>
    <w:rsid w:val="30682EE6"/>
    <w:rsid w:val="308F0A11"/>
    <w:rsid w:val="30C85944"/>
    <w:rsid w:val="313A10DB"/>
    <w:rsid w:val="313B2DC8"/>
    <w:rsid w:val="31701B38"/>
    <w:rsid w:val="31C42860"/>
    <w:rsid w:val="31CA58BC"/>
    <w:rsid w:val="31E51A46"/>
    <w:rsid w:val="32DB5779"/>
    <w:rsid w:val="331D362E"/>
    <w:rsid w:val="3338549E"/>
    <w:rsid w:val="334F545A"/>
    <w:rsid w:val="336239E5"/>
    <w:rsid w:val="337616F8"/>
    <w:rsid w:val="339A10EE"/>
    <w:rsid w:val="33D10568"/>
    <w:rsid w:val="33E75E13"/>
    <w:rsid w:val="33E87736"/>
    <w:rsid w:val="34201089"/>
    <w:rsid w:val="344C379B"/>
    <w:rsid w:val="34CC15EE"/>
    <w:rsid w:val="35893F9F"/>
    <w:rsid w:val="35D13059"/>
    <w:rsid w:val="36154A5C"/>
    <w:rsid w:val="363E3FB3"/>
    <w:rsid w:val="37257E24"/>
    <w:rsid w:val="37517D16"/>
    <w:rsid w:val="37D54C01"/>
    <w:rsid w:val="38177DFF"/>
    <w:rsid w:val="384C6F54"/>
    <w:rsid w:val="384D576E"/>
    <w:rsid w:val="38726196"/>
    <w:rsid w:val="38E86407"/>
    <w:rsid w:val="39246CD8"/>
    <w:rsid w:val="393165BB"/>
    <w:rsid w:val="39330B70"/>
    <w:rsid w:val="394E275F"/>
    <w:rsid w:val="39504729"/>
    <w:rsid w:val="39D60075"/>
    <w:rsid w:val="39E457F3"/>
    <w:rsid w:val="3A0A4758"/>
    <w:rsid w:val="3A1B4EEB"/>
    <w:rsid w:val="3A325CC1"/>
    <w:rsid w:val="3A381A48"/>
    <w:rsid w:val="3B504466"/>
    <w:rsid w:val="3B684B69"/>
    <w:rsid w:val="3BF32267"/>
    <w:rsid w:val="3BFF1AFF"/>
    <w:rsid w:val="3C253F7B"/>
    <w:rsid w:val="3C5000BD"/>
    <w:rsid w:val="3C8A129E"/>
    <w:rsid w:val="3CD236A7"/>
    <w:rsid w:val="3CD768E2"/>
    <w:rsid w:val="3D031AB2"/>
    <w:rsid w:val="3D054F5C"/>
    <w:rsid w:val="3D0A2C6F"/>
    <w:rsid w:val="3D5F22A5"/>
    <w:rsid w:val="3DC8265A"/>
    <w:rsid w:val="3DFE15A6"/>
    <w:rsid w:val="3E3314C3"/>
    <w:rsid w:val="3E555FE6"/>
    <w:rsid w:val="3E612223"/>
    <w:rsid w:val="3E6B790F"/>
    <w:rsid w:val="3E86568C"/>
    <w:rsid w:val="3EFE12C6"/>
    <w:rsid w:val="3F0D2DA6"/>
    <w:rsid w:val="3F1F4213"/>
    <w:rsid w:val="3F22337B"/>
    <w:rsid w:val="3F595094"/>
    <w:rsid w:val="3FB31E89"/>
    <w:rsid w:val="3FCB0676"/>
    <w:rsid w:val="3FFA643C"/>
    <w:rsid w:val="400B13AA"/>
    <w:rsid w:val="40A927D4"/>
    <w:rsid w:val="40CA03A8"/>
    <w:rsid w:val="40EE3F02"/>
    <w:rsid w:val="415128B5"/>
    <w:rsid w:val="41A12030"/>
    <w:rsid w:val="42032FD0"/>
    <w:rsid w:val="42AE6B08"/>
    <w:rsid w:val="42BA4E74"/>
    <w:rsid w:val="42C1094F"/>
    <w:rsid w:val="435D0816"/>
    <w:rsid w:val="4377281B"/>
    <w:rsid w:val="44134CD1"/>
    <w:rsid w:val="44347E99"/>
    <w:rsid w:val="44862580"/>
    <w:rsid w:val="44984918"/>
    <w:rsid w:val="44BA4D93"/>
    <w:rsid w:val="45713268"/>
    <w:rsid w:val="45FD4563"/>
    <w:rsid w:val="462A0DFD"/>
    <w:rsid w:val="463B062E"/>
    <w:rsid w:val="46422E2C"/>
    <w:rsid w:val="466053B8"/>
    <w:rsid w:val="466455CD"/>
    <w:rsid w:val="467A7D2F"/>
    <w:rsid w:val="46AA6554"/>
    <w:rsid w:val="46F76979"/>
    <w:rsid w:val="47137C56"/>
    <w:rsid w:val="471C434A"/>
    <w:rsid w:val="47810C4E"/>
    <w:rsid w:val="47AA6291"/>
    <w:rsid w:val="4831089D"/>
    <w:rsid w:val="4834626C"/>
    <w:rsid w:val="48367DA4"/>
    <w:rsid w:val="48373A94"/>
    <w:rsid w:val="484768C7"/>
    <w:rsid w:val="48543FC5"/>
    <w:rsid w:val="48632961"/>
    <w:rsid w:val="486F7006"/>
    <w:rsid w:val="487C53B2"/>
    <w:rsid w:val="48BB420B"/>
    <w:rsid w:val="48C93BB0"/>
    <w:rsid w:val="492D05E3"/>
    <w:rsid w:val="492F7E10"/>
    <w:rsid w:val="49350874"/>
    <w:rsid w:val="49714302"/>
    <w:rsid w:val="49A25680"/>
    <w:rsid w:val="49A60E02"/>
    <w:rsid w:val="4A064990"/>
    <w:rsid w:val="4A5920E2"/>
    <w:rsid w:val="4A6D04CB"/>
    <w:rsid w:val="4A7D3A07"/>
    <w:rsid w:val="4AE15425"/>
    <w:rsid w:val="4B706CE4"/>
    <w:rsid w:val="4BCA1E6F"/>
    <w:rsid w:val="4C003D8D"/>
    <w:rsid w:val="4C190300"/>
    <w:rsid w:val="4C8007B2"/>
    <w:rsid w:val="4C8931D0"/>
    <w:rsid w:val="4C910E89"/>
    <w:rsid w:val="4CB324BD"/>
    <w:rsid w:val="4D202EDE"/>
    <w:rsid w:val="4D476DC7"/>
    <w:rsid w:val="4D4A0B59"/>
    <w:rsid w:val="4D891B60"/>
    <w:rsid w:val="4D8F7CCF"/>
    <w:rsid w:val="4D93478D"/>
    <w:rsid w:val="4DBA7F6B"/>
    <w:rsid w:val="4DBB338D"/>
    <w:rsid w:val="4DFA24C8"/>
    <w:rsid w:val="4E8E796C"/>
    <w:rsid w:val="4F3624F5"/>
    <w:rsid w:val="4F615AA1"/>
    <w:rsid w:val="4F986416"/>
    <w:rsid w:val="4FB14D78"/>
    <w:rsid w:val="4FB75279"/>
    <w:rsid w:val="4FBA6496"/>
    <w:rsid w:val="4FCA215C"/>
    <w:rsid w:val="50212524"/>
    <w:rsid w:val="502B7161"/>
    <w:rsid w:val="504736F2"/>
    <w:rsid w:val="504870C6"/>
    <w:rsid w:val="508B1086"/>
    <w:rsid w:val="50E97F22"/>
    <w:rsid w:val="50FE4613"/>
    <w:rsid w:val="51133242"/>
    <w:rsid w:val="51883815"/>
    <w:rsid w:val="51C874B1"/>
    <w:rsid w:val="51D57117"/>
    <w:rsid w:val="52AD7BC3"/>
    <w:rsid w:val="52E02084"/>
    <w:rsid w:val="52EC5D0B"/>
    <w:rsid w:val="5319165E"/>
    <w:rsid w:val="533E33EC"/>
    <w:rsid w:val="534E4E8A"/>
    <w:rsid w:val="53A063C7"/>
    <w:rsid w:val="53C8657A"/>
    <w:rsid w:val="53EE73BB"/>
    <w:rsid w:val="54C85071"/>
    <w:rsid w:val="54D72D39"/>
    <w:rsid w:val="5522677A"/>
    <w:rsid w:val="553B6208"/>
    <w:rsid w:val="555D3FFE"/>
    <w:rsid w:val="56002123"/>
    <w:rsid w:val="56204B57"/>
    <w:rsid w:val="56372AA1"/>
    <w:rsid w:val="568B668C"/>
    <w:rsid w:val="56A1686A"/>
    <w:rsid w:val="56B82D8C"/>
    <w:rsid w:val="56C37E91"/>
    <w:rsid w:val="56D30F9A"/>
    <w:rsid w:val="57033CAB"/>
    <w:rsid w:val="570D773C"/>
    <w:rsid w:val="572416EF"/>
    <w:rsid w:val="57276992"/>
    <w:rsid w:val="57BF2D4E"/>
    <w:rsid w:val="580834DB"/>
    <w:rsid w:val="584E7C2E"/>
    <w:rsid w:val="586E207E"/>
    <w:rsid w:val="58791561"/>
    <w:rsid w:val="58C6229E"/>
    <w:rsid w:val="591D1309"/>
    <w:rsid w:val="598F6750"/>
    <w:rsid w:val="599A6F9C"/>
    <w:rsid w:val="599C0E6D"/>
    <w:rsid w:val="59DC597E"/>
    <w:rsid w:val="5A603305"/>
    <w:rsid w:val="5AC51632"/>
    <w:rsid w:val="5B2F1F99"/>
    <w:rsid w:val="5B3438F3"/>
    <w:rsid w:val="5B3D0A3D"/>
    <w:rsid w:val="5B484E08"/>
    <w:rsid w:val="5B7F45A2"/>
    <w:rsid w:val="5BA57918"/>
    <w:rsid w:val="5BEB0B4B"/>
    <w:rsid w:val="5C242455"/>
    <w:rsid w:val="5C553AE5"/>
    <w:rsid w:val="5C863A96"/>
    <w:rsid w:val="5CAE541B"/>
    <w:rsid w:val="5CE67C21"/>
    <w:rsid w:val="5D114F90"/>
    <w:rsid w:val="5D1C479E"/>
    <w:rsid w:val="5D4044A4"/>
    <w:rsid w:val="5D8E4001"/>
    <w:rsid w:val="5DCE68C9"/>
    <w:rsid w:val="5DE23DA8"/>
    <w:rsid w:val="5E2240A0"/>
    <w:rsid w:val="5E2F405E"/>
    <w:rsid w:val="5ECA2F4F"/>
    <w:rsid w:val="5F1C5493"/>
    <w:rsid w:val="5F650605"/>
    <w:rsid w:val="5FBB029F"/>
    <w:rsid w:val="5FD42095"/>
    <w:rsid w:val="5FEF7F48"/>
    <w:rsid w:val="600A25A8"/>
    <w:rsid w:val="600C75F5"/>
    <w:rsid w:val="602023A2"/>
    <w:rsid w:val="60370E05"/>
    <w:rsid w:val="604962D6"/>
    <w:rsid w:val="606E2D6B"/>
    <w:rsid w:val="60737411"/>
    <w:rsid w:val="60A55CF6"/>
    <w:rsid w:val="60A778D3"/>
    <w:rsid w:val="60CD295D"/>
    <w:rsid w:val="61023CAB"/>
    <w:rsid w:val="61A72D63"/>
    <w:rsid w:val="61C936DD"/>
    <w:rsid w:val="61F41E84"/>
    <w:rsid w:val="62093A26"/>
    <w:rsid w:val="6239194F"/>
    <w:rsid w:val="62724E61"/>
    <w:rsid w:val="62806A11"/>
    <w:rsid w:val="6292105F"/>
    <w:rsid w:val="62C65986"/>
    <w:rsid w:val="630D76F7"/>
    <w:rsid w:val="6316545E"/>
    <w:rsid w:val="63366E27"/>
    <w:rsid w:val="63601B57"/>
    <w:rsid w:val="63872B56"/>
    <w:rsid w:val="63A24243"/>
    <w:rsid w:val="63D82255"/>
    <w:rsid w:val="64293CBC"/>
    <w:rsid w:val="642C2789"/>
    <w:rsid w:val="6451494E"/>
    <w:rsid w:val="64923598"/>
    <w:rsid w:val="64B610A2"/>
    <w:rsid w:val="64E25118"/>
    <w:rsid w:val="64EF38CD"/>
    <w:rsid w:val="652D6555"/>
    <w:rsid w:val="654B3E73"/>
    <w:rsid w:val="654C417D"/>
    <w:rsid w:val="65783843"/>
    <w:rsid w:val="65D96111"/>
    <w:rsid w:val="661F0F61"/>
    <w:rsid w:val="662326FA"/>
    <w:rsid w:val="665B08E5"/>
    <w:rsid w:val="668145AB"/>
    <w:rsid w:val="668A1B41"/>
    <w:rsid w:val="66D11AAC"/>
    <w:rsid w:val="66DE2AC5"/>
    <w:rsid w:val="677671A1"/>
    <w:rsid w:val="67A2731D"/>
    <w:rsid w:val="67CE6571"/>
    <w:rsid w:val="67EA0C4D"/>
    <w:rsid w:val="680165F2"/>
    <w:rsid w:val="68747A35"/>
    <w:rsid w:val="68D73EF3"/>
    <w:rsid w:val="68F56058"/>
    <w:rsid w:val="693B5FAC"/>
    <w:rsid w:val="696279DD"/>
    <w:rsid w:val="69925C60"/>
    <w:rsid w:val="69D535B4"/>
    <w:rsid w:val="6A0A76A7"/>
    <w:rsid w:val="6A1D04E5"/>
    <w:rsid w:val="6A3D1848"/>
    <w:rsid w:val="6A8F3072"/>
    <w:rsid w:val="6AA91552"/>
    <w:rsid w:val="6ABF49BB"/>
    <w:rsid w:val="6AF065DC"/>
    <w:rsid w:val="6B201E21"/>
    <w:rsid w:val="6B4C2497"/>
    <w:rsid w:val="6B5670CE"/>
    <w:rsid w:val="6B6229B6"/>
    <w:rsid w:val="6BA80E99"/>
    <w:rsid w:val="6C3C5D10"/>
    <w:rsid w:val="6C537646"/>
    <w:rsid w:val="6C860441"/>
    <w:rsid w:val="6C8E3219"/>
    <w:rsid w:val="6C8F41B7"/>
    <w:rsid w:val="6CFF56E3"/>
    <w:rsid w:val="6D3E5E8C"/>
    <w:rsid w:val="6DB95620"/>
    <w:rsid w:val="6E482711"/>
    <w:rsid w:val="6EA21649"/>
    <w:rsid w:val="6ED26B2E"/>
    <w:rsid w:val="6F2B3215"/>
    <w:rsid w:val="6F8C4E3C"/>
    <w:rsid w:val="711A294B"/>
    <w:rsid w:val="711E68C0"/>
    <w:rsid w:val="71537683"/>
    <w:rsid w:val="71B72890"/>
    <w:rsid w:val="722C6DFF"/>
    <w:rsid w:val="7283566E"/>
    <w:rsid w:val="72DC5206"/>
    <w:rsid w:val="72F7105E"/>
    <w:rsid w:val="73126E5B"/>
    <w:rsid w:val="736B0B77"/>
    <w:rsid w:val="737A1DC7"/>
    <w:rsid w:val="73A6484A"/>
    <w:rsid w:val="73E55BF9"/>
    <w:rsid w:val="7402406B"/>
    <w:rsid w:val="741D4EA0"/>
    <w:rsid w:val="747C750C"/>
    <w:rsid w:val="749D0A1F"/>
    <w:rsid w:val="749E07F9"/>
    <w:rsid w:val="74AA23B3"/>
    <w:rsid w:val="74E7523A"/>
    <w:rsid w:val="753A5197"/>
    <w:rsid w:val="75582168"/>
    <w:rsid w:val="757B53BC"/>
    <w:rsid w:val="758A61B4"/>
    <w:rsid w:val="758C40A0"/>
    <w:rsid w:val="760D207B"/>
    <w:rsid w:val="763614E2"/>
    <w:rsid w:val="76D164BA"/>
    <w:rsid w:val="76FB4F8A"/>
    <w:rsid w:val="774441A9"/>
    <w:rsid w:val="77770D4A"/>
    <w:rsid w:val="77B358A8"/>
    <w:rsid w:val="77B36E74"/>
    <w:rsid w:val="77BD3084"/>
    <w:rsid w:val="77F205C7"/>
    <w:rsid w:val="77F55C50"/>
    <w:rsid w:val="78370287"/>
    <w:rsid w:val="78874D6A"/>
    <w:rsid w:val="78BB4AB0"/>
    <w:rsid w:val="78D061DD"/>
    <w:rsid w:val="794E606D"/>
    <w:rsid w:val="79873AE6"/>
    <w:rsid w:val="79E75EB5"/>
    <w:rsid w:val="79F20F25"/>
    <w:rsid w:val="79FF4DD4"/>
    <w:rsid w:val="7A037D42"/>
    <w:rsid w:val="7A124F5C"/>
    <w:rsid w:val="7A3727C0"/>
    <w:rsid w:val="7A545120"/>
    <w:rsid w:val="7A593BA7"/>
    <w:rsid w:val="7A687F5B"/>
    <w:rsid w:val="7A8771B0"/>
    <w:rsid w:val="7AAC7E6C"/>
    <w:rsid w:val="7AE42945"/>
    <w:rsid w:val="7AFB559C"/>
    <w:rsid w:val="7AFC4A03"/>
    <w:rsid w:val="7B010176"/>
    <w:rsid w:val="7B231036"/>
    <w:rsid w:val="7B6E5C59"/>
    <w:rsid w:val="7B7C130E"/>
    <w:rsid w:val="7BB816DF"/>
    <w:rsid w:val="7BE16BEA"/>
    <w:rsid w:val="7BFA3E64"/>
    <w:rsid w:val="7C761F17"/>
    <w:rsid w:val="7CB01360"/>
    <w:rsid w:val="7D0821F2"/>
    <w:rsid w:val="7D0E2E3B"/>
    <w:rsid w:val="7E123328"/>
    <w:rsid w:val="7E374B3D"/>
    <w:rsid w:val="7E53166C"/>
    <w:rsid w:val="7E9D330E"/>
    <w:rsid w:val="7EAB72D9"/>
    <w:rsid w:val="7F080287"/>
    <w:rsid w:val="7F11604F"/>
    <w:rsid w:val="7F1A73CD"/>
    <w:rsid w:val="7F36017E"/>
    <w:rsid w:val="7F49561D"/>
    <w:rsid w:val="7F497047"/>
    <w:rsid w:val="7F587460"/>
    <w:rsid w:val="7F6E1CA8"/>
    <w:rsid w:val="7F8244DD"/>
    <w:rsid w:val="7F8434DF"/>
    <w:rsid w:val="7FA95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Message Header"/>
    <w:basedOn w:val="1"/>
    <w:next w:val="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4"/>
    <w:qFormat/>
    <w:uiPriority w:val="0"/>
    <w:pPr>
      <w:spacing w:after="120" w:afterAutospacing="0"/>
    </w:pPr>
    <w:rPr>
      <w:rFonts w:ascii="Times New Roman" w:hAnsi="Times New Roman"/>
    </w:rPr>
  </w:style>
  <w:style w:type="paragraph" w:styleId="4">
    <w:name w:val="Body Text First Indent"/>
    <w:basedOn w:val="3"/>
    <w:next w:val="1"/>
    <w:qFormat/>
    <w:uiPriority w:val="0"/>
    <w:pPr>
      <w:ind w:firstLine="100" w:firstLineChars="100"/>
    </w:pPr>
  </w:style>
  <w:style w:type="paragraph" w:styleId="6">
    <w:name w:val="Normal Indent"/>
    <w:basedOn w:val="1"/>
    <w:next w:val="1"/>
    <w:qFormat/>
    <w:uiPriority w:val="0"/>
    <w:pPr>
      <w:widowControl w:val="0"/>
      <w:ind w:firstLine="200" w:firstLineChars="200"/>
      <w:jc w:val="both"/>
    </w:pPr>
    <w:rPr>
      <w:rFonts w:ascii="Times New Roman" w:hAnsi="Times New Roman" w:eastAsia="宋体" w:cs="Times New Roman"/>
      <w:sz w:val="32"/>
      <w:szCs w:val="32"/>
      <w:lang w:val="en-US" w:eastAsia="zh-CN" w:bidi="ar-SA"/>
    </w:rPr>
  </w:style>
  <w:style w:type="paragraph" w:styleId="7">
    <w:name w:val="annotation text"/>
    <w:basedOn w:val="1"/>
    <w:qFormat/>
    <w:uiPriority w:val="0"/>
    <w:pPr>
      <w:jc w:val="left"/>
    </w:pPr>
  </w:style>
  <w:style w:type="paragraph" w:styleId="8">
    <w:name w:val="Body Text Indent"/>
    <w:basedOn w:val="1"/>
    <w:next w:val="6"/>
    <w:qFormat/>
    <w:uiPriority w:val="0"/>
    <w:pPr>
      <w:spacing w:line="600" w:lineRule="exact"/>
      <w:ind w:firstLine="600"/>
    </w:pPr>
    <w:rPr>
      <w:rFonts w:eastAsia="仿宋_GB2312"/>
      <w:sz w:val="30"/>
      <w:szCs w:val="30"/>
      <w:u w:val="single"/>
    </w:rPr>
  </w:style>
  <w:style w:type="paragraph" w:styleId="9">
    <w:name w:val="toc 5"/>
    <w:basedOn w:val="1"/>
    <w:next w:val="1"/>
    <w:qFormat/>
    <w:uiPriority w:val="0"/>
    <w:pPr>
      <w:ind w:left="1680" w:leftChars="800"/>
    </w:pPr>
    <w:rPr>
      <w:rFonts w:ascii="Times New Roman" w:hAnsi="Times New Roman"/>
    </w:rPr>
  </w:style>
  <w:style w:type="paragraph" w:styleId="10">
    <w:name w:val="toc 3"/>
    <w:basedOn w:val="1"/>
    <w:next w:val="1"/>
    <w:qFormat/>
    <w:uiPriority w:val="0"/>
    <w:pPr>
      <w:ind w:left="840" w:leftChars="400"/>
    </w:pPr>
  </w:style>
  <w:style w:type="paragraph" w:styleId="11">
    <w:name w:val="footer"/>
    <w:basedOn w:val="1"/>
    <w:next w:val="12"/>
    <w:qFormat/>
    <w:uiPriority w:val="0"/>
    <w:pPr>
      <w:tabs>
        <w:tab w:val="center" w:pos="4153"/>
        <w:tab w:val="right" w:pos="8306"/>
      </w:tabs>
      <w:snapToGrid w:val="0"/>
      <w:jc w:val="left"/>
    </w:pPr>
    <w:rPr>
      <w:sz w:val="18"/>
    </w:rPr>
  </w:style>
  <w:style w:type="paragraph" w:customStyle="1" w:styleId="12">
    <w:name w:val="索引 51"/>
    <w:basedOn w:val="1"/>
    <w:next w:val="1"/>
    <w:qFormat/>
    <w:uiPriority w:val="0"/>
    <w:pPr>
      <w:ind w:left="1680"/>
    </w:p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unhideWhenUsed/>
    <w:qFormat/>
    <w:uiPriority w:val="39"/>
    <w:pPr>
      <w:ind w:left="420" w:leftChars="200"/>
    </w:pPr>
  </w:style>
  <w:style w:type="paragraph" w:styleId="17">
    <w:name w:val="Normal (Web)"/>
    <w:basedOn w:val="1"/>
    <w:qFormat/>
    <w:uiPriority w:val="0"/>
    <w:rPr>
      <w:sz w:val="24"/>
    </w:rPr>
  </w:style>
  <w:style w:type="paragraph" w:styleId="18">
    <w:name w:val="Title"/>
    <w:basedOn w:val="1"/>
    <w:next w:val="1"/>
    <w:qFormat/>
    <w:uiPriority w:val="0"/>
    <w:pPr>
      <w:widowControl w:val="0"/>
      <w:spacing w:before="240" w:after="60"/>
      <w:jc w:val="center"/>
      <w:outlineLvl w:val="0"/>
    </w:pPr>
    <w:rPr>
      <w:rFonts w:ascii="Cambria" w:hAnsi="Cambria" w:eastAsia="宋体" w:cs="Times New Roman"/>
      <w:b/>
      <w:bCs/>
      <w:kern w:val="2"/>
      <w:sz w:val="21"/>
      <w:szCs w:val="24"/>
      <w:lang w:val="en-US" w:eastAsia="zh-CN" w:bidi="ar-SA"/>
    </w:rPr>
  </w:style>
  <w:style w:type="paragraph" w:styleId="19">
    <w:name w:val="Body Text First Indent 2"/>
    <w:basedOn w:val="8"/>
    <w:next w:val="1"/>
    <w:qFormat/>
    <w:uiPriority w:val="0"/>
    <w:pPr>
      <w:ind w:firstLine="200" w:firstLineChars="200"/>
    </w:pPr>
    <w:rPr>
      <w:rFonts w:ascii="Calibri" w:hAnsi="Calibri" w:eastAsia="宋体" w:cs="Times New Roman"/>
      <w:lang w:bidi="ar-SA"/>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0"/>
    <w:rPr>
      <w:i/>
    </w:rPr>
  </w:style>
  <w:style w:type="character" w:styleId="25">
    <w:name w:val="Hyperlink"/>
    <w:basedOn w:val="22"/>
    <w:unhideWhenUsed/>
    <w:qFormat/>
    <w:uiPriority w:val="99"/>
    <w:rPr>
      <w:color w:val="0563C1"/>
      <w:u w:val="single"/>
    </w:rPr>
  </w:style>
  <w:style w:type="character" w:styleId="26">
    <w:name w:val="footnote reference"/>
    <w:basedOn w:val="22"/>
    <w:qFormat/>
    <w:uiPriority w:val="0"/>
    <w:rPr>
      <w:vertAlign w:val="superscript"/>
    </w:rPr>
  </w:style>
  <w:style w:type="paragraph" w:customStyle="1" w:styleId="27">
    <w:name w:val="正文文本缩进1"/>
    <w:qFormat/>
    <w:uiPriority w:val="0"/>
    <w:pPr>
      <w:widowControl w:val="0"/>
      <w:spacing w:line="620" w:lineRule="exact"/>
      <w:ind w:firstLine="640" w:firstLineChars="200"/>
      <w:jc w:val="left"/>
    </w:pPr>
    <w:rPr>
      <w:rFonts w:ascii="Calibri" w:hAnsi="Calibri" w:eastAsia="仿宋_GB2312" w:cs="Times New Roman"/>
      <w:kern w:val="2"/>
      <w:sz w:val="32"/>
      <w:szCs w:val="24"/>
      <w:lang w:val="en-US" w:eastAsia="zh-CN" w:bidi="ar-SA"/>
    </w:rPr>
  </w:style>
  <w:style w:type="paragraph" w:customStyle="1" w:styleId="28">
    <w:name w:val="內文"/>
    <w:qFormat/>
    <w:uiPriority w:val="0"/>
    <w:pPr>
      <w:widowControl w:val="0"/>
    </w:pPr>
    <w:rPr>
      <w:rFonts w:ascii="等线" w:hAnsi="等线" w:eastAsia="等线" w:cs="Times New Roman"/>
      <w:kern w:val="2"/>
      <w:sz w:val="21"/>
      <w:szCs w:val="21"/>
      <w:lang w:val="en-US" w:eastAsia="zh-CN" w:bidi="ar-SA"/>
    </w:rPr>
  </w:style>
  <w:style w:type="character" w:customStyle="1" w:styleId="29">
    <w:name w:val="font61"/>
    <w:basedOn w:val="22"/>
    <w:qFormat/>
    <w:uiPriority w:val="0"/>
    <w:rPr>
      <w:rFonts w:hint="eastAsia" w:ascii="方正仿宋_GBK" w:hAnsi="方正仿宋_GBK" w:eastAsia="方正仿宋_GBK" w:cs="方正仿宋_GBK"/>
      <w:color w:val="FF0000"/>
      <w:sz w:val="22"/>
      <w:szCs w:val="22"/>
      <w:u w:val="none"/>
    </w:rPr>
  </w:style>
  <w:style w:type="paragraph" w:customStyle="1" w:styleId="30">
    <w:name w:val="正文首行缩进1"/>
    <w:basedOn w:val="3"/>
    <w:qFormat/>
    <w:uiPriority w:val="0"/>
    <w:pPr>
      <w:adjustRightInd w:val="0"/>
      <w:spacing w:line="275" w:lineRule="atLeast"/>
      <w:ind w:firstLine="420"/>
      <w:textAlignment w:val="baseline"/>
    </w:pPr>
    <w:rPr>
      <w:rFonts w:eastAsia="楷体_GB2312" w:cs="Times New Roman"/>
    </w:rPr>
  </w:style>
  <w:style w:type="character" w:customStyle="1" w:styleId="31">
    <w:name w:val="NormalCharacter"/>
    <w:qFormat/>
    <w:uiPriority w:val="0"/>
    <w:rPr>
      <w:rFonts w:ascii="Calibri" w:hAnsi="Calibri" w:eastAsia="宋体" w:cs="宋体"/>
      <w:kern w:val="2"/>
      <w:sz w:val="21"/>
      <w:szCs w:val="24"/>
      <w:lang w:val="en-US" w:eastAsia="zh-CN" w:bidi="ar-SA"/>
    </w:rPr>
  </w:style>
  <w:style w:type="character" w:customStyle="1" w:styleId="32">
    <w:name w:val="font11"/>
    <w:basedOn w:val="22"/>
    <w:qFormat/>
    <w:uiPriority w:val="0"/>
    <w:rPr>
      <w:rFonts w:hint="eastAsia" w:ascii="方正黑体_GBK" w:hAnsi="方正黑体_GBK" w:eastAsia="方正黑体_GBK" w:cs="方正黑体_GBK"/>
      <w:color w:val="000000"/>
      <w:sz w:val="20"/>
      <w:szCs w:val="20"/>
      <w:u w:val="none"/>
    </w:rPr>
  </w:style>
  <w:style w:type="character" w:customStyle="1" w:styleId="33">
    <w:name w:val="font21"/>
    <w:basedOn w:val="22"/>
    <w:qFormat/>
    <w:uiPriority w:val="0"/>
    <w:rPr>
      <w:rFonts w:hint="default" w:ascii="Times New Roman" w:hAnsi="Times New Roman" w:cs="Times New Roman"/>
      <w:color w:val="000000"/>
      <w:sz w:val="20"/>
      <w:szCs w:val="20"/>
      <w:u w:val="none"/>
    </w:rPr>
  </w:style>
  <w:style w:type="character" w:customStyle="1" w:styleId="34">
    <w:name w:val="font91"/>
    <w:basedOn w:val="22"/>
    <w:qFormat/>
    <w:uiPriority w:val="0"/>
    <w:rPr>
      <w:rFonts w:hint="eastAsia" w:ascii="宋体" w:hAnsi="宋体" w:eastAsia="宋体" w:cs="宋体"/>
      <w:color w:val="000000"/>
      <w:sz w:val="20"/>
      <w:szCs w:val="20"/>
      <w:u w:val="none"/>
    </w:rPr>
  </w:style>
  <w:style w:type="character" w:customStyle="1" w:styleId="35">
    <w:name w:val="font81"/>
    <w:basedOn w:val="22"/>
    <w:qFormat/>
    <w:uiPriority w:val="0"/>
    <w:rPr>
      <w:rFonts w:hint="eastAsia" w:ascii="宋体" w:hAnsi="宋体" w:eastAsia="宋体" w:cs="宋体"/>
      <w:color w:val="000000"/>
      <w:sz w:val="20"/>
      <w:szCs w:val="20"/>
      <w:u w:val="none"/>
    </w:rPr>
  </w:style>
  <w:style w:type="character" w:customStyle="1" w:styleId="36">
    <w:name w:val="font51"/>
    <w:basedOn w:val="22"/>
    <w:qFormat/>
    <w:uiPriority w:val="0"/>
    <w:rPr>
      <w:rFonts w:hint="default" w:ascii="Times New Roman" w:hAnsi="Times New Roman" w:cs="Times New Roman"/>
      <w:color w:val="000000"/>
      <w:sz w:val="20"/>
      <w:szCs w:val="20"/>
      <w:u w:val="none"/>
    </w:rPr>
  </w:style>
  <w:style w:type="character" w:customStyle="1" w:styleId="37">
    <w:name w:val="font41"/>
    <w:basedOn w:val="22"/>
    <w:qFormat/>
    <w:uiPriority w:val="0"/>
    <w:rPr>
      <w:rFonts w:hint="eastAsia" w:ascii="方正仿宋_GBK" w:hAnsi="方正仿宋_GBK" w:eastAsia="方正仿宋_GBK" w:cs="方正仿宋_GBK"/>
      <w:color w:val="000000"/>
      <w:sz w:val="20"/>
      <w:szCs w:val="20"/>
      <w:u w:val="none"/>
    </w:rPr>
  </w:style>
  <w:style w:type="paragraph" w:customStyle="1" w:styleId="38">
    <w:name w:val="标头1"/>
    <w:basedOn w:val="39"/>
    <w:qFormat/>
    <w:uiPriority w:val="0"/>
    <w:pPr>
      <w:adjustRightInd w:val="0"/>
      <w:snapToGrid w:val="0"/>
      <w:spacing w:line="300" w:lineRule="exact"/>
      <w:ind w:right="1600" w:rightChars="1600"/>
      <w:jc w:val="distribute"/>
    </w:pPr>
    <w:rPr>
      <w:rFonts w:eastAsia="黑体"/>
      <w:sz w:val="28"/>
    </w:rPr>
  </w:style>
  <w:style w:type="paragraph" w:customStyle="1" w:styleId="39">
    <w:name w:val="内标"/>
    <w:basedOn w:val="1"/>
    <w:qFormat/>
    <w:uiPriority w:val="0"/>
    <w:pPr>
      <w:ind w:firstLine="0" w:firstLineChars="0"/>
      <w:jc w:val="center"/>
    </w:pPr>
    <w:rPr>
      <w:rFonts w:eastAsia="方正黑体_GBK" w:cs="方正黑体_GBK"/>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140</Pages>
  <Words>4595</Words>
  <Characters>4858</Characters>
  <Lines>0</Lines>
  <Paragraphs>0</Paragraphs>
  <TotalTime>35</TotalTime>
  <ScaleCrop>false</ScaleCrop>
  <LinksUpToDate>false</LinksUpToDate>
  <CharactersWithSpaces>6106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2025-11-28T09:37:00Z</dcterms:created>
  <dc:creator>彩彩</dc:creator>
  <cp:lastModifiedBy>马桢曜</cp:lastModifiedBy>
  <cp:lastPrinted>2026-02-02T06:38:00Z</cp:lastPrinted>
  <dcterms:modified xsi:type="dcterms:W3CDTF">2026-08-19T09:35:06Z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4D32FF87A33449748358A90BDA9D8750_13</vt:lpwstr>
  </property>
  <property fmtid="{D5CDD505-2E9C-101B-9397-08002B2CF9AE}" pid="4" name="KSOTemplateDocerSaveRecord">
    <vt:lpwstr>eyJoZGlkIjoiYzJkZWZiMDU3YWRmNjg3OTEwYzUyYTIwZThiNjY5YTMiLCJ1c2VySWQiOiIxOTU1ODQ5NDYifQ==</vt:lpwstr>
  </property>
</Properties>
</file>