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spacing w:val="0"/>
          <w:sz w:val="44"/>
          <w:szCs w:val="44"/>
          <w:highlight w:val="none"/>
          <w:lang w:eastAsia="zh-CN"/>
        </w:rPr>
      </w:pPr>
      <w:r>
        <w:rPr>
          <w:rFonts w:hint="default" w:ascii="Times New Roman" w:hAnsi="Times New Roman" w:eastAsia="方正小标宋_GBK" w:cs="Times New Roman"/>
          <w:color w:val="auto"/>
          <w:spacing w:val="0"/>
          <w:sz w:val="44"/>
          <w:szCs w:val="44"/>
          <w:highlight w:val="none"/>
          <w:lang w:eastAsia="zh-CN"/>
        </w:rPr>
        <w:t>重庆市渝中区人民政府办公室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关于废止部分规范性文件的决定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auto"/>
          <w:spacing w:val="0"/>
          <w:sz w:val="44"/>
          <w:szCs w:val="44"/>
          <w:shd w:val="clear" w:fill="FFFFFF"/>
          <w:lang w:eastAsia="zh-CN"/>
        </w:rPr>
      </w:pP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渝中府办〔2024〕55号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snapToGrid w:val="0"/>
          <w:color w:val="000000" w:themeColor="text1"/>
          <w:spacing w:val="0"/>
          <w:w w:val="100"/>
          <w:sz w:val="32"/>
          <w:szCs w:val="32"/>
          <w:highlight w:val="none"/>
          <w:lang w:val="en-US" w:eastAsia="zh-CN"/>
          <w14:textFill>
            <w14:solidFill>
              <w14:schemeClr w14:val="tx1"/>
            </w14:solidFill>
          </w14:textFill>
        </w:rPr>
        <w:t>区</w:t>
      </w:r>
      <w:r>
        <w:rPr>
          <w:rFonts w:hint="eastAsia" w:ascii="Times New Roman" w:hAnsi="Times New Roman" w:eastAsia="方正仿宋_GBK" w:cs="Times New Roman"/>
          <w:snapToGrid w:val="0"/>
          <w:color w:val="000000" w:themeColor="text1"/>
          <w:spacing w:val="0"/>
          <w:w w:val="100"/>
          <w:sz w:val="32"/>
          <w:szCs w:val="32"/>
          <w:highlight w:val="none"/>
          <w:lang w:val="en-US" w:eastAsia="zh-CN"/>
          <w14:textFill>
            <w14:solidFill>
              <w14:schemeClr w14:val="tx1"/>
            </w14:solidFill>
          </w14:textFill>
        </w:rPr>
        <w:t>政府</w:t>
      </w:r>
      <w:r>
        <w:rPr>
          <w:rFonts w:hint="default" w:ascii="Times New Roman" w:hAnsi="Times New Roman" w:eastAsia="方正仿宋_GBK" w:cs="Times New Roman"/>
          <w:snapToGrid w:val="0"/>
          <w:color w:val="000000" w:themeColor="text1"/>
          <w:spacing w:val="0"/>
          <w:w w:val="100"/>
          <w:sz w:val="32"/>
          <w:szCs w:val="32"/>
          <w:highlight w:val="none"/>
          <w:lang w:val="en-US" w:eastAsia="zh-CN"/>
          <w14:textFill>
            <w14:solidFill>
              <w14:schemeClr w14:val="tx1"/>
            </w14:solidFill>
          </w14:textFill>
        </w:rPr>
        <w:t>各部门、各管委会</w:t>
      </w:r>
      <w:r>
        <w:rPr>
          <w:rFonts w:hint="eastAsia" w:ascii="Times New Roman" w:hAnsi="Times New Roman" w:eastAsia="方正仿宋_GBK" w:cs="Times New Roman"/>
          <w:snapToGrid w:val="0"/>
          <w:color w:val="000000" w:themeColor="text1"/>
          <w:spacing w:val="0"/>
          <w:w w:val="100"/>
          <w:sz w:val="32"/>
          <w:szCs w:val="32"/>
          <w:highlight w:val="none"/>
          <w:lang w:val="en-US" w:eastAsia="zh-CN"/>
          <w14:textFill>
            <w14:solidFill>
              <w14:schemeClr w14:val="tx1"/>
            </w14:solidFill>
          </w14:textFill>
        </w:rPr>
        <w:t>，各</w:t>
      </w:r>
      <w:r>
        <w:rPr>
          <w:rFonts w:hint="default" w:ascii="Times New Roman" w:hAnsi="Times New Roman" w:eastAsia="方正仿宋_GBK" w:cs="Times New Roman"/>
          <w:snapToGrid w:val="0"/>
          <w:color w:val="000000" w:themeColor="text1"/>
          <w:spacing w:val="0"/>
          <w:w w:val="100"/>
          <w:sz w:val="32"/>
          <w:szCs w:val="32"/>
          <w:highlight w:val="none"/>
          <w:lang w:val="en-US" w:eastAsia="zh-CN"/>
          <w14:textFill>
            <w14:solidFill>
              <w14:schemeClr w14:val="tx1"/>
            </w14:solidFill>
          </w14:textFill>
        </w:rPr>
        <w:t>街道办事处</w:t>
      </w:r>
      <w:r>
        <w:rPr>
          <w:rFonts w:hint="eastAsia" w:ascii="Times New Roman" w:hAnsi="Times New Roman" w:eastAsia="方正仿宋_GBK" w:cs="Times New Roman"/>
          <w:snapToGrid w:val="0"/>
          <w:color w:val="000000" w:themeColor="text1"/>
          <w:spacing w:val="0"/>
          <w:w w:val="100"/>
          <w:sz w:val="32"/>
          <w:szCs w:val="32"/>
          <w:highlight w:val="none"/>
          <w:lang w:val="en-US" w:eastAsia="zh-CN"/>
          <w14:textFill>
            <w14:solidFill>
              <w14:schemeClr w14:val="tx1"/>
            </w14:solidFill>
          </w14:textFill>
        </w:rPr>
        <w:t>，有关单位</w:t>
      </w:r>
      <w:r>
        <w:rPr>
          <w:rFonts w:hint="default" w:ascii="Times New Roman" w:hAnsi="Times New Roman" w:eastAsia="方正仿宋_GBK" w:cs="Times New Roman"/>
          <w:snapToGrid w:val="0"/>
          <w:color w:val="000000" w:themeColor="text1"/>
          <w:spacing w:val="0"/>
          <w:w w:val="100"/>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napToGrid w:val="0"/>
          <w:color w:val="000000" w:themeColor="text1"/>
          <w:spacing w:val="0"/>
          <w:w w:val="100"/>
          <w:sz w:val="32"/>
          <w:szCs w:val="32"/>
          <w:highlight w:val="none"/>
          <w:lang w:val="en-US" w:eastAsia="zh-CN"/>
          <w14:textFill>
            <w14:solidFill>
              <w14:schemeClr w14:val="tx1"/>
            </w14:solidFill>
          </w14:textFill>
        </w:rPr>
      </w:pPr>
      <w:r>
        <w:rPr>
          <w:rFonts w:hint="default" w:ascii="Times New Roman" w:hAnsi="Times New Roman" w:eastAsia="方正仿宋_GBK" w:cs="Times New Roman"/>
          <w:snapToGrid w:val="0"/>
          <w:color w:val="000000" w:themeColor="text1"/>
          <w:spacing w:val="0"/>
          <w:w w:val="100"/>
          <w:sz w:val="32"/>
          <w:szCs w:val="32"/>
          <w:highlight w:val="none"/>
          <w:lang w:val="en-US" w:eastAsia="zh-CN"/>
          <w14:textFill>
            <w14:solidFill>
              <w14:schemeClr w14:val="tx1"/>
            </w14:solidFill>
          </w14:textFill>
        </w:rPr>
        <w:t>根据《重庆市行政规范性文件管理办法》要求，经区第十四届人民政府第98次常务会议审议，决定对《重庆市渝中区人民政府办公室关于印发〈渝中区推动产业高质量发展若干措施（试行）〉的通知》（渝中府办〔2022〕42号）等6件规范性文件予以废止，自本决定印发之日起不再施行</w:t>
      </w:r>
      <w:r>
        <w:rPr>
          <w:rFonts w:hint="eastAsia" w:ascii="Times New Roman" w:hAnsi="Times New Roman" w:eastAsia="方正仿宋_GBK" w:cs="Times New Roman"/>
          <w:snapToGrid w:val="0"/>
          <w:color w:val="000000" w:themeColor="text1"/>
          <w:spacing w:val="0"/>
          <w:w w:val="100"/>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color w:val="auto"/>
          <w:sz w:val="32"/>
          <w:szCs w:val="32"/>
        </w:rPr>
        <w:t>附件：废止规范性文件目录</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eastAsia" w:ascii="方正仿宋_GBK" w:hAnsi="方正仿宋_GBK" w:cs="方正仿宋_GBK" w:eastAsiaTheme="minorEastAsia"/>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jc w:val="righ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jc w:val="righ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重庆市渝中区人民政府办公室</w:t>
      </w:r>
      <w:r>
        <w:rPr>
          <w:rFonts w:hint="default" w:ascii="方正仿宋_GBK" w:hAnsi="方正仿宋_GBK" w:eastAsia="方正仿宋_GBK" w:cs="方正仿宋_GBK"/>
          <w:kern w:val="0"/>
          <w:sz w:val="32"/>
          <w:szCs w:val="32"/>
          <w:shd w:val="clear" w:color="auto" w:fill="FFFFFF"/>
          <w:lang w:eastAsia="zh-CN" w:bidi="ar-SA"/>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jc w:val="righ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2024年10月10日</w:t>
      </w:r>
      <w:r>
        <w:rPr>
          <w:rFonts w:hint="default" w:ascii="Times New Roman" w:hAnsi="Times New Roman" w:eastAsia="方正仿宋_GBK" w:cs="Times New Roman"/>
          <w:kern w:val="0"/>
          <w:sz w:val="32"/>
          <w:szCs w:val="32"/>
          <w:shd w:val="clear" w:color="auto" w:fill="FFFFFF"/>
          <w:lang w:eastAsia="zh-CN" w:bidi="ar-SA"/>
        </w:rPr>
        <w:t xml:space="preserve"> </w:t>
      </w:r>
      <w:r>
        <w:rPr>
          <w:rFonts w:hint="default" w:ascii="方正仿宋_GBK" w:hAnsi="方正仿宋_GBK" w:eastAsia="方正仿宋_GBK" w:cs="方正仿宋_GBK"/>
          <w:kern w:val="0"/>
          <w:sz w:val="32"/>
          <w:szCs w:val="32"/>
          <w:shd w:val="clear" w:color="auto" w:fill="FFFFFF"/>
          <w:lang w:eastAsia="zh-CN" w:bidi="ar-SA"/>
        </w:rPr>
        <w:t xml:space="preserve">  </w:t>
      </w:r>
      <w:r>
        <w:rPr>
          <w:rFonts w:hint="eastAsia" w:ascii="方正仿宋_GBK" w:hAnsi="方正仿宋_GBK" w:eastAsia="方正仿宋_GBK" w:cs="方正仿宋_GBK"/>
          <w:kern w:val="0"/>
          <w:sz w:val="32"/>
          <w:szCs w:val="32"/>
          <w:shd w:val="clear" w:color="auto" w:fill="FFFFFF"/>
          <w:lang w:val="en-US" w:eastAsia="zh-CN" w:bidi="ar-SA"/>
        </w:rPr>
        <w:t xml:space="preserve"> </w:t>
      </w:r>
    </w:p>
    <w:p>
      <w:pPr>
        <w:pStyle w:val="3"/>
        <w:keepNext w:val="0"/>
        <w:keepLines w:val="0"/>
        <w:pageBreakBefore w:val="0"/>
        <w:widowControl w:val="0"/>
        <w:kinsoku/>
        <w:wordWrap/>
        <w:overflowPunct w:val="0"/>
        <w:topLinePunct w:val="0"/>
        <w:autoSpaceDE/>
        <w:autoSpaceDN/>
        <w:bidi w:val="0"/>
        <w:adjustRightInd/>
        <w:snapToGrid/>
        <w:spacing w:after="0" w:line="600" w:lineRule="exact"/>
        <w:ind w:left="0" w:leftChars="0" w:right="0" w:rightChars="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pStyle w:val="3"/>
        <w:keepNext w:val="0"/>
        <w:keepLines w:val="0"/>
        <w:pageBreakBefore w:val="0"/>
        <w:widowControl w:val="0"/>
        <w:kinsoku/>
        <w:wordWrap/>
        <w:overflowPunct w:val="0"/>
        <w:topLinePunct w:val="0"/>
        <w:autoSpaceDE/>
        <w:autoSpaceDN/>
        <w:bidi w:val="0"/>
        <w:adjustRightInd/>
        <w:snapToGrid/>
        <w:spacing w:after="0"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br w:type="page"/>
      </w:r>
    </w:p>
    <w:p>
      <w:pPr>
        <w:pStyle w:val="3"/>
        <w:keepNext w:val="0"/>
        <w:keepLines w:val="0"/>
        <w:pageBreakBefore w:val="0"/>
        <w:widowControl w:val="0"/>
        <w:kinsoku/>
        <w:wordWrap/>
        <w:overflowPunct w:val="0"/>
        <w:topLinePunct w:val="0"/>
        <w:autoSpaceDE/>
        <w:autoSpaceDN/>
        <w:bidi w:val="0"/>
        <w:adjustRightInd/>
        <w:snapToGrid/>
        <w:spacing w:after="0" w:line="600" w:lineRule="exact"/>
        <w:ind w:left="0" w:leftChars="0" w:right="0" w:rightChars="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附件</w:t>
      </w:r>
    </w:p>
    <w:p>
      <w:pPr>
        <w:pStyle w:val="3"/>
        <w:keepNext w:val="0"/>
        <w:keepLines w:val="0"/>
        <w:pageBreakBefore w:val="0"/>
        <w:widowControl w:val="0"/>
        <w:kinsoku/>
        <w:wordWrap/>
        <w:overflowPunct w:val="0"/>
        <w:topLinePunct w:val="0"/>
        <w:autoSpaceDE/>
        <w:autoSpaceDN/>
        <w:bidi w:val="0"/>
        <w:adjustRightInd/>
        <w:snapToGrid/>
        <w:spacing w:after="0" w:line="600" w:lineRule="exact"/>
        <w:ind w:left="0" w:leftChars="0" w:right="0" w:rightChars="0"/>
        <w:textAlignment w:val="auto"/>
        <w:rPr>
          <w:rFonts w:hint="default" w:ascii="Times New Roman" w:hAnsi="Times New Roman" w:eastAsia="方正黑体_GBK" w:cs="Times New Roman"/>
          <w:color w:val="000000"/>
          <w:sz w:val="32"/>
          <w:szCs w:val="32"/>
        </w:rPr>
      </w:pPr>
    </w:p>
    <w:p>
      <w:pPr>
        <w:pStyle w:val="3"/>
        <w:keepNext w:val="0"/>
        <w:keepLines w:val="0"/>
        <w:pageBreakBefore w:val="0"/>
        <w:widowControl w:val="0"/>
        <w:kinsoku/>
        <w:wordWrap/>
        <w:overflowPunct w:val="0"/>
        <w:topLinePunct w:val="0"/>
        <w:autoSpaceDE/>
        <w:autoSpaceDN/>
        <w:bidi w:val="0"/>
        <w:adjustRightInd/>
        <w:snapToGrid/>
        <w:spacing w:after="0" w:line="600" w:lineRule="exact"/>
        <w:ind w:left="0" w:leftChars="0" w:right="0" w:rightChars="0"/>
        <w:jc w:val="center"/>
        <w:textAlignment w:val="auto"/>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color w:val="000000"/>
          <w:kern w:val="0"/>
          <w:sz w:val="44"/>
          <w:szCs w:val="44"/>
        </w:rPr>
        <w:t>废止规范性文件目录</w:t>
      </w:r>
    </w:p>
    <w:tbl>
      <w:tblPr>
        <w:tblStyle w:val="11"/>
        <w:tblpPr w:leftFromText="180" w:rightFromText="180" w:vertAnchor="text" w:horzAnchor="margin" w:tblpXSpec="center" w:tblpY="636"/>
        <w:tblOverlap w:val="never"/>
        <w:tblW w:w="8999" w:type="dxa"/>
        <w:jc w:val="center"/>
        <w:tblInd w:w="2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4908"/>
        <w:gridCol w:w="3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945"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方正黑体_GBK" w:cs="Times New Roman"/>
                <w:bCs/>
                <w:color w:val="000000"/>
                <w:kern w:val="0"/>
                <w:sz w:val="28"/>
                <w:szCs w:val="28"/>
              </w:rPr>
            </w:pPr>
            <w:r>
              <w:rPr>
                <w:rFonts w:hint="default" w:ascii="Times New Roman" w:hAnsi="Times New Roman" w:eastAsia="方正黑体_GBK" w:cs="Times New Roman"/>
                <w:bCs/>
                <w:color w:val="000000"/>
                <w:kern w:val="0"/>
                <w:sz w:val="28"/>
                <w:szCs w:val="28"/>
              </w:rPr>
              <w:t>序号</w:t>
            </w:r>
          </w:p>
        </w:tc>
        <w:tc>
          <w:tcPr>
            <w:tcW w:w="4908"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方正黑体_GBK" w:cs="Times New Roman"/>
                <w:bCs/>
                <w:color w:val="000000"/>
                <w:kern w:val="0"/>
                <w:sz w:val="28"/>
                <w:szCs w:val="28"/>
              </w:rPr>
            </w:pPr>
            <w:r>
              <w:rPr>
                <w:rFonts w:hint="default" w:ascii="Times New Roman" w:hAnsi="Times New Roman" w:eastAsia="方正黑体_GBK" w:cs="Times New Roman"/>
                <w:bCs/>
                <w:color w:val="000000"/>
                <w:kern w:val="0"/>
                <w:sz w:val="28"/>
                <w:szCs w:val="28"/>
              </w:rPr>
              <w:t>文件名称</w:t>
            </w:r>
          </w:p>
        </w:tc>
        <w:tc>
          <w:tcPr>
            <w:tcW w:w="3146"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方正黑体_GBK" w:cs="Times New Roman"/>
                <w:bCs/>
                <w:color w:val="000000"/>
                <w:kern w:val="0"/>
                <w:sz w:val="28"/>
                <w:szCs w:val="28"/>
              </w:rPr>
            </w:pPr>
            <w:r>
              <w:rPr>
                <w:rFonts w:hint="default" w:ascii="Times New Roman" w:hAnsi="Times New Roman" w:eastAsia="方正黑体_GBK" w:cs="Times New Roman"/>
                <w:bCs/>
                <w:color w:val="000000"/>
                <w:kern w:val="0"/>
                <w:sz w:val="28"/>
                <w:szCs w:val="28"/>
              </w:rPr>
              <w:t>文件号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jc w:val="center"/>
        </w:trPr>
        <w:tc>
          <w:tcPr>
            <w:tcW w:w="945"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w:t>
            </w:r>
          </w:p>
        </w:tc>
        <w:tc>
          <w:tcPr>
            <w:tcW w:w="4908"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pacing w:val="0"/>
                <w:kern w:val="0"/>
                <w:sz w:val="28"/>
                <w:szCs w:val="28"/>
              </w:rPr>
            </w:pPr>
            <w:r>
              <w:rPr>
                <w:rFonts w:hint="default" w:ascii="Times New Roman" w:hAnsi="Times New Roman" w:eastAsia="方正仿宋_GBK" w:cs="Times New Roman"/>
                <w:color w:val="000000"/>
                <w:spacing w:val="0"/>
                <w:kern w:val="0"/>
                <w:sz w:val="28"/>
                <w:szCs w:val="28"/>
                <w:lang w:val="en-US" w:eastAsia="zh-CN"/>
              </w:rPr>
              <w:t>重庆市渝中区人民政府办公室关于印发《渝中区推动产业高质量发展若干措施（试行）》的通知</w:t>
            </w:r>
          </w:p>
        </w:tc>
        <w:tc>
          <w:tcPr>
            <w:tcW w:w="3146"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pacing w:val="0"/>
                <w:kern w:val="0"/>
                <w:sz w:val="28"/>
                <w:szCs w:val="28"/>
              </w:rPr>
            </w:pPr>
            <w:r>
              <w:rPr>
                <w:rFonts w:hint="default" w:ascii="Times New Roman" w:hAnsi="Times New Roman" w:eastAsia="方正仿宋_GBK" w:cs="Times New Roman"/>
                <w:color w:val="000000"/>
                <w:spacing w:val="0"/>
                <w:kern w:val="0"/>
                <w:sz w:val="28"/>
                <w:szCs w:val="28"/>
                <w:lang w:val="en-US" w:eastAsia="zh-CN"/>
              </w:rPr>
              <w:t>渝中府办</w:t>
            </w:r>
            <w:bookmarkStart w:id="0" w:name="_GoBack"/>
            <w:bookmarkEnd w:id="0"/>
            <w:r>
              <w:rPr>
                <w:rFonts w:hint="default" w:ascii="Times New Roman" w:hAnsi="Times New Roman" w:eastAsia="方正仿宋_GBK" w:cs="Times New Roman"/>
                <w:color w:val="000000"/>
                <w:spacing w:val="0"/>
                <w:kern w:val="0"/>
                <w:sz w:val="28"/>
                <w:szCs w:val="28"/>
                <w:lang w:val="en-US" w:eastAsia="zh-CN"/>
              </w:rPr>
              <w:t>〔2022〕42号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945"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w:t>
            </w:r>
          </w:p>
        </w:tc>
        <w:tc>
          <w:tcPr>
            <w:tcW w:w="4908"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pacing w:val="0"/>
                <w:kern w:val="0"/>
                <w:sz w:val="28"/>
                <w:szCs w:val="28"/>
              </w:rPr>
            </w:pPr>
            <w:r>
              <w:rPr>
                <w:rFonts w:hint="default" w:ascii="Times New Roman" w:hAnsi="Times New Roman" w:eastAsia="方正仿宋_GBK" w:cs="Times New Roman"/>
                <w:color w:val="000000"/>
                <w:spacing w:val="0"/>
                <w:kern w:val="0"/>
                <w:sz w:val="28"/>
                <w:szCs w:val="28"/>
                <w:lang w:val="en-US" w:eastAsia="zh-CN"/>
              </w:rPr>
              <w:t>重庆市渝中区人民政府办公室关于印发《渝中区关于推进金融科技应用与发展扶持办法》的通知</w:t>
            </w:r>
          </w:p>
        </w:tc>
        <w:tc>
          <w:tcPr>
            <w:tcW w:w="3146"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pacing w:val="0"/>
                <w:kern w:val="0"/>
                <w:sz w:val="28"/>
                <w:szCs w:val="28"/>
              </w:rPr>
            </w:pPr>
            <w:r>
              <w:rPr>
                <w:rFonts w:hint="default" w:ascii="Times New Roman" w:hAnsi="Times New Roman" w:eastAsia="方正仿宋_GBK" w:cs="Times New Roman"/>
                <w:color w:val="000000"/>
                <w:spacing w:val="0"/>
                <w:kern w:val="0"/>
                <w:sz w:val="28"/>
                <w:szCs w:val="28"/>
                <w:lang w:val="en-US" w:eastAsia="zh-CN"/>
              </w:rPr>
              <w:t>渝中府办〔2020〕32号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945"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w:t>
            </w:r>
          </w:p>
        </w:tc>
        <w:tc>
          <w:tcPr>
            <w:tcW w:w="4908"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pacing w:val="0"/>
                <w:kern w:val="0"/>
                <w:sz w:val="28"/>
                <w:szCs w:val="28"/>
              </w:rPr>
            </w:pPr>
            <w:r>
              <w:rPr>
                <w:rFonts w:hint="default" w:ascii="Times New Roman" w:hAnsi="Times New Roman" w:eastAsia="方正仿宋_GBK" w:cs="Times New Roman"/>
                <w:color w:val="000000"/>
                <w:spacing w:val="0"/>
                <w:kern w:val="0"/>
                <w:sz w:val="28"/>
                <w:szCs w:val="28"/>
                <w:lang w:val="en-US" w:eastAsia="zh-CN"/>
              </w:rPr>
              <w:t>重庆市渝中区人民政府办公室关于印发《渝中区提升经济证券化水平行动计划实施方案（2018—2022年）》的通知</w:t>
            </w:r>
          </w:p>
        </w:tc>
        <w:tc>
          <w:tcPr>
            <w:tcW w:w="3146"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pacing w:val="0"/>
                <w:kern w:val="0"/>
                <w:sz w:val="28"/>
                <w:szCs w:val="28"/>
              </w:rPr>
            </w:pPr>
            <w:r>
              <w:rPr>
                <w:rFonts w:hint="default" w:ascii="Times New Roman" w:hAnsi="Times New Roman" w:eastAsia="方正仿宋_GBK" w:cs="Times New Roman"/>
                <w:color w:val="000000"/>
                <w:spacing w:val="0"/>
                <w:kern w:val="0"/>
                <w:sz w:val="28"/>
                <w:szCs w:val="28"/>
                <w:lang w:val="en-US" w:eastAsia="zh-CN"/>
              </w:rPr>
              <w:t>渝中府办〔2019〕21号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945"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4</w:t>
            </w:r>
          </w:p>
        </w:tc>
        <w:tc>
          <w:tcPr>
            <w:tcW w:w="4908"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pacing w:val="0"/>
                <w:kern w:val="0"/>
                <w:sz w:val="28"/>
                <w:szCs w:val="28"/>
              </w:rPr>
            </w:pPr>
            <w:r>
              <w:rPr>
                <w:rFonts w:hint="default" w:ascii="Times New Roman" w:hAnsi="Times New Roman" w:eastAsia="方正仿宋_GBK" w:cs="Times New Roman"/>
                <w:color w:val="000000"/>
                <w:spacing w:val="0"/>
                <w:kern w:val="0"/>
                <w:sz w:val="28"/>
                <w:szCs w:val="28"/>
              </w:rPr>
              <w:t>重庆市渝中区人民政府办公室关于印发《渝中区鼓励企业挂牌上市扶持办法》的通知</w:t>
            </w:r>
          </w:p>
        </w:tc>
        <w:tc>
          <w:tcPr>
            <w:tcW w:w="3146"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pacing w:val="0"/>
                <w:kern w:val="0"/>
                <w:sz w:val="28"/>
                <w:szCs w:val="28"/>
              </w:rPr>
            </w:pPr>
            <w:r>
              <w:rPr>
                <w:rFonts w:hint="default" w:ascii="Times New Roman" w:hAnsi="Times New Roman" w:eastAsia="方正仿宋_GBK" w:cs="Times New Roman"/>
                <w:color w:val="000000"/>
                <w:spacing w:val="0"/>
                <w:kern w:val="0"/>
                <w:sz w:val="28"/>
                <w:szCs w:val="28"/>
              </w:rPr>
              <w:t>渝中府办〔2021〕20号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945"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方正仿宋_GBK" w:cs="Times New Roman"/>
                <w:color w:val="000000"/>
                <w:kern w:val="0"/>
                <w:sz w:val="28"/>
                <w:szCs w:val="28"/>
                <w:lang w:val="en-US" w:eastAsia="zh-CN"/>
              </w:rPr>
            </w:pPr>
            <w:r>
              <w:rPr>
                <w:rFonts w:hint="default" w:ascii="Times New Roman" w:hAnsi="Times New Roman" w:eastAsia="方正仿宋_GBK" w:cs="Times New Roman"/>
                <w:color w:val="000000"/>
                <w:kern w:val="0"/>
                <w:sz w:val="28"/>
                <w:szCs w:val="28"/>
                <w:lang w:val="en-US" w:eastAsia="zh-CN"/>
              </w:rPr>
              <w:t>5</w:t>
            </w:r>
          </w:p>
        </w:tc>
        <w:tc>
          <w:tcPr>
            <w:tcW w:w="4908"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pacing w:val="0"/>
                <w:kern w:val="0"/>
                <w:sz w:val="28"/>
                <w:szCs w:val="28"/>
                <w:lang w:val="en-US" w:eastAsia="zh-CN"/>
              </w:rPr>
            </w:pPr>
            <w:r>
              <w:rPr>
                <w:rFonts w:hint="default" w:ascii="Times New Roman" w:hAnsi="Times New Roman" w:eastAsia="方正仿宋_GBK" w:cs="Times New Roman"/>
                <w:color w:val="000000"/>
                <w:spacing w:val="0"/>
                <w:kern w:val="0"/>
                <w:sz w:val="28"/>
                <w:szCs w:val="28"/>
                <w:lang w:val="en-US" w:eastAsia="zh-CN"/>
              </w:rPr>
              <w:t>重庆市渝中区人民政府办公室关于印发《重庆市渝中区街道养老服务中心管理办法和重庆市渝中区社区养老服务站管理办法》的通知</w:t>
            </w:r>
          </w:p>
        </w:tc>
        <w:tc>
          <w:tcPr>
            <w:tcW w:w="3146"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pacing w:val="0"/>
                <w:kern w:val="0"/>
                <w:sz w:val="28"/>
                <w:szCs w:val="28"/>
                <w:lang w:val="en-US" w:eastAsia="zh-CN"/>
              </w:rPr>
            </w:pPr>
            <w:r>
              <w:rPr>
                <w:rFonts w:hint="default" w:ascii="Times New Roman" w:hAnsi="Times New Roman" w:eastAsia="方正仿宋_GBK" w:cs="Times New Roman"/>
                <w:color w:val="000000"/>
                <w:spacing w:val="0"/>
                <w:kern w:val="0"/>
                <w:sz w:val="28"/>
                <w:szCs w:val="28"/>
                <w:lang w:val="en-US" w:eastAsia="zh-CN"/>
              </w:rPr>
              <w:t>渝中府办〔2016〕157号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945"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方正仿宋_GBK" w:cs="Times New Roman"/>
                <w:color w:val="000000"/>
                <w:kern w:val="0"/>
                <w:sz w:val="28"/>
                <w:szCs w:val="28"/>
                <w:lang w:val="en-US" w:eastAsia="zh-CN"/>
              </w:rPr>
            </w:pPr>
            <w:r>
              <w:rPr>
                <w:rFonts w:hint="default" w:ascii="Times New Roman" w:hAnsi="Times New Roman" w:eastAsia="方正仿宋_GBK" w:cs="Times New Roman"/>
                <w:color w:val="000000"/>
                <w:kern w:val="0"/>
                <w:sz w:val="28"/>
                <w:szCs w:val="28"/>
                <w:lang w:val="en-US" w:eastAsia="zh-CN"/>
              </w:rPr>
              <w:t>6</w:t>
            </w:r>
          </w:p>
        </w:tc>
        <w:tc>
          <w:tcPr>
            <w:tcW w:w="4908"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pacing w:val="0"/>
                <w:kern w:val="0"/>
                <w:sz w:val="28"/>
                <w:szCs w:val="28"/>
                <w:lang w:val="en-US" w:eastAsia="zh-CN"/>
              </w:rPr>
            </w:pPr>
            <w:r>
              <w:rPr>
                <w:rFonts w:hint="default" w:ascii="Times New Roman" w:hAnsi="Times New Roman" w:eastAsia="方正仿宋_GBK" w:cs="Times New Roman"/>
                <w:color w:val="000000"/>
                <w:spacing w:val="0"/>
                <w:kern w:val="0"/>
                <w:sz w:val="28"/>
                <w:szCs w:val="28"/>
                <w:lang w:val="en-US" w:eastAsia="zh-CN"/>
              </w:rPr>
              <w:t>重庆市渝中区人民政府办公室关于印发《渝中区促进建筑、勘察、设计业健康发展六条措施》的通知</w:t>
            </w:r>
          </w:p>
        </w:tc>
        <w:tc>
          <w:tcPr>
            <w:tcW w:w="3146"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pacing w:val="0"/>
                <w:kern w:val="0"/>
                <w:sz w:val="28"/>
                <w:szCs w:val="28"/>
                <w:lang w:val="en-US" w:eastAsia="zh-CN"/>
              </w:rPr>
            </w:pPr>
            <w:r>
              <w:rPr>
                <w:rFonts w:hint="default" w:ascii="Times New Roman" w:hAnsi="Times New Roman" w:eastAsia="方正仿宋_GBK" w:cs="Times New Roman"/>
                <w:color w:val="000000"/>
                <w:spacing w:val="0"/>
                <w:kern w:val="0"/>
                <w:sz w:val="28"/>
                <w:szCs w:val="28"/>
                <w:lang w:val="en-US" w:eastAsia="zh-CN"/>
              </w:rPr>
              <w:t>渝中府办〔2019〕64号</w:t>
            </w:r>
          </w:p>
        </w:tc>
      </w:tr>
    </w:tbl>
    <w:p>
      <w:pPr>
        <w:keepNext w:val="0"/>
        <w:keepLines w:val="0"/>
        <w:pageBreakBefore w:val="0"/>
        <w:tabs>
          <w:tab w:val="left" w:pos="3735"/>
        </w:tabs>
        <w:kinsoku/>
        <w:wordWrap/>
        <w:overflowPunct/>
        <w:topLinePunct w:val="0"/>
        <w:autoSpaceDE/>
        <w:autoSpaceDN/>
        <w:bidi w:val="0"/>
        <w:spacing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华文新魏">
    <w:altName w:val="宋体"/>
    <w:panose1 w:val="0201080004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永中宋体">
    <w:altName w:val="宋体"/>
    <w:panose1 w:val="02010600030101010101"/>
    <w:charset w:val="86"/>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8288020" cy="0"/>
              <wp:effectExtent l="0" t="10795" r="17780" b="17780"/>
              <wp:wrapNone/>
              <wp:docPr id="8" name="直接连接符 8"/>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0288;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tyYMd9QAAAAJAQAADwAAAAAAAAABACAAAAAiAAAAZHJzL2Rvd25y&#10;ZXYueG1sUEsBAhQAFAAAAAgAh07iQG9Om5/JAQAAZAMAAA4AAAAAAAAAAQAgAAAAIwEAAGRycy9l&#10;Mm9Eb2MueG1sUEsFBgAAAAAGAAYAWQEAAF4FAAAAAA==&#10;">
              <v:fill on="f" focussize="0,0"/>
              <v:stroke weight="1.75pt" color="#005192 [3204]" miterlimit="8" joinstyle="miter"/>
              <v:imagedata o:title=""/>
              <o:lock v:ext="edit" aspectratio="f"/>
            </v:line>
          </w:pict>
        </mc:Fallback>
      </mc:AlternateContent>
    </w:r>
  </w:p>
  <w:p>
    <w:pPr>
      <w:pStyle w:val="7"/>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重庆市渝中区人民政府</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59264;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L5YoHVAAAACAEAAA8AAAAAAAAAAQAg&#10;AAAAIgAAAGRycy9kb3ducmV2LnhtbFBLAQIUABQAAAAIAIdO4kAFsJvr2AEAAG8DAAAOAAAAAAAA&#10;AAEAIAAAACQBAABkcnMvZTJvRG9jLnhtbFBLBQYAAAAABgAGAFkBAABu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0Y2IzNDJkOGM1ZjlhNmU3OGI1ZmVlOGJmOGM0ZjQ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87C1EEF"/>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BFF3ECF"/>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30F57C9"/>
    <w:rsid w:val="64366C42"/>
    <w:rsid w:val="648B0A32"/>
    <w:rsid w:val="658F6764"/>
    <w:rsid w:val="665233C1"/>
    <w:rsid w:val="69AC0D42"/>
    <w:rsid w:val="6AD9688B"/>
    <w:rsid w:val="6B68303F"/>
    <w:rsid w:val="6D0E3F22"/>
    <w:rsid w:val="744E4660"/>
    <w:rsid w:val="753355A2"/>
    <w:rsid w:val="759F1C61"/>
    <w:rsid w:val="769F2DE8"/>
    <w:rsid w:val="76FDEB7C"/>
    <w:rsid w:val="780345E7"/>
    <w:rsid w:val="79C65162"/>
    <w:rsid w:val="79EE7E31"/>
    <w:rsid w:val="7C9011D9"/>
    <w:rsid w:val="7C9377A5"/>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sz w:val="24"/>
      <w:szCs w:val="24"/>
    </w:rPr>
  </w:style>
  <w:style w:type="paragraph" w:styleId="3">
    <w:name w:val="Body Text"/>
    <w:basedOn w:val="1"/>
    <w:next w:val="1"/>
    <w:qFormat/>
    <w:uiPriority w:val="0"/>
    <w:pPr>
      <w:spacing w:after="120"/>
    </w:pPr>
    <w:rPr>
      <w:rFonts w:ascii="等线" w:hAnsi="等线" w:eastAsia="等线"/>
      <w:szCs w:val="22"/>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576</Words>
  <Characters>621</Characters>
  <Lines>1</Lines>
  <Paragraphs>1</Paragraphs>
  <ScaleCrop>false</ScaleCrop>
  <LinksUpToDate>false</LinksUpToDate>
  <CharactersWithSpaces>629</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2024-10-28T02:20:02Z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48C61CB29D3F4D9384F5922CF0F7FFB4</vt:lpwstr>
  </property>
</Properties>
</file>