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highlight w:val="none"/>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highlight w:val="none"/>
          <w:lang w:eastAsia="zh-CN"/>
        </w:rPr>
      </w:pPr>
      <w:r>
        <w:rPr>
          <w:rFonts w:hint="default" w:ascii="Times New Roman" w:hAnsi="Times New Roman" w:eastAsia="方正小标宋_GBK" w:cs="Times New Roman"/>
          <w:color w:val="auto"/>
          <w:spacing w:val="0"/>
          <w:sz w:val="44"/>
          <w:szCs w:val="44"/>
          <w:highlight w:val="none"/>
          <w:lang w:eastAsia="zh-CN"/>
        </w:rPr>
        <w:t>重庆市渝中区人民政府办公室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auto"/>
          <w:spacing w:val="0"/>
          <w:sz w:val="44"/>
          <w:szCs w:val="44"/>
          <w:highlight w:val="none"/>
          <w:lang w:eastAsia="zh-CN"/>
        </w:rPr>
        <w:t>关于印发《渝中区促进文旅文创业高质量发展若干政策（试行）》的通知</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highlight w:val="none"/>
          <w:shd w:val="clear" w:fill="FFFFFF"/>
          <w:lang w:val="en-US" w:eastAsia="zh-CN"/>
        </w:rPr>
      </w:pP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渝中府办〔2025〕</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40</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pPr>
    </w:p>
    <w:p>
      <w:pPr>
        <w:pStyle w:val="10"/>
        <w:keepNext w:val="0"/>
        <w:keepLines w:val="0"/>
        <w:pageBreakBefore w:val="0"/>
        <w:widowControl/>
        <w:suppressLineNumbers w:val="0"/>
        <w:shd w:val="clear" w:color="auto" w:fill="FFFFFF"/>
        <w:kinsoku/>
        <w:wordWrap/>
        <w:overflowPunct w:val="0"/>
        <w:topLinePunct w:val="0"/>
        <w:autoSpaceDE/>
        <w:autoSpaceDN/>
        <w:bidi w:val="0"/>
        <w:adjustRightInd/>
        <w:snapToGrid/>
        <w:spacing w:before="0" w:beforeAutospacing="0" w:after="0" w:afterAutospacing="0" w:line="620" w:lineRule="exact"/>
        <w:ind w:left="0" w:righ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区政府各部门、各管委会，各街道办事处，有关单位：</w:t>
      </w:r>
    </w:p>
    <w:p>
      <w:pPr>
        <w:pStyle w:val="10"/>
        <w:keepNext w:val="0"/>
        <w:keepLines w:val="0"/>
        <w:pageBreakBefore w:val="0"/>
        <w:widowControl/>
        <w:suppressLineNumbers w:val="0"/>
        <w:shd w:val="clear" w:color="auto" w:fill="FFFFFF"/>
        <w:kinsoku/>
        <w:wordWrap/>
        <w:overflowPunct w:val="0"/>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《渝中区促进文旅文创业高质量发展若干政策（试行）》已经</w:t>
      </w:r>
      <w:r>
        <w:rPr>
          <w:rFonts w:hint="default" w:ascii="Times New Roman" w:hAnsi="Times New Roman" w:eastAsia="方正仿宋_GBK" w:cs="Times New Roman"/>
          <w:i w:val="0"/>
          <w:iCs w:val="0"/>
          <w:caps w:val="0"/>
          <w:color w:val="000000"/>
          <w:spacing w:val="0"/>
          <w:sz w:val="32"/>
          <w:szCs w:val="32"/>
          <w:shd w:val="clear" w:color="auto" w:fill="FFFFFF"/>
          <w:lang w:eastAsia="zh-CN"/>
        </w:rPr>
        <w:t>区</w:t>
      </w:r>
      <w:r>
        <w:rPr>
          <w:rFonts w:hint="default" w:ascii="Times New Roman" w:hAnsi="Times New Roman" w:eastAsia="方正仿宋_GBK" w:cs="Times New Roman"/>
          <w:i w:val="0"/>
          <w:iCs w:val="0"/>
          <w:caps w:val="0"/>
          <w:color w:val="000000"/>
          <w:spacing w:val="0"/>
          <w:sz w:val="32"/>
          <w:szCs w:val="32"/>
          <w:shd w:val="clear" w:color="auto" w:fill="FFFFFF"/>
        </w:rPr>
        <w:t>政府同意，现印发给你们，请认真贯彻执行。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righ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重庆市渝中区</w:t>
      </w:r>
      <w:r>
        <w:rPr>
          <w:rFonts w:hint="default" w:ascii="Times New Roman" w:hAnsi="Times New Roman" w:eastAsia="方正仿宋_GBK" w:cs="Times New Roman"/>
          <w:color w:val="000000"/>
          <w:sz w:val="32"/>
          <w:szCs w:val="32"/>
          <w:lang w:eastAsia="zh-CN"/>
        </w:rPr>
        <w:t>人民政府办公室</w:t>
      </w:r>
    </w:p>
    <w:p>
      <w:pPr>
        <w:keepNext w:val="0"/>
        <w:keepLines w:val="0"/>
        <w:pageBreakBefore w:val="0"/>
        <w:widowControl w:val="0"/>
        <w:kinsoku/>
        <w:wordWrap/>
        <w:overflowPunct w:val="0"/>
        <w:topLinePunct w:val="0"/>
        <w:autoSpaceDE/>
        <w:autoSpaceDN/>
        <w:bidi w:val="0"/>
        <w:adjustRightInd/>
        <w:snapToGrid/>
        <w:spacing w:line="620" w:lineRule="exact"/>
        <w:ind w:firstLine="5033" w:firstLineChars="1573"/>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日</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default" w:ascii="方正仿宋_GBK" w:hAnsi="方正仿宋_GBK" w:eastAsia="方正仿宋_GBK" w:cs="方正仿宋_GBK"/>
          <w:kern w:val="0"/>
          <w:sz w:val="32"/>
          <w:szCs w:val="32"/>
          <w:highlight w:val="none"/>
          <w:shd w:val="clear" w:color="auto" w:fill="FFFFFF"/>
          <w:lang w:eastAsia="zh-CN" w:bidi="ar-SA"/>
        </w:rPr>
        <w:t xml:space="preserve">  </w:t>
      </w:r>
      <w:r>
        <w:rPr>
          <w:rFonts w:hint="eastAsia" w:ascii="方正仿宋_GBK" w:hAnsi="方正仿宋_GBK" w:eastAsia="方正仿宋_GBK" w:cs="方正仿宋_GBK"/>
          <w:kern w:val="0"/>
          <w:sz w:val="32"/>
          <w:szCs w:val="32"/>
          <w:highlight w:val="none"/>
          <w:shd w:val="clear" w:color="auto" w:fill="FFFFFF"/>
          <w:lang w:val="en-US" w:eastAsia="zh-CN" w:bidi="ar-SA"/>
        </w:rPr>
        <w:t xml:space="preserve"> </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t>（此件公开发布）</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br w:type="page"/>
      </w:r>
    </w:p>
    <w:p>
      <w:pPr>
        <w:pStyle w:val="14"/>
        <w:rPr>
          <w:rFonts w:hint="eastAsia"/>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color w:val="auto"/>
          <w:kern w:val="2"/>
          <w:sz w:val="44"/>
          <w:szCs w:val="44"/>
          <w:highlight w:val="none"/>
        </w:rPr>
      </w:pPr>
    </w:p>
    <w:p>
      <w:pPr>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color w:val="auto"/>
          <w:kern w:val="2"/>
          <w:sz w:val="44"/>
          <w:szCs w:val="44"/>
          <w:highlight w:val="none"/>
        </w:rPr>
      </w:pPr>
    </w:p>
    <w:p>
      <w:pPr>
        <w:keepNext w:val="0"/>
        <w:keepLines w:val="0"/>
        <w:pageBreakBefore w:val="0"/>
        <w:widowControl w:val="0"/>
        <w:kinsoku/>
        <w:wordWrap/>
        <w:overflowPunct w:val="0"/>
        <w:topLinePunct w:val="0"/>
        <w:autoSpaceDE/>
        <w:autoSpaceDN/>
        <w:bidi w:val="0"/>
        <w:adjustRightInd/>
        <w:snapToGrid w:val="0"/>
        <w:spacing w:line="620" w:lineRule="exact"/>
        <w:ind w:left="0" w:leftChars="0"/>
        <w:jc w:val="center"/>
        <w:rPr>
          <w:rFonts w:hint="default" w:ascii="Times New Roman" w:hAnsi="Times New Roman" w:eastAsia="方正小标宋_GBK" w:cs="Times New Roman"/>
          <w:color w:val="000000"/>
          <w:spacing w:val="0"/>
          <w:sz w:val="44"/>
          <w:szCs w:val="44"/>
          <w:highlight w:val="none"/>
          <w:shd w:val="clear" w:color="auto" w:fill="auto"/>
          <w:lang w:eastAsia="zh-CN"/>
        </w:rPr>
      </w:pPr>
      <w:r>
        <w:rPr>
          <w:rFonts w:hint="default" w:ascii="Times New Roman" w:hAnsi="Times New Roman" w:eastAsia="方正小标宋_GBK" w:cs="Times New Roman"/>
          <w:color w:val="000000"/>
          <w:spacing w:val="0"/>
          <w:sz w:val="44"/>
          <w:szCs w:val="44"/>
          <w:highlight w:val="none"/>
          <w:shd w:val="clear" w:color="auto" w:fill="auto"/>
        </w:rPr>
        <w:t>渝中区促进</w:t>
      </w:r>
      <w:r>
        <w:rPr>
          <w:rFonts w:hint="default" w:ascii="Times New Roman" w:hAnsi="Times New Roman" w:eastAsia="方正小标宋_GBK" w:cs="Times New Roman"/>
          <w:color w:val="000000"/>
          <w:spacing w:val="0"/>
          <w:sz w:val="44"/>
          <w:szCs w:val="44"/>
          <w:highlight w:val="none"/>
          <w:shd w:val="clear" w:color="auto" w:fill="auto"/>
          <w:lang w:val="en-US" w:eastAsia="zh-CN"/>
        </w:rPr>
        <w:t>文旅文创</w:t>
      </w:r>
      <w:r>
        <w:rPr>
          <w:rFonts w:hint="default" w:ascii="Times New Roman" w:hAnsi="Times New Roman" w:eastAsia="方正小标宋_GBK" w:cs="Times New Roman"/>
          <w:color w:val="000000"/>
          <w:spacing w:val="0"/>
          <w:sz w:val="44"/>
          <w:szCs w:val="44"/>
          <w:highlight w:val="none"/>
          <w:shd w:val="clear" w:color="auto" w:fill="auto"/>
        </w:rPr>
        <w:t>业</w:t>
      </w:r>
      <w:r>
        <w:rPr>
          <w:rFonts w:hint="default" w:ascii="Times New Roman" w:hAnsi="Times New Roman" w:eastAsia="方正小标宋_GBK" w:cs="Times New Roman"/>
          <w:color w:val="000000"/>
          <w:spacing w:val="0"/>
          <w:sz w:val="44"/>
          <w:szCs w:val="44"/>
          <w:highlight w:val="none"/>
          <w:shd w:val="clear" w:color="auto" w:fill="auto"/>
          <w:lang w:eastAsia="zh-CN"/>
        </w:rPr>
        <w:t>高质量</w:t>
      </w:r>
      <w:r>
        <w:rPr>
          <w:rFonts w:hint="default" w:ascii="Times New Roman" w:hAnsi="Times New Roman" w:eastAsia="方正小标宋_GBK" w:cs="Times New Roman"/>
          <w:color w:val="000000"/>
          <w:spacing w:val="0"/>
          <w:sz w:val="44"/>
          <w:szCs w:val="44"/>
          <w:highlight w:val="none"/>
          <w:shd w:val="clear" w:color="auto" w:fill="auto"/>
        </w:rPr>
        <w:t>发展</w:t>
      </w:r>
      <w:r>
        <w:rPr>
          <w:rFonts w:hint="default" w:ascii="Times New Roman" w:hAnsi="Times New Roman" w:eastAsia="方正小标宋_GBK" w:cs="Times New Roman"/>
          <w:color w:val="000000"/>
          <w:spacing w:val="0"/>
          <w:sz w:val="44"/>
          <w:szCs w:val="44"/>
          <w:highlight w:val="none"/>
          <w:shd w:val="clear" w:color="auto" w:fill="auto"/>
          <w:lang w:eastAsia="zh-CN"/>
        </w:rPr>
        <w:t>若干</w:t>
      </w:r>
      <w:bookmarkStart w:id="0" w:name="_GoBack"/>
      <w:bookmarkEnd w:id="0"/>
      <w:r>
        <w:rPr>
          <w:rFonts w:hint="default" w:ascii="Times New Roman" w:hAnsi="Times New Roman" w:eastAsia="方正小标宋_GBK" w:cs="Times New Roman"/>
          <w:color w:val="000000"/>
          <w:spacing w:val="0"/>
          <w:sz w:val="44"/>
          <w:szCs w:val="44"/>
          <w:highlight w:val="none"/>
          <w:shd w:val="clear" w:color="auto" w:fill="auto"/>
          <w:lang w:eastAsia="zh-CN"/>
        </w:rPr>
        <w:t>政策（试行）</w:t>
      </w:r>
    </w:p>
    <w:p>
      <w:pPr>
        <w:keepNext w:val="0"/>
        <w:keepLines w:val="0"/>
        <w:pageBreakBefore w:val="0"/>
        <w:widowControl w:val="0"/>
        <w:kinsoku/>
        <w:wordWrap/>
        <w:overflowPunct w:val="0"/>
        <w:topLinePunct w:val="0"/>
        <w:autoSpaceDE/>
        <w:autoSpaceDN/>
        <w:bidi w:val="0"/>
        <w:adjustRightInd/>
        <w:snapToGrid w:val="0"/>
        <w:spacing w:line="620" w:lineRule="exact"/>
        <w:ind w:left="0" w:leftChars="0" w:firstLine="640" w:firstLineChars="200"/>
        <w:textAlignment w:val="auto"/>
        <w:rPr>
          <w:rFonts w:hint="default" w:ascii="Times New Roman" w:hAnsi="Times New Roman" w:eastAsia="方正仿宋_GBK" w:cs="Times New Roman"/>
          <w:color w:val="000000"/>
          <w:kern w:val="2"/>
          <w:sz w:val="32"/>
          <w:szCs w:val="32"/>
          <w:highlight w:val="none"/>
          <w:shd w:val="clear" w:color="auto" w:fill="auto"/>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620" w:lineRule="exact"/>
        <w:ind w:left="0" w:leftChars="0" w:firstLine="640" w:firstLineChars="200"/>
        <w:jc w:val="both"/>
        <w:textAlignment w:val="auto"/>
        <w:rPr>
          <w:rFonts w:hint="default" w:ascii="Times New Roman" w:hAnsi="Times New Roman" w:eastAsia="方正黑体_GBK" w:cs="Times New Roman"/>
          <w:color w:val="000000"/>
          <w:kern w:val="0"/>
          <w:sz w:val="32"/>
          <w:szCs w:val="32"/>
          <w:highlight w:val="none"/>
          <w:shd w:val="clear" w:color="auto" w:fill="auto"/>
          <w:lang w:val="en-US" w:eastAsia="zh-CN" w:bidi="ar-SA"/>
        </w:rPr>
      </w:pPr>
      <w:r>
        <w:rPr>
          <w:rFonts w:hint="default" w:ascii="Times New Roman" w:hAnsi="Times New Roman" w:eastAsia="方正仿宋_GBK" w:cs="Times New Roman"/>
          <w:color w:val="000000"/>
          <w:kern w:val="2"/>
          <w:sz w:val="32"/>
          <w:szCs w:val="32"/>
          <w:highlight w:val="none"/>
          <w:shd w:val="clear" w:color="auto" w:fill="auto"/>
          <w:lang w:val="en-US" w:eastAsia="zh-CN" w:bidi="ar-SA"/>
        </w:rPr>
        <w:t>为深入贯彻落实习近平总书记关于文化和旅游工作的重要论述精神，认真贯彻落实全国旅游发展大会、全市文化旅游发展大会精神，推动文旅文创业打造成为区域支柱性产业，实现渝中文化旅游高质量发展，根据《关于进一步培育新增长点繁荣文化和旅游消费的若干措施》（国办发〔2025〕2号）、《重庆市推动巴蜀文化旅游走廊建设行动方案（2025—2027年）》（渝府办发〔2025〕19号）等文件精神，特制定如下政策。</w:t>
      </w:r>
    </w:p>
    <w:p>
      <w:pPr>
        <w:keepNext w:val="0"/>
        <w:keepLines w:val="0"/>
        <w:pageBreakBefore w:val="0"/>
        <w:widowControl w:val="0"/>
        <w:numPr>
          <w:ilvl w:val="0"/>
          <w:numId w:val="0"/>
        </w:numPr>
        <w:kinsoku/>
        <w:wordWrap/>
        <w:overflowPunct w:val="0"/>
        <w:topLinePunct w:val="0"/>
        <w:autoSpaceDE/>
        <w:autoSpaceDN/>
        <w:bidi w:val="0"/>
        <w:adjustRightInd/>
        <w:snapToGrid w:val="0"/>
        <w:spacing w:after="0" w:afterAutospacing="0" w:line="620" w:lineRule="exact"/>
        <w:ind w:left="0" w:leftChars="0" w:firstLine="640" w:firstLineChars="200"/>
        <w:jc w:val="both"/>
        <w:textAlignment w:val="auto"/>
        <w:rPr>
          <w:rFonts w:hint="default" w:ascii="Times New Roman" w:hAnsi="Times New Roman" w:eastAsia="方正仿宋_GBK" w:cs="Times New Roman"/>
          <w:color w:val="000000"/>
          <w:spacing w:val="0"/>
          <w:w w:val="100"/>
          <w:kern w:val="2"/>
          <w:sz w:val="32"/>
          <w:szCs w:val="32"/>
          <w:highlight w:val="none"/>
          <w:u w:val="none"/>
          <w:shd w:val="clear" w:color="auto" w:fill="auto"/>
          <w:lang w:val="en-US" w:eastAsia="zh-CN" w:bidi="ar-SA"/>
        </w:rPr>
      </w:pPr>
      <w:r>
        <w:rPr>
          <w:rFonts w:hint="default" w:ascii="Times New Roman" w:hAnsi="Times New Roman" w:eastAsia="方正黑体_GBK" w:cs="Times New Roman"/>
          <w:color w:val="000000"/>
          <w:kern w:val="2"/>
          <w:sz w:val="32"/>
          <w:szCs w:val="32"/>
          <w:highlight w:val="none"/>
          <w:shd w:val="clear" w:color="auto" w:fill="auto"/>
          <w:lang w:val="en-US" w:eastAsia="zh-CN" w:bidi="ar-SA"/>
        </w:rPr>
        <w:t>一、支持壮大市场主体</w:t>
      </w:r>
    </w:p>
    <w:p>
      <w:pPr>
        <w:keepNext w:val="0"/>
        <w:keepLines w:val="0"/>
        <w:pageBreakBefore w:val="0"/>
        <w:widowControl w:val="0"/>
        <w:kinsoku/>
        <w:wordWrap/>
        <w:overflowPunct w:val="0"/>
        <w:topLinePunct w:val="0"/>
        <w:autoSpaceDE/>
        <w:autoSpaceDN/>
        <w:bidi w:val="0"/>
        <w:adjustRightInd/>
        <w:snapToGrid w:val="0"/>
        <w:spacing w:after="0" w:afterAutospacing="0" w:line="620"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highlight w:val="none"/>
          <w:shd w:val="clear" w:color="auto" w:fill="auto"/>
          <w:lang w:val="en-US" w:eastAsia="zh-CN" w:bidi="ar-SA"/>
        </w:rPr>
      </w:pPr>
      <w:r>
        <w:rPr>
          <w:rFonts w:hint="default" w:ascii="Times New Roman" w:hAnsi="Times New Roman" w:eastAsia="方正楷体_GBK" w:cs="Times New Roman"/>
          <w:b w:val="0"/>
          <w:bCs w:val="0"/>
          <w:color w:val="000000"/>
          <w:kern w:val="2"/>
          <w:sz w:val="32"/>
          <w:szCs w:val="32"/>
          <w:highlight w:val="none"/>
          <w:u w:val="none"/>
          <w:shd w:val="clear" w:color="auto" w:fill="auto"/>
          <w:lang w:val="en-US" w:eastAsia="zh-CN" w:bidi="ar-SA"/>
        </w:rPr>
        <w:t>（一）支持总部企业发展。</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年营业收入（或营业额）超1亿元且拥有10家以上独立法人企业的总部型企业，经综合评估，给予不超过100万元的奖励。</w:t>
      </w:r>
    </w:p>
    <w:p>
      <w:pPr>
        <w:keepNext w:val="0"/>
        <w:keepLines w:val="0"/>
        <w:pageBreakBefore w:val="0"/>
        <w:widowControl w:val="0"/>
        <w:kinsoku/>
        <w:wordWrap/>
        <w:overflowPunct w:val="0"/>
        <w:topLinePunct w:val="0"/>
        <w:autoSpaceDE/>
        <w:autoSpaceDN/>
        <w:bidi w:val="0"/>
        <w:adjustRightInd/>
        <w:snapToGrid w:val="0"/>
        <w:spacing w:after="0" w:afterAutospacing="0" w:line="620" w:lineRule="exact"/>
        <w:ind w:left="0" w:leftChars="0" w:firstLine="640" w:firstLineChars="200"/>
        <w:jc w:val="both"/>
        <w:textAlignment w:val="auto"/>
        <w:rPr>
          <w:rFonts w:hint="default" w:ascii="Times New Roman" w:hAnsi="Times New Roman" w:eastAsia="宋体" w:cs="Times New Roman"/>
          <w:color w:val="000000"/>
          <w:kern w:val="2"/>
          <w:sz w:val="21"/>
          <w:szCs w:val="24"/>
          <w:highlight w:val="none"/>
          <w:lang w:val="en-US" w:eastAsia="zh-CN" w:bidi="ar-SA"/>
        </w:rPr>
      </w:pPr>
      <w:r>
        <w:rPr>
          <w:rFonts w:hint="default" w:ascii="Times New Roman" w:hAnsi="Times New Roman" w:eastAsia="方正楷体_GBK" w:cs="Times New Roman"/>
          <w:b w:val="0"/>
          <w:bCs w:val="0"/>
          <w:color w:val="000000"/>
          <w:kern w:val="2"/>
          <w:sz w:val="32"/>
          <w:szCs w:val="32"/>
          <w:highlight w:val="none"/>
          <w:u w:val="none"/>
          <w:shd w:val="clear" w:color="auto" w:fill="auto"/>
          <w:lang w:val="en-US" w:eastAsia="zh-CN" w:bidi="ar-SA"/>
        </w:rPr>
        <w:t>（二）支持企业规模发展。</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年营业收入（或营业额）超过2000万元且同比增长15%以上的企业，经综合评估，给予不超过10万元的奖励；年营业收入（或营业额）超过5000万元的企业，经综合评估，给予不超过80万元的奖励。</w:t>
      </w:r>
    </w:p>
    <w:p>
      <w:pPr>
        <w:keepNext w:val="0"/>
        <w:keepLines w:val="0"/>
        <w:pageBreakBefore w:val="0"/>
        <w:widowControl w:val="0"/>
        <w:numPr>
          <w:ilvl w:val="0"/>
          <w:numId w:val="0"/>
        </w:numPr>
        <w:kinsoku/>
        <w:wordWrap/>
        <w:overflowPunct w:val="0"/>
        <w:topLinePunct w:val="0"/>
        <w:autoSpaceDE/>
        <w:autoSpaceDN/>
        <w:bidi w:val="0"/>
        <w:adjustRightInd/>
        <w:snapToGrid w:val="0"/>
        <w:spacing w:after="0" w:afterAutospacing="0" w:line="620" w:lineRule="exact"/>
        <w:ind w:left="0" w:leftChars="0" w:firstLine="640" w:firstLineChars="200"/>
        <w:jc w:val="both"/>
        <w:textAlignment w:val="auto"/>
        <w:rPr>
          <w:rFonts w:hint="default" w:ascii="Times New Roman" w:hAnsi="Times New Roman" w:eastAsia="方正黑体_GBK" w:cs="Times New Roman"/>
          <w:color w:val="000000"/>
          <w:kern w:val="2"/>
          <w:sz w:val="32"/>
          <w:szCs w:val="32"/>
          <w:highlight w:val="none"/>
          <w:u w:val="none"/>
          <w:shd w:val="clear" w:color="auto" w:fill="auto"/>
          <w:lang w:val="en-US" w:eastAsia="zh-CN" w:bidi="ar-SA"/>
        </w:rPr>
      </w:pPr>
      <w:r>
        <w:rPr>
          <w:rFonts w:hint="default" w:ascii="Times New Roman" w:hAnsi="Times New Roman" w:eastAsia="方正黑体_GBK" w:cs="Times New Roman"/>
          <w:color w:val="000000"/>
          <w:kern w:val="2"/>
          <w:sz w:val="32"/>
          <w:szCs w:val="32"/>
          <w:highlight w:val="none"/>
          <w:u w:val="none"/>
          <w:shd w:val="clear" w:color="auto" w:fill="auto"/>
          <w:lang w:val="en-US" w:eastAsia="zh-CN" w:bidi="ar-SA"/>
        </w:rPr>
        <w:t>二、发展数字文化产业</w:t>
      </w:r>
    </w:p>
    <w:p>
      <w:pPr>
        <w:keepNext w:val="0"/>
        <w:keepLines w:val="0"/>
        <w:pageBreakBefore w:val="0"/>
        <w:widowControl w:val="0"/>
        <w:numPr>
          <w:ilvl w:val="0"/>
          <w:numId w:val="0"/>
        </w:numPr>
        <w:kinsoku/>
        <w:wordWrap/>
        <w:overflowPunct w:val="0"/>
        <w:topLinePunct w:val="0"/>
        <w:autoSpaceDE/>
        <w:autoSpaceDN/>
        <w:bidi w:val="0"/>
        <w:adjustRightInd/>
        <w:snapToGrid w:val="0"/>
        <w:spacing w:after="0" w:afterAutospacing="0" w:line="620"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highlight w:val="none"/>
          <w:shd w:val="clear" w:color="auto" w:fill="auto"/>
          <w:lang w:val="en-US" w:eastAsia="zh-CN" w:bidi="ar-SA"/>
        </w:rPr>
      </w:pPr>
      <w:r>
        <w:rPr>
          <w:rFonts w:hint="default" w:ascii="Times New Roman" w:hAnsi="Times New Roman" w:eastAsia="方正楷体_GBK" w:cs="Times New Roman"/>
          <w:b w:val="0"/>
          <w:bCs w:val="0"/>
          <w:color w:val="000000"/>
          <w:kern w:val="2"/>
          <w:sz w:val="32"/>
          <w:szCs w:val="32"/>
          <w:highlight w:val="none"/>
          <w:u w:val="none"/>
          <w:shd w:val="clear" w:color="auto" w:fill="auto"/>
          <w:lang w:val="en-US" w:eastAsia="zh-CN" w:bidi="ar-SA"/>
        </w:rPr>
        <w:t>（三）支持网络视听产业发展。</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对新引进落地的网络视听企业及网络艺人经纪机构，当年营收超过500万元的，经综合评估，给予不超过10万元奖励。对网络视听企业年出品达50部、100部的，经综合评估，分别给予不超过10万元、20万元奖励。鼓励提升微短剧创作水平，对企业拍摄制作展示渝中元素、讲述渝中故事的微短剧，以及入选国家广电局优秀微短剧的项目，经综合评估，给予第一出品方不超过20万元奖励。</w:t>
      </w:r>
    </w:p>
    <w:p>
      <w:pPr>
        <w:keepNext w:val="0"/>
        <w:keepLines w:val="0"/>
        <w:pageBreakBefore w:val="0"/>
        <w:widowControl w:val="0"/>
        <w:numPr>
          <w:ilvl w:val="0"/>
          <w:numId w:val="0"/>
        </w:numPr>
        <w:kinsoku/>
        <w:wordWrap/>
        <w:overflowPunct w:val="0"/>
        <w:topLinePunct w:val="0"/>
        <w:autoSpaceDE/>
        <w:autoSpaceDN/>
        <w:bidi w:val="0"/>
        <w:adjustRightInd/>
        <w:snapToGrid w:val="0"/>
        <w:spacing w:after="0" w:afterAutospacing="0" w:line="620"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highlight w:val="none"/>
          <w:shd w:val="clear" w:color="auto" w:fill="auto"/>
          <w:lang w:val="en-US" w:eastAsia="zh-CN" w:bidi="ar-SA"/>
        </w:rPr>
      </w:pPr>
      <w:r>
        <w:rPr>
          <w:rFonts w:hint="default" w:ascii="Times New Roman" w:hAnsi="Times New Roman" w:eastAsia="方正楷体_GBK" w:cs="Times New Roman"/>
          <w:b w:val="0"/>
          <w:bCs w:val="0"/>
          <w:color w:val="000000"/>
          <w:kern w:val="2"/>
          <w:sz w:val="32"/>
          <w:szCs w:val="32"/>
          <w:highlight w:val="none"/>
          <w:u w:val="none"/>
          <w:shd w:val="clear" w:color="auto" w:fill="auto"/>
          <w:lang w:val="en-US" w:eastAsia="zh-CN" w:bidi="ar-SA"/>
        </w:rPr>
        <w:t>（四）支持游戏动漫产业发展。</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加快原创游戏正式上线和出海发展，对首次在境内外正式上线的原创游戏，根据发行结算情况等综合评估，给予不超过30万元奖励。支持动漫美术企业参与动漫产品制作，鼓励创作在地文化IP和内容出海，根据动漫作品发行情况和企业参与度等综合评估，给予不超过30万元奖励。</w:t>
      </w:r>
    </w:p>
    <w:p>
      <w:pPr>
        <w:keepNext w:val="0"/>
        <w:keepLines w:val="0"/>
        <w:pageBreakBefore w:val="0"/>
        <w:widowControl w:val="0"/>
        <w:numPr>
          <w:ilvl w:val="0"/>
          <w:numId w:val="0"/>
        </w:numPr>
        <w:kinsoku/>
        <w:wordWrap/>
        <w:overflowPunct w:val="0"/>
        <w:topLinePunct w:val="0"/>
        <w:autoSpaceDE/>
        <w:autoSpaceDN/>
        <w:bidi w:val="0"/>
        <w:adjustRightInd/>
        <w:snapToGrid w:val="0"/>
        <w:spacing w:line="620" w:lineRule="exact"/>
        <w:ind w:left="0" w:leftChars="0" w:firstLine="640" w:firstLineChars="200"/>
        <w:jc w:val="both"/>
        <w:rPr>
          <w:rFonts w:hint="default" w:ascii="Times New Roman" w:hAnsi="Times New Roman" w:eastAsia="方正仿宋_GBK" w:cs="Times New Roman"/>
          <w:color w:val="000000"/>
          <w:kern w:val="2"/>
          <w:sz w:val="32"/>
          <w:szCs w:val="32"/>
          <w:highlight w:val="none"/>
          <w:shd w:val="clear" w:color="auto" w:fill="auto"/>
          <w:lang w:val="en-US" w:eastAsia="zh-CN" w:bidi="ar-SA"/>
        </w:rPr>
      </w:pPr>
      <w:r>
        <w:rPr>
          <w:rFonts w:hint="default" w:ascii="Times New Roman" w:hAnsi="Times New Roman" w:eastAsia="方正楷体_GBK" w:cs="Times New Roman"/>
          <w:color w:val="000000"/>
          <w:sz w:val="32"/>
          <w:szCs w:val="32"/>
          <w:highlight w:val="none"/>
          <w:u w:val="none"/>
          <w:shd w:val="clear" w:color="auto" w:fill="auto"/>
          <w:lang w:val="en-US" w:eastAsia="zh-CN"/>
        </w:rPr>
        <w:t>（五）支持电竞产业发展。</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支持企业投资建设或改建专业电竞场馆、赛事中心和体验中心等项目，对总投资3000万元以上的，根据建设规模、建设进度、预期收益等综合评估，给予不超过100万元奖励。</w:t>
      </w:r>
    </w:p>
    <w:p>
      <w:pPr>
        <w:keepNext w:val="0"/>
        <w:keepLines w:val="0"/>
        <w:pageBreakBefore w:val="0"/>
        <w:widowControl w:val="0"/>
        <w:numPr>
          <w:ilvl w:val="0"/>
          <w:numId w:val="0"/>
        </w:numPr>
        <w:kinsoku/>
        <w:wordWrap/>
        <w:overflowPunct w:val="0"/>
        <w:topLinePunct w:val="0"/>
        <w:autoSpaceDE/>
        <w:autoSpaceDN/>
        <w:bidi w:val="0"/>
        <w:adjustRightInd/>
        <w:snapToGrid w:val="0"/>
        <w:spacing w:line="620" w:lineRule="exact"/>
        <w:ind w:left="0" w:leftChars="0" w:firstLine="640" w:firstLineChars="200"/>
        <w:jc w:val="both"/>
        <w:rPr>
          <w:rFonts w:hint="default" w:ascii="Times New Roman" w:hAnsi="Times New Roman" w:eastAsia="方正仿宋_GBK" w:cs="Times New Roman"/>
          <w:color w:val="000000"/>
          <w:kern w:val="2"/>
          <w:sz w:val="32"/>
          <w:szCs w:val="32"/>
          <w:highlight w:val="none"/>
          <w:shd w:val="clear" w:color="auto" w:fill="auto"/>
          <w:lang w:val="en-US" w:eastAsia="zh-CN" w:bidi="ar-SA"/>
        </w:rPr>
      </w:pPr>
      <w:r>
        <w:rPr>
          <w:rFonts w:hint="default" w:ascii="Times New Roman" w:hAnsi="Times New Roman" w:eastAsia="方正楷体_GBK" w:cs="Times New Roman"/>
          <w:b w:val="0"/>
          <w:bCs w:val="0"/>
          <w:color w:val="000000"/>
          <w:kern w:val="2"/>
          <w:sz w:val="32"/>
          <w:szCs w:val="32"/>
          <w:highlight w:val="none"/>
          <w:u w:val="none"/>
          <w:shd w:val="clear" w:color="auto" w:fill="auto"/>
          <w:lang w:val="en-US" w:eastAsia="zh-CN" w:bidi="ar-SA"/>
        </w:rPr>
        <w:t>（六）支持贷款融资。</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对企业新增贷款实施数字文化产业项目的，根据项目示范带动效应综合评估，给予不超过20万元的奖励。通过政银合作建立文旅企业贷款风险补偿资金，鼓励引导企业竞逐新赛道。</w:t>
      </w:r>
    </w:p>
    <w:p>
      <w:pPr>
        <w:keepNext w:val="0"/>
        <w:keepLines w:val="0"/>
        <w:pageBreakBefore w:val="0"/>
        <w:widowControl w:val="0"/>
        <w:numPr>
          <w:ilvl w:val="0"/>
          <w:numId w:val="0"/>
        </w:numPr>
        <w:kinsoku/>
        <w:wordWrap/>
        <w:overflowPunct w:val="0"/>
        <w:topLinePunct w:val="0"/>
        <w:autoSpaceDE/>
        <w:autoSpaceDN/>
        <w:bidi w:val="0"/>
        <w:adjustRightInd/>
        <w:snapToGrid w:val="0"/>
        <w:spacing w:line="620" w:lineRule="exact"/>
        <w:ind w:left="0" w:leftChars="0" w:firstLine="640" w:firstLineChars="200"/>
        <w:jc w:val="both"/>
        <w:rPr>
          <w:rFonts w:hint="default" w:ascii="Times New Roman" w:hAnsi="Times New Roman" w:eastAsia="方正仿宋_GBK" w:cs="Times New Roman"/>
          <w:color w:val="000000"/>
          <w:kern w:val="2"/>
          <w:sz w:val="32"/>
          <w:szCs w:val="32"/>
          <w:highlight w:val="none"/>
          <w:shd w:val="clear" w:color="auto" w:fill="auto"/>
          <w:lang w:val="en-US" w:eastAsia="zh-CN" w:bidi="ar-SA"/>
        </w:rPr>
      </w:pPr>
      <w:r>
        <w:rPr>
          <w:rFonts w:hint="default" w:ascii="Times New Roman" w:hAnsi="Times New Roman" w:eastAsia="方正楷体_GBK" w:cs="Times New Roman"/>
          <w:b w:val="0"/>
          <w:bCs w:val="0"/>
          <w:color w:val="000000"/>
          <w:kern w:val="2"/>
          <w:sz w:val="32"/>
          <w:szCs w:val="32"/>
          <w:highlight w:val="none"/>
          <w:u w:val="none"/>
          <w:shd w:val="clear" w:color="auto" w:fill="auto"/>
          <w:lang w:val="en-US" w:eastAsia="zh-CN" w:bidi="ar-SA"/>
        </w:rPr>
        <w:t>（七）支持数字科技赋能。</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支持企业新建动捕中心、渲染中心、数字影棚等前沿技术中台，投资人工智能、大数据中心等推动数字文化产业发展，根据投资和应用情况综合评估，给予单个项目不超过30万元奖励。</w:t>
      </w:r>
    </w:p>
    <w:p>
      <w:pPr>
        <w:keepNext w:val="0"/>
        <w:keepLines w:val="0"/>
        <w:pageBreakBefore w:val="0"/>
        <w:widowControl w:val="0"/>
        <w:numPr>
          <w:ilvl w:val="0"/>
          <w:numId w:val="0"/>
        </w:numPr>
        <w:kinsoku/>
        <w:wordWrap/>
        <w:overflowPunct w:val="0"/>
        <w:topLinePunct w:val="0"/>
        <w:autoSpaceDE/>
        <w:autoSpaceDN/>
        <w:bidi w:val="0"/>
        <w:adjustRightInd/>
        <w:snapToGrid w:val="0"/>
        <w:spacing w:line="620" w:lineRule="exact"/>
        <w:ind w:left="0" w:leftChars="0" w:firstLine="640" w:firstLineChars="200"/>
        <w:jc w:val="both"/>
        <w:textAlignment w:val="baseline"/>
        <w:rPr>
          <w:rFonts w:hint="default" w:ascii="Times New Roman" w:hAnsi="Times New Roman" w:eastAsia="方正黑体_GBK" w:cs="Times New Roman"/>
          <w:color w:val="000000"/>
          <w:kern w:val="2"/>
          <w:sz w:val="32"/>
          <w:szCs w:val="32"/>
          <w:highlight w:val="none"/>
          <w:u w:val="none"/>
          <w:shd w:val="clear" w:color="auto" w:fill="auto"/>
          <w:lang w:val="en-US" w:eastAsia="zh-CN" w:bidi="ar-SA"/>
        </w:rPr>
      </w:pPr>
      <w:r>
        <w:rPr>
          <w:rFonts w:hint="default" w:ascii="Times New Roman" w:hAnsi="Times New Roman" w:eastAsia="方正黑体_GBK" w:cs="Times New Roman"/>
          <w:color w:val="000000"/>
          <w:kern w:val="2"/>
          <w:sz w:val="32"/>
          <w:szCs w:val="32"/>
          <w:highlight w:val="none"/>
          <w:u w:val="none"/>
          <w:shd w:val="clear" w:color="auto" w:fill="auto"/>
          <w:lang w:val="en-US" w:eastAsia="zh-CN" w:bidi="ar-SA"/>
        </w:rPr>
        <w:t>三、提质产业载体建设</w:t>
      </w:r>
    </w:p>
    <w:p>
      <w:pPr>
        <w:keepNext w:val="0"/>
        <w:keepLines w:val="0"/>
        <w:pageBreakBefore w:val="0"/>
        <w:widowControl w:val="0"/>
        <w:numPr>
          <w:ilvl w:val="0"/>
          <w:numId w:val="0"/>
        </w:numPr>
        <w:kinsoku/>
        <w:wordWrap/>
        <w:overflowPunct w:val="0"/>
        <w:topLinePunct w:val="0"/>
        <w:autoSpaceDE/>
        <w:autoSpaceDN/>
        <w:bidi w:val="0"/>
        <w:adjustRightInd/>
        <w:snapToGrid w:val="0"/>
        <w:spacing w:line="620" w:lineRule="exact"/>
        <w:ind w:left="0" w:leftChars="0" w:firstLine="640" w:firstLineChars="200"/>
        <w:jc w:val="both"/>
        <w:textAlignment w:val="baseline"/>
        <w:rPr>
          <w:rFonts w:hint="default" w:ascii="Times New Roman" w:hAnsi="Times New Roman" w:eastAsia="方正楷体_GBK" w:cs="Times New Roman"/>
          <w:b w:val="0"/>
          <w:bCs w:val="0"/>
          <w:color w:val="000000"/>
          <w:kern w:val="2"/>
          <w:sz w:val="32"/>
          <w:szCs w:val="32"/>
          <w:highlight w:val="none"/>
          <w:u w:val="none"/>
          <w:shd w:val="clear" w:color="auto" w:fill="auto"/>
          <w:lang w:val="en-US" w:eastAsia="zh-CN" w:bidi="ar-SA"/>
        </w:rPr>
      </w:pPr>
      <w:r>
        <w:rPr>
          <w:rFonts w:hint="default" w:ascii="Times New Roman" w:hAnsi="Times New Roman" w:eastAsia="方正楷体_GBK" w:cs="Times New Roman"/>
          <w:b w:val="0"/>
          <w:bCs w:val="0"/>
          <w:color w:val="000000"/>
          <w:kern w:val="2"/>
          <w:sz w:val="32"/>
          <w:szCs w:val="32"/>
          <w:highlight w:val="none"/>
          <w:u w:val="none"/>
          <w:shd w:val="clear" w:color="auto" w:fill="auto"/>
          <w:lang w:val="en-US" w:eastAsia="zh-CN" w:bidi="ar-SA"/>
        </w:rPr>
        <w:t>（八）支持打造文体产业平台。</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对投资建设、改造提升或运营打造网络视听、游戏动漫、电子竞技、体育产业等产业平台和园区的，根据项目定位、建设规模和运营情况综合评估，给予项目建设单位或运营单位不超过100万元奖励。</w:t>
      </w:r>
    </w:p>
    <w:p>
      <w:pPr>
        <w:keepNext w:val="0"/>
        <w:keepLines w:val="0"/>
        <w:pageBreakBefore w:val="0"/>
        <w:widowControl w:val="0"/>
        <w:numPr>
          <w:ilvl w:val="0"/>
          <w:numId w:val="0"/>
        </w:numPr>
        <w:kinsoku/>
        <w:wordWrap/>
        <w:overflowPunct w:val="0"/>
        <w:topLinePunct w:val="0"/>
        <w:autoSpaceDE/>
        <w:autoSpaceDN/>
        <w:bidi w:val="0"/>
        <w:adjustRightInd/>
        <w:snapToGrid w:val="0"/>
        <w:spacing w:line="620" w:lineRule="exact"/>
        <w:ind w:left="0" w:leftChars="0" w:firstLine="640" w:firstLineChars="200"/>
        <w:jc w:val="both"/>
        <w:textAlignment w:val="baseline"/>
        <w:rPr>
          <w:rFonts w:hint="default" w:ascii="Times New Roman" w:hAnsi="Times New Roman" w:eastAsia="方正仿宋_GBK" w:cs="Times New Roman"/>
          <w:color w:val="000000"/>
          <w:kern w:val="2"/>
          <w:sz w:val="32"/>
          <w:szCs w:val="32"/>
          <w:highlight w:val="none"/>
          <w:shd w:val="clear" w:color="auto" w:fill="auto"/>
          <w:lang w:val="en-US" w:eastAsia="zh-CN" w:bidi="ar-SA"/>
        </w:rPr>
      </w:pPr>
      <w:r>
        <w:rPr>
          <w:rFonts w:hint="default" w:ascii="Times New Roman" w:hAnsi="Times New Roman" w:eastAsia="方正楷体_GBK" w:cs="Times New Roman"/>
          <w:b w:val="0"/>
          <w:bCs w:val="0"/>
          <w:color w:val="000000"/>
          <w:kern w:val="2"/>
          <w:sz w:val="32"/>
          <w:szCs w:val="32"/>
          <w:highlight w:val="none"/>
          <w:u w:val="none"/>
          <w:shd w:val="clear" w:color="auto" w:fill="auto"/>
          <w:lang w:val="en-US" w:eastAsia="zh-CN" w:bidi="ar-SA"/>
        </w:rPr>
        <w:t>（九）支持旅游产业载体提升。</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对新评定的3A级、4A级、5A级旅游景区，分别给予运营企业不超过10万元、20万元、50万元奖励。对每5年一次市级及以上评定性复核，考核通过的（受到通报批评，限期整改的除外）的3A级、4A级、5A级旅游景区，分别给予运营主体5万元、10万元、20万元的奖励。对4A级及以上景区，上年接待游客人数超400万人次，且运营公司综合收入超7000万元的，经综合评估，给予不超过60万元奖励。</w:t>
      </w:r>
    </w:p>
    <w:p>
      <w:pPr>
        <w:keepNext w:val="0"/>
        <w:keepLines w:val="0"/>
        <w:pageBreakBefore w:val="0"/>
        <w:widowControl w:val="0"/>
        <w:numPr>
          <w:ilvl w:val="0"/>
          <w:numId w:val="0"/>
        </w:numPr>
        <w:kinsoku/>
        <w:wordWrap/>
        <w:overflowPunct w:val="0"/>
        <w:topLinePunct w:val="0"/>
        <w:autoSpaceDE/>
        <w:autoSpaceDN/>
        <w:bidi w:val="0"/>
        <w:adjustRightInd/>
        <w:snapToGrid w:val="0"/>
        <w:spacing w:line="620" w:lineRule="exact"/>
        <w:ind w:left="0" w:leftChars="0" w:firstLine="640" w:firstLineChars="200"/>
        <w:jc w:val="both"/>
        <w:textAlignment w:val="baseline"/>
        <w:rPr>
          <w:rFonts w:hint="default" w:ascii="Times New Roman" w:hAnsi="Times New Roman" w:eastAsia="方正黑体_GBK" w:cs="Times New Roman"/>
          <w:color w:val="000000"/>
          <w:kern w:val="2"/>
          <w:sz w:val="32"/>
          <w:szCs w:val="32"/>
          <w:highlight w:val="none"/>
          <w:u w:val="none"/>
          <w:shd w:val="clear" w:color="auto" w:fill="auto"/>
          <w:lang w:val="en-US" w:eastAsia="zh-CN" w:bidi="ar-SA"/>
        </w:rPr>
      </w:pPr>
      <w:r>
        <w:rPr>
          <w:rFonts w:hint="default" w:ascii="Times New Roman" w:hAnsi="Times New Roman" w:eastAsia="方正黑体_GBK" w:cs="Times New Roman"/>
          <w:color w:val="000000"/>
          <w:kern w:val="2"/>
          <w:sz w:val="32"/>
          <w:szCs w:val="32"/>
          <w:highlight w:val="none"/>
          <w:u w:val="none"/>
          <w:shd w:val="clear" w:color="auto" w:fill="auto"/>
          <w:lang w:val="en-US" w:eastAsia="zh-CN" w:bidi="ar-SA"/>
        </w:rPr>
        <w:t>四、提升文旅消费水平</w:t>
      </w:r>
    </w:p>
    <w:p>
      <w:pPr>
        <w:keepNext w:val="0"/>
        <w:keepLines w:val="0"/>
        <w:pageBreakBefore w:val="0"/>
        <w:widowControl w:val="0"/>
        <w:numPr>
          <w:ilvl w:val="0"/>
          <w:numId w:val="0"/>
        </w:numPr>
        <w:kinsoku/>
        <w:wordWrap/>
        <w:overflowPunct w:val="0"/>
        <w:topLinePunct w:val="0"/>
        <w:autoSpaceDE/>
        <w:autoSpaceDN/>
        <w:bidi w:val="0"/>
        <w:adjustRightInd/>
        <w:snapToGrid w:val="0"/>
        <w:spacing w:line="620" w:lineRule="exact"/>
        <w:ind w:left="0" w:leftChars="0" w:firstLine="640" w:firstLineChars="200"/>
        <w:jc w:val="both"/>
        <w:textAlignment w:val="baseline"/>
        <w:rPr>
          <w:rFonts w:hint="default" w:ascii="Times New Roman" w:hAnsi="Times New Roman" w:eastAsia="方正仿宋_GBK" w:cs="Times New Roman"/>
          <w:color w:val="000000"/>
          <w:kern w:val="2"/>
          <w:sz w:val="32"/>
          <w:szCs w:val="32"/>
          <w:highlight w:val="none"/>
          <w:shd w:val="clear" w:color="auto" w:fill="auto"/>
          <w:lang w:val="en-US" w:eastAsia="zh-CN" w:bidi="ar-SA"/>
        </w:rPr>
      </w:pPr>
      <w:r>
        <w:rPr>
          <w:rFonts w:hint="default" w:ascii="Times New Roman" w:hAnsi="Times New Roman" w:eastAsia="方正楷体_GBK" w:cs="Times New Roman"/>
          <w:color w:val="000000"/>
          <w:kern w:val="2"/>
          <w:sz w:val="32"/>
          <w:szCs w:val="32"/>
          <w:highlight w:val="none"/>
          <w:u w:val="none"/>
          <w:shd w:val="clear" w:color="auto" w:fill="auto"/>
          <w:lang w:val="en-US" w:eastAsia="zh-CN" w:bidi="ar-SA"/>
        </w:rPr>
        <w:t>（十）支持打造消费新场景新产品。</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实施</w:t>
      </w:r>
      <w:r>
        <w:rPr>
          <w:rFonts w:hint="eastAsia" w:ascii="Times New Roman" w:hAnsi="Times New Roman" w:eastAsia="方正仿宋_GBK" w:cs="Times New Roman"/>
          <w:color w:val="000000"/>
          <w:kern w:val="2"/>
          <w:sz w:val="32"/>
          <w:szCs w:val="32"/>
          <w:highlight w:val="none"/>
          <w:shd w:val="clear" w:color="auto" w:fill="auto"/>
          <w:lang w:val="en-US" w:eastAsia="zh-CN" w:bidi="ar-SA"/>
        </w:rPr>
        <w:t>“</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渝中五有</w:t>
      </w:r>
      <w:r>
        <w:rPr>
          <w:rFonts w:hint="eastAsia" w:ascii="Times New Roman" w:hAnsi="Times New Roman" w:eastAsia="方正仿宋_GBK" w:cs="Times New Roman"/>
          <w:color w:val="000000"/>
          <w:kern w:val="2"/>
          <w:sz w:val="32"/>
          <w:szCs w:val="32"/>
          <w:highlight w:val="none"/>
          <w:shd w:val="clear" w:color="auto" w:fill="auto"/>
          <w:lang w:val="en-US" w:eastAsia="zh-CN" w:bidi="ar-SA"/>
        </w:rPr>
        <w:t>”</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品牌计划，支持在商场、文博场馆、景区、街区、邮轮、大巴等打造沉浸式体验空间新产品新场景，支持打造超高清、沉浸式、互动式演艺新空间和数字展览新空间，根据项目投入、示范带动作用等综合评估，给予单个项目不超过50万元奖励。</w:t>
      </w:r>
    </w:p>
    <w:p>
      <w:pPr>
        <w:keepNext w:val="0"/>
        <w:keepLines w:val="0"/>
        <w:pageBreakBefore w:val="0"/>
        <w:widowControl w:val="0"/>
        <w:numPr>
          <w:ilvl w:val="0"/>
          <w:numId w:val="0"/>
        </w:numPr>
        <w:kinsoku/>
        <w:wordWrap/>
        <w:overflowPunct w:val="0"/>
        <w:topLinePunct w:val="0"/>
        <w:autoSpaceDE/>
        <w:autoSpaceDN/>
        <w:bidi w:val="0"/>
        <w:adjustRightInd/>
        <w:snapToGrid w:val="0"/>
        <w:spacing w:line="620"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highlight w:val="none"/>
          <w:shd w:val="clear" w:color="auto" w:fill="auto"/>
          <w:lang w:val="en-US" w:eastAsia="zh-CN" w:bidi="ar-SA"/>
        </w:rPr>
      </w:pPr>
      <w:r>
        <w:rPr>
          <w:rFonts w:hint="default" w:ascii="Times New Roman" w:hAnsi="Times New Roman" w:eastAsia="方正楷体_GBK" w:cs="Times New Roman"/>
          <w:b w:val="0"/>
          <w:bCs w:val="0"/>
          <w:color w:val="000000"/>
          <w:kern w:val="2"/>
          <w:sz w:val="32"/>
          <w:szCs w:val="32"/>
          <w:highlight w:val="none"/>
          <w:u w:val="none"/>
          <w:shd w:val="clear" w:color="auto" w:fill="auto"/>
          <w:lang w:val="en-US" w:eastAsia="zh-CN" w:bidi="ar-SA"/>
        </w:rPr>
        <w:t>（十一）支持演出赛事节会活动。</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支持院团、企业打造常设性精品演艺剧目，开展西南首秀、首演、首赛、首展类文体旅活动，支持有影响力的演艺项目活动实施出海计划，根据实际效果综合评估，给予单个企业不超过100万元奖励。支持企业参加全国、全市和全区文旅体消费活动，根据活动参与情况综合评估，给予单个企业不超过10万元奖励。</w:t>
      </w:r>
    </w:p>
    <w:p>
      <w:pPr>
        <w:keepNext w:val="0"/>
        <w:keepLines w:val="0"/>
        <w:pageBreakBefore w:val="0"/>
        <w:widowControl w:val="0"/>
        <w:kinsoku/>
        <w:wordWrap/>
        <w:overflowPunct w:val="0"/>
        <w:topLinePunct w:val="0"/>
        <w:autoSpaceDE/>
        <w:autoSpaceDN/>
        <w:bidi w:val="0"/>
        <w:adjustRightInd/>
        <w:snapToGrid w:val="0"/>
        <w:spacing w:after="0" w:afterAutospacing="0" w:line="620" w:lineRule="exact"/>
        <w:ind w:left="0" w:leftChars="0" w:firstLine="640" w:firstLineChars="200"/>
        <w:jc w:val="both"/>
        <w:rPr>
          <w:rFonts w:hint="default" w:ascii="Times New Roman" w:hAnsi="Times New Roman" w:eastAsia="方正仿宋_GBK" w:cs="Times New Roman"/>
          <w:color w:val="000000"/>
          <w:kern w:val="2"/>
          <w:sz w:val="32"/>
          <w:szCs w:val="32"/>
          <w:highlight w:val="none"/>
          <w:shd w:val="clear" w:color="auto" w:fill="auto"/>
          <w:lang w:val="en-US" w:eastAsia="zh-CN" w:bidi="ar-SA"/>
        </w:rPr>
      </w:pPr>
      <w:r>
        <w:rPr>
          <w:rFonts w:hint="default" w:ascii="Times New Roman" w:hAnsi="Times New Roman" w:eastAsia="方正楷体_GBK" w:cs="Times New Roman"/>
          <w:b w:val="0"/>
          <w:bCs w:val="0"/>
          <w:color w:val="000000"/>
          <w:kern w:val="2"/>
          <w:sz w:val="32"/>
          <w:szCs w:val="32"/>
          <w:highlight w:val="none"/>
          <w:u w:val="none"/>
          <w:shd w:val="clear" w:color="auto" w:fill="auto"/>
          <w:lang w:val="en-US" w:eastAsia="zh-CN" w:bidi="ar-SA"/>
        </w:rPr>
        <w:t>（十二）支持拓展入境旅游市场。</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对年接待入境在区过夜游客人次达5000人次以上的旅行社（独立法人），经综合评估，给予不超过10万元奖励。</w:t>
      </w:r>
    </w:p>
    <w:p>
      <w:pPr>
        <w:keepNext w:val="0"/>
        <w:keepLines w:val="0"/>
        <w:pageBreakBefore w:val="0"/>
        <w:widowControl w:val="0"/>
        <w:kinsoku/>
        <w:wordWrap/>
        <w:overflowPunct w:val="0"/>
        <w:topLinePunct w:val="0"/>
        <w:autoSpaceDE/>
        <w:autoSpaceDN/>
        <w:bidi w:val="0"/>
        <w:adjustRightInd/>
        <w:snapToGrid w:val="0"/>
        <w:spacing w:line="620"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highlight w:val="none"/>
          <w:shd w:val="clear" w:color="auto" w:fill="auto"/>
          <w:lang w:val="en-US" w:eastAsia="zh-CN" w:bidi="ar-SA"/>
        </w:rPr>
      </w:pPr>
      <w:r>
        <w:rPr>
          <w:rFonts w:hint="default" w:ascii="Times New Roman" w:hAnsi="Times New Roman" w:eastAsia="方正楷体_GBK" w:cs="Times New Roman"/>
          <w:b w:val="0"/>
          <w:bCs w:val="0"/>
          <w:color w:val="000000"/>
          <w:kern w:val="2"/>
          <w:sz w:val="32"/>
          <w:szCs w:val="32"/>
          <w:highlight w:val="none"/>
          <w:u w:val="none"/>
          <w:shd w:val="clear" w:color="auto" w:fill="auto"/>
          <w:lang w:val="en-US" w:eastAsia="zh-CN" w:bidi="ar-SA"/>
        </w:rPr>
        <w:t>（十三）支持建设精品旅游民宿。</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对首次评定为国家甲级、乙级旅游民宿的，经综合评估，分别给予20万元、10万元一次性挂牌奖励。</w:t>
      </w:r>
    </w:p>
    <w:p>
      <w:pPr>
        <w:keepNext w:val="0"/>
        <w:keepLines w:val="0"/>
        <w:pageBreakBefore w:val="0"/>
        <w:widowControl w:val="0"/>
        <w:kinsoku/>
        <w:wordWrap/>
        <w:overflowPunct w:val="0"/>
        <w:topLinePunct w:val="0"/>
        <w:autoSpaceDE/>
        <w:autoSpaceDN/>
        <w:bidi w:val="0"/>
        <w:adjustRightInd/>
        <w:snapToGrid w:val="0"/>
        <w:spacing w:line="620" w:lineRule="exact"/>
        <w:ind w:left="0" w:leftChars="0" w:firstLine="640" w:firstLineChars="200"/>
        <w:jc w:val="both"/>
        <w:rPr>
          <w:rFonts w:hint="default" w:ascii="Times New Roman" w:hAnsi="Times New Roman" w:eastAsia="方正黑体_GBK" w:cs="Times New Roman"/>
          <w:color w:val="000000"/>
          <w:kern w:val="2"/>
          <w:sz w:val="32"/>
          <w:szCs w:val="32"/>
          <w:highlight w:val="none"/>
          <w:u w:val="none"/>
          <w:shd w:val="clear" w:color="auto" w:fill="auto"/>
          <w:lang w:val="en-US" w:eastAsia="zh-CN" w:bidi="ar-SA"/>
        </w:rPr>
      </w:pPr>
      <w:r>
        <w:rPr>
          <w:rFonts w:hint="default" w:ascii="Times New Roman" w:hAnsi="Times New Roman" w:eastAsia="方正黑体_GBK" w:cs="Times New Roman"/>
          <w:color w:val="000000"/>
          <w:kern w:val="2"/>
          <w:sz w:val="32"/>
          <w:szCs w:val="32"/>
          <w:highlight w:val="none"/>
          <w:u w:val="none"/>
          <w:shd w:val="clear" w:color="auto" w:fill="auto"/>
          <w:lang w:val="en-US" w:eastAsia="zh-CN" w:bidi="ar-SA"/>
        </w:rPr>
        <w:t>五、支持文旅示范创建</w:t>
      </w:r>
    </w:p>
    <w:p>
      <w:pPr>
        <w:keepNext w:val="0"/>
        <w:keepLines w:val="0"/>
        <w:pageBreakBefore w:val="0"/>
        <w:widowControl w:val="0"/>
        <w:kinsoku/>
        <w:wordWrap/>
        <w:overflowPunct w:val="0"/>
        <w:topLinePunct w:val="0"/>
        <w:autoSpaceDE/>
        <w:autoSpaceDN/>
        <w:bidi w:val="0"/>
        <w:adjustRightInd/>
        <w:snapToGrid w:val="0"/>
        <w:spacing w:line="620" w:lineRule="exact"/>
        <w:ind w:left="0" w:leftChars="0" w:firstLine="640" w:firstLineChars="200"/>
        <w:jc w:val="both"/>
        <w:rPr>
          <w:rFonts w:hint="default" w:ascii="Times New Roman" w:hAnsi="Times New Roman" w:eastAsia="方正仿宋_GBK" w:cs="Times New Roman"/>
          <w:color w:val="000000"/>
          <w:kern w:val="2"/>
          <w:sz w:val="32"/>
          <w:szCs w:val="32"/>
          <w:highlight w:val="none"/>
          <w:shd w:val="clear" w:color="auto" w:fill="auto"/>
          <w:lang w:val="en-US" w:eastAsia="zh-CN" w:bidi="ar-SA"/>
        </w:rPr>
      </w:pPr>
      <w:r>
        <w:rPr>
          <w:rFonts w:hint="default" w:ascii="Times New Roman" w:hAnsi="Times New Roman" w:eastAsia="方正楷体_GBK" w:cs="Times New Roman"/>
          <w:b w:val="0"/>
          <w:bCs w:val="0"/>
          <w:color w:val="000000"/>
          <w:kern w:val="2"/>
          <w:sz w:val="32"/>
          <w:szCs w:val="32"/>
          <w:highlight w:val="none"/>
          <w:u w:val="none"/>
          <w:shd w:val="clear" w:color="auto" w:fill="auto"/>
          <w:lang w:val="en-US" w:eastAsia="zh-CN" w:bidi="ar-SA"/>
        </w:rPr>
        <w:t>（十四）支持文旅企业品牌创建。</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对首次入选</w:t>
      </w:r>
      <w:r>
        <w:rPr>
          <w:rFonts w:hint="eastAsia" w:ascii="Times New Roman" w:hAnsi="Times New Roman" w:eastAsia="方正仿宋_GBK" w:cs="Times New Roman"/>
          <w:color w:val="000000"/>
          <w:kern w:val="2"/>
          <w:sz w:val="32"/>
          <w:szCs w:val="32"/>
          <w:highlight w:val="none"/>
          <w:shd w:val="clear" w:color="auto" w:fill="auto"/>
          <w:lang w:val="en-US" w:eastAsia="zh-CN" w:bidi="ar-SA"/>
        </w:rPr>
        <w:t>“</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国家文化企业30强</w:t>
      </w:r>
      <w:r>
        <w:rPr>
          <w:rFonts w:hint="eastAsia" w:ascii="Times New Roman" w:hAnsi="Times New Roman" w:eastAsia="方正仿宋_GBK" w:cs="Times New Roman"/>
          <w:color w:val="000000"/>
          <w:kern w:val="2"/>
          <w:sz w:val="32"/>
          <w:szCs w:val="32"/>
          <w:highlight w:val="none"/>
          <w:shd w:val="clear" w:color="auto" w:fill="auto"/>
          <w:lang w:val="en-US" w:eastAsia="zh-CN" w:bidi="ar-SA"/>
        </w:rPr>
        <w:t>”</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的企业给予一次性挂牌奖励200万元，提名企业一次性奖励100万元。对获评年度</w:t>
      </w:r>
      <w:r>
        <w:rPr>
          <w:rFonts w:hint="eastAsia" w:ascii="Times New Roman" w:hAnsi="Times New Roman" w:eastAsia="方正仿宋_GBK" w:cs="Times New Roman"/>
          <w:color w:val="000000"/>
          <w:kern w:val="2"/>
          <w:sz w:val="32"/>
          <w:szCs w:val="32"/>
          <w:highlight w:val="none"/>
          <w:shd w:val="clear" w:color="auto" w:fill="auto"/>
          <w:lang w:val="en-US" w:eastAsia="zh-CN" w:bidi="ar-SA"/>
        </w:rPr>
        <w:t>“</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国家文化出口重点企业</w:t>
      </w:r>
      <w:r>
        <w:rPr>
          <w:rFonts w:hint="eastAsia" w:ascii="Times New Roman" w:hAnsi="Times New Roman" w:eastAsia="方正仿宋_GBK" w:cs="Times New Roman"/>
          <w:color w:val="000000"/>
          <w:kern w:val="2"/>
          <w:sz w:val="32"/>
          <w:szCs w:val="32"/>
          <w:highlight w:val="none"/>
          <w:shd w:val="clear" w:color="auto" w:fill="auto"/>
          <w:lang w:val="en-US" w:eastAsia="zh-CN" w:bidi="ar-SA"/>
        </w:rPr>
        <w:t>”</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的给予首次挂牌奖励30万元，获评</w:t>
      </w:r>
      <w:r>
        <w:rPr>
          <w:rFonts w:hint="eastAsia" w:ascii="Times New Roman" w:hAnsi="Times New Roman" w:eastAsia="方正仿宋_GBK" w:cs="Times New Roman"/>
          <w:color w:val="000000"/>
          <w:kern w:val="2"/>
          <w:sz w:val="32"/>
          <w:szCs w:val="32"/>
          <w:highlight w:val="none"/>
          <w:shd w:val="clear" w:color="auto" w:fill="auto"/>
          <w:lang w:val="en-US" w:eastAsia="zh-CN" w:bidi="ar-SA"/>
        </w:rPr>
        <w:t>“</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国家文化出口重点项目</w:t>
      </w:r>
      <w:r>
        <w:rPr>
          <w:rFonts w:hint="eastAsia" w:ascii="Times New Roman" w:hAnsi="Times New Roman" w:eastAsia="方正仿宋_GBK" w:cs="Times New Roman"/>
          <w:color w:val="000000"/>
          <w:kern w:val="2"/>
          <w:sz w:val="32"/>
          <w:szCs w:val="32"/>
          <w:highlight w:val="none"/>
          <w:shd w:val="clear" w:color="auto" w:fill="auto"/>
          <w:lang w:val="en-US" w:eastAsia="zh-CN" w:bidi="ar-SA"/>
        </w:rPr>
        <w:t>”</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的给予首次挂牌奖励10万元。其他国家级、市级相关荣誉可参照此条综合认定执行。</w:t>
      </w:r>
    </w:p>
    <w:p>
      <w:pPr>
        <w:keepNext w:val="0"/>
        <w:keepLines w:val="0"/>
        <w:pageBreakBefore w:val="0"/>
        <w:widowControl w:val="0"/>
        <w:kinsoku/>
        <w:wordWrap/>
        <w:overflowPunct w:val="0"/>
        <w:topLinePunct w:val="0"/>
        <w:autoSpaceDE/>
        <w:autoSpaceDN/>
        <w:bidi w:val="0"/>
        <w:adjustRightInd/>
        <w:snapToGrid w:val="0"/>
        <w:spacing w:line="620" w:lineRule="exact"/>
        <w:ind w:left="0" w:leftChars="0" w:firstLine="640" w:firstLineChars="200"/>
        <w:jc w:val="both"/>
        <w:rPr>
          <w:rFonts w:hint="default" w:ascii="Times New Roman" w:hAnsi="Times New Roman" w:eastAsia="方正仿宋_GBK" w:cs="Times New Roman"/>
          <w:b w:val="0"/>
          <w:bCs w:val="0"/>
          <w:color w:val="000000"/>
          <w:kern w:val="2"/>
          <w:sz w:val="24"/>
          <w:szCs w:val="24"/>
          <w:highlight w:val="none"/>
          <w:u w:val="none"/>
          <w:shd w:val="clear" w:color="auto" w:fill="auto"/>
          <w:lang w:val="en-US" w:eastAsia="zh-CN" w:bidi="ar-SA"/>
        </w:rPr>
      </w:pPr>
      <w:r>
        <w:rPr>
          <w:rFonts w:hint="default" w:ascii="Times New Roman" w:hAnsi="Times New Roman" w:eastAsia="方正楷体_GBK" w:cs="Times New Roman"/>
          <w:b w:val="0"/>
          <w:bCs w:val="0"/>
          <w:color w:val="000000"/>
          <w:kern w:val="2"/>
          <w:sz w:val="32"/>
          <w:szCs w:val="32"/>
          <w:highlight w:val="none"/>
          <w:u w:val="none"/>
          <w:shd w:val="clear" w:color="auto" w:fill="auto"/>
          <w:lang w:val="en-US" w:eastAsia="zh-CN" w:bidi="ar-SA"/>
        </w:rPr>
        <w:t>（十五）支持文旅载体示范创建。</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对成功创建国家级夜间文化和旅游消费集聚区、国家级旅游休闲街区，市级夜间文化和旅游消费集聚区、市级旅游休闲街区的市场化申报创建主体，经认定，分别给予20万元、10万元挂牌奖励。其他国家级、市级相关荣誉可参照此条综合认定执行</w:t>
      </w:r>
      <w:r>
        <w:rPr>
          <w:rFonts w:hint="default" w:ascii="Times New Roman" w:hAnsi="Times New Roman" w:eastAsia="方正仿宋_GBK" w:cs="Times New Roman"/>
          <w:b w:val="0"/>
          <w:bCs w:val="0"/>
          <w:color w:val="000000"/>
          <w:kern w:val="2"/>
          <w:sz w:val="24"/>
          <w:szCs w:val="24"/>
          <w:highlight w:val="none"/>
          <w:u w:val="none"/>
          <w:shd w:val="clear" w:color="auto" w:fill="auto"/>
          <w:lang w:val="en-US" w:eastAsia="zh-CN" w:bidi="ar-SA"/>
        </w:rPr>
        <w:t>。</w:t>
      </w:r>
    </w:p>
    <w:p>
      <w:pPr>
        <w:keepNext w:val="0"/>
        <w:keepLines w:val="0"/>
        <w:pageBreakBefore w:val="0"/>
        <w:widowControl w:val="0"/>
        <w:kinsoku/>
        <w:wordWrap/>
        <w:overflowPunct w:val="0"/>
        <w:topLinePunct w:val="0"/>
        <w:autoSpaceDE/>
        <w:autoSpaceDN/>
        <w:bidi w:val="0"/>
        <w:adjustRightInd/>
        <w:snapToGrid w:val="0"/>
        <w:spacing w:line="620"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highlight w:val="none"/>
          <w:shd w:val="clear" w:color="auto" w:fill="auto"/>
          <w:lang w:val="en-US" w:eastAsia="zh-CN" w:bidi="ar-SA"/>
        </w:rPr>
      </w:pPr>
      <w:r>
        <w:rPr>
          <w:rFonts w:hint="default" w:ascii="Times New Roman" w:hAnsi="Times New Roman" w:eastAsia="方正楷体_GBK" w:cs="Times New Roman"/>
          <w:b w:val="0"/>
          <w:bCs w:val="0"/>
          <w:color w:val="000000"/>
          <w:kern w:val="2"/>
          <w:sz w:val="32"/>
          <w:szCs w:val="32"/>
          <w:highlight w:val="none"/>
          <w:u w:val="none"/>
          <w:shd w:val="clear" w:color="auto" w:fill="auto"/>
          <w:lang w:val="en-US" w:eastAsia="zh-CN" w:bidi="ar-SA"/>
        </w:rPr>
        <w:t>（十六）支持创新工作开展。</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对文旅体宣传营销、商品研发、文旅活动、市场管理、招商引资、人才培训、规划编制等，以及市、区确定的其他重点工作，经审定后可给予相应的资金支持。</w:t>
      </w:r>
    </w:p>
    <w:p>
      <w:pPr>
        <w:keepNext w:val="0"/>
        <w:keepLines w:val="0"/>
        <w:pageBreakBefore w:val="0"/>
        <w:widowControl w:val="0"/>
        <w:kinsoku/>
        <w:wordWrap/>
        <w:overflowPunct w:val="0"/>
        <w:topLinePunct w:val="0"/>
        <w:autoSpaceDE/>
        <w:autoSpaceDN/>
        <w:bidi w:val="0"/>
        <w:adjustRightInd/>
        <w:snapToGrid w:val="0"/>
        <w:spacing w:line="620" w:lineRule="exact"/>
        <w:ind w:left="0" w:leftChars="0" w:firstLine="640" w:firstLineChars="200"/>
        <w:jc w:val="both"/>
        <w:textAlignment w:val="auto"/>
        <w:rPr>
          <w:rFonts w:hint="default" w:ascii="Times New Roman" w:hAnsi="Times New Roman" w:eastAsia="方正黑体_GBK" w:cs="Times New Roman"/>
          <w:b w:val="0"/>
          <w:bCs w:val="0"/>
          <w:color w:val="000000"/>
          <w:kern w:val="0"/>
          <w:sz w:val="32"/>
          <w:szCs w:val="32"/>
          <w:highlight w:val="none"/>
          <w:u w:val="none"/>
          <w:shd w:val="clear" w:color="auto" w:fill="auto"/>
          <w:lang w:val="en-US" w:eastAsia="zh-CN" w:bidi="ar-SA"/>
        </w:rPr>
      </w:pPr>
      <w:r>
        <w:rPr>
          <w:rFonts w:hint="default" w:ascii="Times New Roman" w:hAnsi="Times New Roman" w:eastAsia="方正黑体_GBK" w:cs="Times New Roman"/>
          <w:b w:val="0"/>
          <w:bCs w:val="0"/>
          <w:color w:val="000000"/>
          <w:kern w:val="0"/>
          <w:sz w:val="32"/>
          <w:szCs w:val="32"/>
          <w:highlight w:val="none"/>
          <w:u w:val="none"/>
          <w:shd w:val="clear" w:color="auto" w:fill="auto"/>
          <w:lang w:val="en-US" w:eastAsia="zh-CN" w:bidi="ar-SA"/>
        </w:rPr>
        <w:t>六、其他</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val="0"/>
        <w:spacing w:line="620"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highlight w:val="none"/>
          <w:shd w:val="clear" w:color="auto" w:fill="auto"/>
          <w:lang w:val="en-US" w:eastAsia="zh-CN" w:bidi="ar-SA"/>
        </w:rPr>
      </w:pPr>
      <w:r>
        <w:rPr>
          <w:rFonts w:hint="default" w:ascii="Times New Roman" w:hAnsi="Times New Roman" w:eastAsia="方正仿宋_GBK" w:cs="Times New Roman"/>
          <w:color w:val="000000"/>
          <w:kern w:val="2"/>
          <w:sz w:val="32"/>
          <w:szCs w:val="32"/>
          <w:highlight w:val="none"/>
          <w:shd w:val="clear" w:color="auto" w:fill="auto"/>
          <w:lang w:val="en-US" w:eastAsia="zh-CN" w:bidi="ar-SA"/>
        </w:rPr>
        <w:t>（一）本政策自公布之日起施行。</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val="0"/>
        <w:spacing w:line="620"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highlight w:val="none"/>
          <w:shd w:val="clear" w:color="auto" w:fill="auto"/>
          <w:lang w:val="en-US" w:eastAsia="zh-CN" w:bidi="ar-SA"/>
        </w:rPr>
      </w:pPr>
      <w:r>
        <w:rPr>
          <w:rFonts w:hint="default" w:ascii="Times New Roman" w:hAnsi="Times New Roman" w:eastAsia="方正仿宋_GBK" w:cs="Times New Roman"/>
          <w:color w:val="000000"/>
          <w:kern w:val="2"/>
          <w:sz w:val="32"/>
          <w:szCs w:val="32"/>
          <w:highlight w:val="none"/>
          <w:shd w:val="clear" w:color="auto" w:fill="auto"/>
          <w:lang w:val="en-US" w:eastAsia="zh-CN" w:bidi="ar-SA"/>
        </w:rPr>
        <w:t>（二）本政策实行申报认定制，申报认定工作按年度开展，区文旅委应每年明确申报指南及相关规则。申报主体需基于上年度经营发展情况提交申报材料，经有关部门综合审核认定后予以兑现。</w:t>
      </w:r>
    </w:p>
    <w:p>
      <w:pPr>
        <w:keepNext w:val="0"/>
        <w:keepLines w:val="0"/>
        <w:pageBreakBefore w:val="0"/>
        <w:widowControl w:val="0"/>
        <w:tabs>
          <w:tab w:val="center" w:pos="4153"/>
          <w:tab w:val="right" w:pos="8306"/>
        </w:tabs>
        <w:kinsoku/>
        <w:wordWrap/>
        <w:overflowPunct w:val="0"/>
        <w:topLinePunct w:val="0"/>
        <w:autoSpaceDE/>
        <w:autoSpaceDN/>
        <w:bidi w:val="0"/>
        <w:adjustRightInd/>
        <w:snapToGrid w:val="0"/>
        <w:spacing w:line="620" w:lineRule="exact"/>
        <w:ind w:left="0" w:leftChars="0" w:firstLine="640" w:firstLineChars="200"/>
        <w:jc w:val="both"/>
        <w:textAlignment w:val="auto"/>
        <w:rPr>
          <w:rFonts w:hint="default" w:ascii="Times New Roman" w:hAnsi="Times New Roman" w:eastAsia="方正黑体_GBK" w:cs="Times New Roman"/>
          <w:b w:val="0"/>
          <w:color w:val="000000"/>
          <w:sz w:val="32"/>
          <w:szCs w:val="32"/>
          <w:lang w:val="en-US" w:eastAsia="zh-CN"/>
        </w:rPr>
      </w:pPr>
      <w:r>
        <w:rPr>
          <w:rFonts w:hint="default" w:ascii="Times New Roman" w:hAnsi="Times New Roman" w:eastAsia="方正仿宋_GBK" w:cs="Times New Roman"/>
          <w:color w:val="000000"/>
          <w:kern w:val="2"/>
          <w:sz w:val="32"/>
          <w:szCs w:val="32"/>
          <w:highlight w:val="none"/>
          <w:shd w:val="clear" w:color="auto" w:fill="auto"/>
          <w:lang w:val="en-US" w:eastAsia="zh-CN" w:bidi="ar-SA"/>
        </w:rPr>
        <w:t>（三）申报政策的企业，同一项目同时满足本政策多个条款或渝中区其他扶持政策扶持条件的，按照</w:t>
      </w:r>
      <w:r>
        <w:rPr>
          <w:rFonts w:hint="eastAsia" w:ascii="Times New Roman" w:hAnsi="Times New Roman" w:eastAsia="方正仿宋_GBK" w:cs="Times New Roman"/>
          <w:color w:val="000000"/>
          <w:kern w:val="2"/>
          <w:sz w:val="32"/>
          <w:szCs w:val="32"/>
          <w:highlight w:val="none"/>
          <w:shd w:val="clear" w:color="auto" w:fill="auto"/>
          <w:lang w:val="en-US" w:eastAsia="zh-CN" w:bidi="ar-SA"/>
        </w:rPr>
        <w:t>“</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就高不重复</w:t>
      </w:r>
      <w:r>
        <w:rPr>
          <w:rFonts w:hint="eastAsia" w:ascii="Times New Roman" w:hAnsi="Times New Roman" w:eastAsia="方正仿宋_GBK" w:cs="Times New Roman"/>
          <w:color w:val="000000"/>
          <w:kern w:val="2"/>
          <w:sz w:val="32"/>
          <w:szCs w:val="32"/>
          <w:highlight w:val="none"/>
          <w:shd w:val="clear" w:color="auto" w:fill="auto"/>
          <w:lang w:val="en-US" w:eastAsia="zh-CN" w:bidi="ar-SA"/>
        </w:rPr>
        <w:t>”</w:t>
      </w:r>
      <w:r>
        <w:rPr>
          <w:rFonts w:hint="default" w:ascii="Times New Roman" w:hAnsi="Times New Roman" w:eastAsia="方正仿宋_GBK" w:cs="Times New Roman"/>
          <w:color w:val="000000"/>
          <w:kern w:val="2"/>
          <w:sz w:val="32"/>
          <w:szCs w:val="32"/>
          <w:highlight w:val="none"/>
          <w:shd w:val="clear" w:color="auto" w:fill="auto"/>
          <w:lang w:val="en-US" w:eastAsia="zh-CN" w:bidi="ar-SA"/>
        </w:rPr>
        <w:t>原则执行。原则上扶持资金可兑现给企业或经营团队。</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textAlignment w:val="auto"/>
        <w:rPr>
          <w:rFonts w:hint="eastAsia" w:ascii="Times New Roman" w:hAnsi="Times New Roman" w:eastAsia="方正仿宋_GBK" w:cs="Times New Roman"/>
          <w:kern w:val="0"/>
          <w:sz w:val="32"/>
          <w:szCs w:val="32"/>
          <w:highlight w:val="none"/>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MS PGothic">
    <w:panose1 w:val="020B0600070205080204"/>
    <w:charset w:val="80"/>
    <w:family w:val="swiss"/>
    <w:pitch w:val="default"/>
    <w:sig w:usb0="E00002FF" w:usb1="6AC7FDFB" w:usb2="00000012" w:usb3="00000000" w:csb0="4002009F" w:csb1="DFD70000"/>
  </w:font>
  <w:font w:name="方正楷体_GB2312">
    <w:altName w:val="宋体"/>
    <w:panose1 w:val="02000000000000000000"/>
    <w:charset w:val="86"/>
    <w:family w:val="auto"/>
    <w:pitch w:val="default"/>
    <w:sig w:usb0="00000000" w:usb1="00000000" w:usb2="00000012" w:usb3="00000000" w:csb0="00040001" w:csb1="00000000"/>
  </w:font>
  <w:font w:name="LinTimes">
    <w:altName w:val="Segoe Print"/>
    <w:panose1 w:val="00000000000000000000"/>
    <w:charset w:val="00"/>
    <w:family w:val="auto"/>
    <w:pitch w:val="default"/>
    <w:sig w:usb0="00000000" w:usb1="00000000" w:usb2="00000008" w:usb3="00000000" w:csb0="400001FF" w:csb1="FFFF0000"/>
  </w:font>
  <w:font w:name="华文楷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8" name="直接连接符 8"/>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yYMd9QAAAAJAQAADwAAAAAAAAABACAAAAAiAAAAZHJzL2Rvd25y&#10;ZXYueG1sUEsBAhQAFAAAAAgAh07iQG9Om5/JAQAAZAMAAA4AAAAAAAAAAQAgAAAAIwEAAGRycy9l&#10;Mm9Eb2MueG1sUEsFBgAAAAAGAAYAWQEAAF4FAA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重庆市渝中区人民政府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363220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28.6pt;height:0pt;width:651.15pt;z-index:251659264;mso-width-relative:page;mso-height-relative:page;" filled="f" stroked="t" coordsize="21600,21600" o:gfxdata="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y9A6TVAAAACQ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2IzNDJkOGM1ZjlhNmU3OGI1ZmVlOGJmOGM0ZjQifQ=="/>
  </w:docVars>
  <w:rsids>
    <w:rsidRoot w:val="00172A27"/>
    <w:rsid w:val="019E71BD"/>
    <w:rsid w:val="01E93D58"/>
    <w:rsid w:val="04B679C3"/>
    <w:rsid w:val="05F07036"/>
    <w:rsid w:val="06E00104"/>
    <w:rsid w:val="080F63D8"/>
    <w:rsid w:val="08B50549"/>
    <w:rsid w:val="09341458"/>
    <w:rsid w:val="098254C2"/>
    <w:rsid w:val="0A766EDE"/>
    <w:rsid w:val="0AD64BE8"/>
    <w:rsid w:val="0B0912D7"/>
    <w:rsid w:val="0E025194"/>
    <w:rsid w:val="0EEF0855"/>
    <w:rsid w:val="117428AF"/>
    <w:rsid w:val="11DB7C71"/>
    <w:rsid w:val="14353156"/>
    <w:rsid w:val="152D2DCA"/>
    <w:rsid w:val="187168EA"/>
    <w:rsid w:val="187C1EEF"/>
    <w:rsid w:val="196673CA"/>
    <w:rsid w:val="1B8C1136"/>
    <w:rsid w:val="1CF734C9"/>
    <w:rsid w:val="1DEC284C"/>
    <w:rsid w:val="1E6523AC"/>
    <w:rsid w:val="206407AA"/>
    <w:rsid w:val="22440422"/>
    <w:rsid w:val="22BB4BBB"/>
    <w:rsid w:val="25EB1AF4"/>
    <w:rsid w:val="28B12CB8"/>
    <w:rsid w:val="29036482"/>
    <w:rsid w:val="2DD05FE1"/>
    <w:rsid w:val="2EAE3447"/>
    <w:rsid w:val="31A15F24"/>
    <w:rsid w:val="36197A9F"/>
    <w:rsid w:val="36FB1DF0"/>
    <w:rsid w:val="395347B5"/>
    <w:rsid w:val="39A232A0"/>
    <w:rsid w:val="39E745AA"/>
    <w:rsid w:val="39EF1CBC"/>
    <w:rsid w:val="3B5A6BBB"/>
    <w:rsid w:val="3BFB67A7"/>
    <w:rsid w:val="3CA154E3"/>
    <w:rsid w:val="3EDA13A6"/>
    <w:rsid w:val="3FF56C14"/>
    <w:rsid w:val="417B75E9"/>
    <w:rsid w:val="42430A63"/>
    <w:rsid w:val="42753B93"/>
    <w:rsid w:val="42F058B7"/>
    <w:rsid w:val="436109F6"/>
    <w:rsid w:val="441A38D4"/>
    <w:rsid w:val="448C7E2C"/>
    <w:rsid w:val="4504239D"/>
    <w:rsid w:val="497A3843"/>
    <w:rsid w:val="4B62462D"/>
    <w:rsid w:val="4BC77339"/>
    <w:rsid w:val="4BFF3ECF"/>
    <w:rsid w:val="4C9236C5"/>
    <w:rsid w:val="4E250A85"/>
    <w:rsid w:val="4FC706E9"/>
    <w:rsid w:val="4FFD4925"/>
    <w:rsid w:val="505C172E"/>
    <w:rsid w:val="506405EA"/>
    <w:rsid w:val="52441F2D"/>
    <w:rsid w:val="52F46F0B"/>
    <w:rsid w:val="532B6A10"/>
    <w:rsid w:val="539E4E99"/>
    <w:rsid w:val="53D8014D"/>
    <w:rsid w:val="54261C93"/>
    <w:rsid w:val="550C209A"/>
    <w:rsid w:val="55E064E0"/>
    <w:rsid w:val="572C6D10"/>
    <w:rsid w:val="5B005C27"/>
    <w:rsid w:val="5DC34279"/>
    <w:rsid w:val="5E2239F7"/>
    <w:rsid w:val="5FCD688E"/>
    <w:rsid w:val="5FF9BDAA"/>
    <w:rsid w:val="608816D1"/>
    <w:rsid w:val="60EF4E7F"/>
    <w:rsid w:val="630F57C9"/>
    <w:rsid w:val="631A0CE7"/>
    <w:rsid w:val="64366C42"/>
    <w:rsid w:val="648B0A32"/>
    <w:rsid w:val="658F6764"/>
    <w:rsid w:val="665233C1"/>
    <w:rsid w:val="68407889"/>
    <w:rsid w:val="69AC0D42"/>
    <w:rsid w:val="6AD9688B"/>
    <w:rsid w:val="6B68303F"/>
    <w:rsid w:val="6D0E3F22"/>
    <w:rsid w:val="6F594875"/>
    <w:rsid w:val="71976413"/>
    <w:rsid w:val="72B427CB"/>
    <w:rsid w:val="744E4660"/>
    <w:rsid w:val="753355A2"/>
    <w:rsid w:val="759F1C61"/>
    <w:rsid w:val="769F2DE8"/>
    <w:rsid w:val="76FDEB7C"/>
    <w:rsid w:val="780345E7"/>
    <w:rsid w:val="79C65162"/>
    <w:rsid w:val="79EE7E31"/>
    <w:rsid w:val="7C9011D9"/>
    <w:rsid w:val="7C9377A5"/>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3">
    <w:name w:val="Body Text"/>
    <w:basedOn w:val="1"/>
    <w:next w:val="1"/>
    <w:qFormat/>
    <w:uiPriority w:val="0"/>
    <w:pPr>
      <w:spacing w:after="120"/>
    </w:pPr>
    <w:rPr>
      <w:rFonts w:ascii="等线" w:hAnsi="等线" w:eastAsia="等线"/>
      <w:szCs w:val="22"/>
    </w:rPr>
  </w:style>
  <w:style w:type="paragraph" w:styleId="6">
    <w:name w:val="annotation text"/>
    <w:basedOn w:val="1"/>
    <w:qFormat/>
    <w:uiPriority w:val="0"/>
    <w:pPr>
      <w:jc w:val="left"/>
    </w:pPr>
  </w:style>
  <w:style w:type="paragraph" w:styleId="7">
    <w:name w:val="Body Text Indent 2"/>
    <w:next w:val="1"/>
    <w:uiPriority w:val="0"/>
    <w:pPr>
      <w:widowControl w:val="0"/>
      <w:spacing w:after="120" w:afterLines="0" w:afterAutospacing="0" w:line="480" w:lineRule="auto"/>
      <w:ind w:left="420" w:leftChars="200"/>
      <w:jc w:val="both"/>
    </w:pPr>
    <w:rPr>
      <w:rFonts w:ascii="仿宋_GB2312" w:hAnsi="仿宋_GB2312" w:eastAsia="仿宋_GB2312" w:cs="Times New Roman"/>
      <w:kern w:val="2"/>
      <w:sz w:val="32"/>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样式 1 小三"/>
    <w:qFormat/>
    <w:uiPriority w:val="0"/>
    <w:pPr>
      <w:widowControl w:val="0"/>
      <w:jc w:val="both"/>
    </w:pPr>
    <w:rPr>
      <w:rFonts w:ascii="Times New Roman" w:hAnsi="Times New Roman" w:eastAsia="仿宋_GB2312" w:cs="Times New Roman"/>
      <w:kern w:val="2"/>
      <w:sz w:val="30"/>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576</Words>
  <Characters>621</Characters>
  <Lines>1</Lines>
  <Paragraphs>1</Paragraphs>
  <ScaleCrop>false</ScaleCrop>
  <LinksUpToDate>false</LinksUpToDate>
  <CharactersWithSpaces>629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2025-06-03T06:52:51Z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