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关于印发《渝中区促进现代金融业高质量发展若干政策（试行）》的通知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渝中府办〔2025〕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区政府各部门、各管委会，各街道办事处，有关单位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875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《渝中区促进现代金融业高质量发展若干政策（试行）》已经区政府同意，现印发给你们，请认真</w:t>
      </w:r>
      <w:r>
        <w:rPr>
          <w:rFonts w:hint="eastAsia" w:eastAsia="方正仿宋_GBK" w:cs="Times New Roman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贯彻执行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重庆市渝中区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5033" w:firstLineChars="1573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br w:type="page"/>
      </w:r>
    </w:p>
    <w:p>
      <w:pPr>
        <w:pStyle w:val="14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渝中区促进现代金融业高质量发展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若干政策（试行）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为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充分贯彻落实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习近平总书记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赋予重庆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建设西部金融中心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的重要部署，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深入落实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全市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智融惠畅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工程，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奋力书写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金融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五篇大文章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加快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打造西部金融中心主承载区，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全力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推动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渝中区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金融业高质量发展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</w:rPr>
        <w:t>结合本区实际，制定本</w:t>
      </w: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  <w:shd w:val="clear" w:color="auto" w:fill="FFFFFF"/>
          <w:lang w:eastAsia="zh-CN"/>
        </w:rPr>
        <w:t>政策。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适用范围。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本</w:t>
      </w:r>
      <w:r>
        <w:rPr>
          <w:rFonts w:hint="default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适用于在本区的银行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保险、证券等纳入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一行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一局一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监管的各类持牌金融机构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符合《重庆市地方金融监督管理条例》相关规定的地方金融组织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以及金融行业协会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。相关主体须符合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渝中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区产业发展导向，经营状况良好，无严重违法失信行为。</w:t>
      </w:r>
    </w:p>
    <w:p>
      <w:pPr>
        <w:keepNext w:val="0"/>
        <w:keepLines w:val="0"/>
        <w:pageBreakBefore w:val="0"/>
        <w:numPr>
          <w:ilvl w:val="-1"/>
          <w:numId w:val="0"/>
        </w:numPr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第二条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支持金融机构集聚发展。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鼓励境内外持牌金融机构设立法人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总部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地区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总部、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市级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机构。对各类优质金融机构，经综合认定给予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最高1000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万元的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扶持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第三条  支持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设立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行业自律组织。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鼓励具备条件的市场主体发起设立行业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协会、联合会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等行业自律组织，促进行业持续、快速、健康发展。对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国家、省（直辖市）级行业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自律组织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入驻我区并实际运行的，前3年每年给予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万元的运行补贴。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全球、全国知名高校学院来渝中设立金融相关分院或研究院，经综合认定，可参照行业协会予以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扶持）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第四条 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支持提升金融产业能级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持区内存量银行（含金融租赁、消费金融等）、保险、证券、期货等机构提规模、拓发展。对纳入行业监管部门统计口径的金融机构，根据归口渝中区的重点业务数据的规模及增速，经综合认定给予最高1000万元扶持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经认定的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地方金融组织和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其他金融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给予最高100万元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扶持。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支持绿色金融机构改革创新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绿色金融机构。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以来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的银行、保险等全国性和区域性绿色金融中心、绿色金融事业部、绿色分支机构，经认定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给予最高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做大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绿色贷款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规模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对区内年度新增绿色贷款余额达1亿元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及以上的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金融机构总部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和分支机构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经认定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给予绿色贷款余额增量不超过0.1%的补贴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最高1000万元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绿色债券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融资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在国内债券市场成功发行绿色债券，或境外资本市场发行绿色债券并调回渝中使用的区内非金融企业（在渝中区银行开设账户并存放资金），按照年度实际支付利息的20%进行贴息，贴息期限不超过3年，单只债券累计贴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最高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100万元。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支持金融科技应用发展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方正楷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鼓励金融机构设立科技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主体。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对新设立的银行或保险科技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经认定每家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给予最高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50万元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扶持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金融科技成果转化。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对获得市级以上科技奖并实施应用场景转化的金融科技成果，经认定，按照国家级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最高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100万元、市级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最高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50万元给予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支持金融机构创新业务发展。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鼓励金融租赁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开展航空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航运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配套租赁服务，对其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或通过SPV（特殊目的公司）采购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的飞机、船舶累计金额达到1亿元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以上，给予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不超过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10%补贴，最高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000万元。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支持企业降低融资成本。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对符合条件的企业，按其融资成本予以一定比例的贴息补贴，具体由各行业主管部门根据行业扶持政策相关规定执行。</w:t>
      </w:r>
    </w:p>
    <w:p>
      <w:pPr>
        <w:keepNext w:val="0"/>
        <w:keepLines w:val="0"/>
        <w:pageBreakBefore w:val="0"/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加强保障服务。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对经认定金融机构高管人员，</w:t>
      </w: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有关政策提供</w:t>
      </w: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服务。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附则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政策自公布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之日起</w:t>
      </w: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施行。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本政策实行申报认定制，申报认定工作按年度开展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区产业发展促进局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应每年明确申报指南及相关规则。申报主体需基于上年度经营发展情况提交申报材料，经有关部门综合审核认定后予以兑现。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left w:val="none" w:color="auto" w:sz="0" w:space="2"/>
          <w:bottom w:val="none" w:color="auto" w:sz="0" w:space="1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申报政策的企业，同一项目同时满足渝中区其他扶持政策扶持条件的，按照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就高不重复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原则执行。原则上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扶持资金可兑现给企业或经营团队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sz w:val="32"/>
      </w:rPr>
    </w:pPr>
  </w:p>
  <w:p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10795" r="17780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BvTpufyQEAAGQDAAAOAAAAZHJzL2Uyb0RvYy54bWytU82O0zAQ&#10;viPxDpbvNGmkRSFquoetlguCSsADTB07seQ/eUzTvgQvgMQNThy58zYsj8HY7Xb5uSF8mNjjmW/8&#10;fTNZXR+sYXsZUXvX8+Wi5kw64Qftxp6/fXP7pOUME7gBjHey50eJ/Hr9+NFqDp1s/OTNICMjEIfd&#10;HHo+pRS6qkIxSQu48EE6ulQ+Wkh0jGM1RJgJ3Zqqqeun1ezjEKIXEpG8m9MlXxd8paRIr5RCmZjp&#10;Ob0tFRuL3WVbrVfQjRHCpMX5GfAPr7CgHRW9QG0gAXsX9V9QVovo0au0EN5WXiktZOFAbJb1H2xe&#10;TxBk4ULiYLjIhP8PVrzcbyPTQ8+pUQ4stejuw9fv7z/9+PaR7N2Xz6zNIs0BO4q9cdt4PmHYxsz4&#10;oKLNX+LCDkXY40VYeUhMkLNt2rZuSH9xf1c9JIaI6bn0luVNz412mTN0sH+BiYpR6H1Idjt/q40p&#10;fTOOzT1vaF0RNND4KAOJtjYQIXQjZ2BGmkuRYoFEb/SQ0zMQxnF3YyLbQ56N+mr5rMlMqdxvYbn2&#10;BnA6xZWr09RYnWh0jbbEr87rnG0cgWS9Tgrl3c4PxyJc8VMrS5nz2OVZ+fVcsh9+jv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yYMd9QAAAAJAQAADwAAAAAAAAABACAAAAAiAAAAZHJzL2Rvd25y&#10;ZXYueG1sUEsBAhQAFAAAAAgAh07iQG9Om5/JAQAAZAMAAA4AAAAAAAAAAQAgAAAAIwEAAGRycy9l&#10;Mm9Eb2MueG1sUEsFBgAAAAAGAAYAWQEAAF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重庆市渝中区人民政府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363220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8pt;margin-top:28.6pt;height:0pt;width:651.15pt;z-index:251659264;mso-width-relative:page;mso-height-relative:page;" filled="f" stroked="t" coordsize="21600,21600" o:gfxdata="UEsDBAoAAAAAAIdO4kAAAAAAAAAAAAAAAAAEAAAAZHJzL1BLAwQUAAAACACHTuJAvL0DpNUAAAAJ&#10;AQAADwAAAGRycy9kb3ducmV2LnhtbE2PwU7DMBBE70j8g7VI3Fo7qWhRiFOJSJyAAy3c3XgbR43X&#10;lu0m5e9xxQGOszOaeVtvL3ZkE4Y4OJJQLAUwpM7pgXoJn/uXxSOwmBRpNTpCCd8YYdvc3tSq0m6m&#10;D5x2qWe5hGKlJJiUfMV57AxaFZfOI2Xv6IJVKcvQcx3UnMvtyEsh1tyqgfKCUR5bg91pd7YS2ldf&#10;tuZ9P4fyOb7102r0x9OXlPd3hXgClvCS/sJwxc/o0GSmgzuTjmyUsCjWOSnhYVMCu/orITbADr8X&#10;3tT8/wfND1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y9A6TVAAAACQ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2IzNDJkOGM1ZjlhNmU3OGI1ZmVlOGJmOGM0ZjQifQ=="/>
  </w:docVars>
  <w:rsids>
    <w:rsidRoot w:val="00172A27"/>
    <w:rsid w:val="019E71BD"/>
    <w:rsid w:val="01E93D58"/>
    <w:rsid w:val="04B679C3"/>
    <w:rsid w:val="05F07036"/>
    <w:rsid w:val="06E00104"/>
    <w:rsid w:val="080F63D8"/>
    <w:rsid w:val="08B50549"/>
    <w:rsid w:val="09341458"/>
    <w:rsid w:val="098254C2"/>
    <w:rsid w:val="0A766EDE"/>
    <w:rsid w:val="0AD64BE8"/>
    <w:rsid w:val="0B0912D7"/>
    <w:rsid w:val="0E025194"/>
    <w:rsid w:val="0EEF0855"/>
    <w:rsid w:val="117428AF"/>
    <w:rsid w:val="11DB7C71"/>
    <w:rsid w:val="14353156"/>
    <w:rsid w:val="152D2DCA"/>
    <w:rsid w:val="187168EA"/>
    <w:rsid w:val="187C1EEF"/>
    <w:rsid w:val="196673CA"/>
    <w:rsid w:val="1B8C1136"/>
    <w:rsid w:val="1CF734C9"/>
    <w:rsid w:val="1DEC284C"/>
    <w:rsid w:val="1E6523AC"/>
    <w:rsid w:val="206407AA"/>
    <w:rsid w:val="22440422"/>
    <w:rsid w:val="22BB4BBB"/>
    <w:rsid w:val="25EB1AF4"/>
    <w:rsid w:val="28B12CB8"/>
    <w:rsid w:val="29036482"/>
    <w:rsid w:val="2DD05FE1"/>
    <w:rsid w:val="2EAE3447"/>
    <w:rsid w:val="31A15F24"/>
    <w:rsid w:val="36197A9F"/>
    <w:rsid w:val="36FB1DF0"/>
    <w:rsid w:val="3893700E"/>
    <w:rsid w:val="395347B5"/>
    <w:rsid w:val="39A232A0"/>
    <w:rsid w:val="39E745AA"/>
    <w:rsid w:val="39EF1CBC"/>
    <w:rsid w:val="3B5A6BBB"/>
    <w:rsid w:val="3BFB67A7"/>
    <w:rsid w:val="3CA154E3"/>
    <w:rsid w:val="3EDA13A6"/>
    <w:rsid w:val="3FF56C14"/>
    <w:rsid w:val="417B75E9"/>
    <w:rsid w:val="42430A63"/>
    <w:rsid w:val="42753B93"/>
    <w:rsid w:val="42F058B7"/>
    <w:rsid w:val="436109F6"/>
    <w:rsid w:val="441A38D4"/>
    <w:rsid w:val="448C7E2C"/>
    <w:rsid w:val="4504239D"/>
    <w:rsid w:val="497A3843"/>
    <w:rsid w:val="4B62462D"/>
    <w:rsid w:val="4BC77339"/>
    <w:rsid w:val="4BFF3ECF"/>
    <w:rsid w:val="4C9236C5"/>
    <w:rsid w:val="4E250A85"/>
    <w:rsid w:val="4FC706E9"/>
    <w:rsid w:val="4FFD4925"/>
    <w:rsid w:val="505C172E"/>
    <w:rsid w:val="506405EA"/>
    <w:rsid w:val="52441F2D"/>
    <w:rsid w:val="52F46F0B"/>
    <w:rsid w:val="532B6A10"/>
    <w:rsid w:val="539E4E99"/>
    <w:rsid w:val="53D8014D"/>
    <w:rsid w:val="54261C93"/>
    <w:rsid w:val="550C209A"/>
    <w:rsid w:val="55E064E0"/>
    <w:rsid w:val="572C6D10"/>
    <w:rsid w:val="5B005C27"/>
    <w:rsid w:val="5DC34279"/>
    <w:rsid w:val="5E2239F7"/>
    <w:rsid w:val="5FCD688E"/>
    <w:rsid w:val="5FF9BDAA"/>
    <w:rsid w:val="608816D1"/>
    <w:rsid w:val="60EF4E7F"/>
    <w:rsid w:val="630F57C9"/>
    <w:rsid w:val="631A0CE7"/>
    <w:rsid w:val="64366C42"/>
    <w:rsid w:val="648B0A32"/>
    <w:rsid w:val="658F6764"/>
    <w:rsid w:val="665233C1"/>
    <w:rsid w:val="68407889"/>
    <w:rsid w:val="69974AF9"/>
    <w:rsid w:val="69AC0D42"/>
    <w:rsid w:val="6AD9688B"/>
    <w:rsid w:val="6B68303F"/>
    <w:rsid w:val="6D0E3F22"/>
    <w:rsid w:val="6F594875"/>
    <w:rsid w:val="72B427CB"/>
    <w:rsid w:val="744E4660"/>
    <w:rsid w:val="753355A2"/>
    <w:rsid w:val="759F1C61"/>
    <w:rsid w:val="769F2DE8"/>
    <w:rsid w:val="76FDEB7C"/>
    <w:rsid w:val="780345E7"/>
    <w:rsid w:val="79C65162"/>
    <w:rsid w:val="79EE7E31"/>
    <w:rsid w:val="7C9011D9"/>
    <w:rsid w:val="7C9377A5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等线" w:hAnsi="等线" w:eastAsia="等线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 2"/>
    <w:next w:val="1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4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6">
    <w:name w:val="样式 1 小三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621</Characters>
  <Lines>1</Lines>
  <Paragraphs>1</Paragraphs>
  <ScaleCrop>false</ScaleCrop>
  <LinksUpToDate>false</LinksUpToDate>
  <CharactersWithSpaces>629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2025-06-04T02:21:29Z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48C61CB29D3F4D9384F5922CF0F7FFB4</vt:lpwstr>
  </property>
</Properties>
</file>