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E4701">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0" w:name="bh"/>
      <w:bookmarkEnd w:id="0"/>
      <w:bookmarkStart w:id="1" w:name="fwz"/>
      <w:bookmarkEnd w:id="1"/>
      <w:bookmarkStart w:id="2" w:name="nd"/>
      <w:bookmarkEnd w:id="2"/>
    </w:p>
    <w:p w14:paraId="025543AB">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3" w:name="fh"/>
      <w:bookmarkEnd w:id="3"/>
    </w:p>
    <w:p w14:paraId="4C685395">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4" w:name="hj"/>
      <w:bookmarkEnd w:id="4"/>
      <w:bookmarkStart w:id="5" w:name="mj"/>
      <w:bookmarkEnd w:id="5"/>
    </w:p>
    <w:p w14:paraId="39E402D3">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组合 7" o:spid="_x0000_s1026" o:spt="203" style="position:absolute;left:0pt;margin-left:0pt;margin-top:31.05pt;height:140.6pt;width:441pt;z-index:251659264;mso-width-relative:page;mso-height-relative:page;" coordorigin="1587,4018" coordsize="8820,2812">
            <o:lock v:ext="edit"/>
            <v:shape id="艺术字 8" o:spid="_x0000_s1027" o:spt="136" type="#_x0000_t136" style="position:absolute;left:1815;top:4018;height:1077;width:8277;" fillcolor="#FF0000" filled="t" stroked="t" coordsize="21600,21600" adj="10800">
              <v:path/>
              <v:fill on="t" focussize="0,0"/>
              <v:stroke color="#FF0000"/>
              <v:imagedata o:title=""/>
              <o:lock v:ext="edit"/>
              <v:textpath on="t" fitshape="t" fitpath="t" trim="t" xscale="f" string="重庆市渝中区人民政府办公室文件" style="font-family:方正小标宋_GBK;font-size:40pt;v-text-align:center;"/>
            </v:shape>
            <v:line id="直线 9" o:spid="_x0000_s1028" o:spt="20" style="position:absolute;left:1587;top:6829;height:1;width:8820;" filled="f" stroked="t" coordsize="21600,21600">
              <v:path arrowok="t"/>
              <v:fill on="f" focussize="0,0"/>
              <v:stroke weight="2pt" color="#FF0000"/>
              <v:imagedata o:title=""/>
              <o:lock v:ext="edit"/>
            </v:line>
          </v:group>
        </w:pict>
      </w:r>
      <w:bookmarkEnd w:id="6"/>
    </w:p>
    <w:p w14:paraId="4C50757C">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right="0" w:firstLine="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358B84FC">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14:paraId="46B28F5D">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14:paraId="3F5957C9">
      <w:pPr>
        <w:keepNext w:val="0"/>
        <w:keepLines w:val="0"/>
        <w:pageBreakBefore w:val="0"/>
        <w:widowControl w:val="0"/>
        <w:kinsoku/>
        <w:wordWrap/>
        <w:overflowPunct w:val="0"/>
        <w:topLinePunct w:val="0"/>
        <w:autoSpaceDE/>
        <w:autoSpaceDN/>
        <w:bidi w:val="0"/>
        <w:adjustRightInd/>
        <w:snapToGrid/>
        <w:spacing w:after="0" w:line="660" w:lineRule="exact"/>
        <w:ind w:left="0" w:right="0" w:firstLine="0"/>
        <w:jc w:val="center"/>
        <w:textAlignment w:val="auto"/>
        <w:outlineLvl w:val="9"/>
        <w:rPr>
          <w:rFonts w:ascii="Times New Roman" w:hAnsi="Times New Roman" w:eastAsia="方正仿宋_GBK" w:cs="Times New Roman"/>
          <w:color w:val="auto"/>
          <w:spacing w:val="0"/>
          <w:sz w:val="32"/>
          <w:szCs w:val="32"/>
          <w:highlight w:val="none"/>
          <w:lang w:val="en-US" w:eastAsia="zh-CN"/>
        </w:rPr>
      </w:pPr>
      <w:r>
        <w:rPr>
          <w:rFonts w:ascii="Times New Roman" w:hAnsi="Times New Roman" w:eastAsia="方正仿宋_GBK" w:cs="Times New Roman"/>
          <w:color w:val="auto"/>
          <w:spacing w:val="0"/>
          <w:sz w:val="32"/>
          <w:szCs w:val="32"/>
          <w:highlight w:val="none"/>
          <w:lang w:val="en-US" w:eastAsia="zh-CN"/>
        </w:rPr>
        <w:t>渝中府办〔2025〕</w:t>
      </w:r>
      <w:r>
        <w:rPr>
          <w:rFonts w:hint="eastAsia" w:ascii="Times New Roman" w:hAnsi="Times New Roman" w:eastAsia="方正仿宋_GBK" w:cs="Times New Roman"/>
          <w:color w:val="auto"/>
          <w:spacing w:val="0"/>
          <w:sz w:val="32"/>
          <w:szCs w:val="32"/>
          <w:highlight w:val="none"/>
          <w:lang w:val="en-US" w:eastAsia="zh-CN"/>
        </w:rPr>
        <w:t>105</w:t>
      </w:r>
      <w:r>
        <w:rPr>
          <w:rFonts w:ascii="Times New Roman" w:hAnsi="Times New Roman" w:eastAsia="方正仿宋_GBK" w:cs="Times New Roman"/>
          <w:color w:val="auto"/>
          <w:spacing w:val="0"/>
          <w:sz w:val="32"/>
          <w:szCs w:val="32"/>
          <w:highlight w:val="none"/>
          <w:lang w:val="en-US" w:eastAsia="zh-CN"/>
        </w:rPr>
        <w:t>号</w:t>
      </w:r>
    </w:p>
    <w:p w14:paraId="27F0AF90">
      <w:pPr>
        <w:keepNext w:val="0"/>
        <w:keepLines w:val="0"/>
        <w:pageBreakBefore w:val="0"/>
        <w:widowControl w:val="0"/>
        <w:kinsoku/>
        <w:wordWrap/>
        <w:overflowPunct w:val="0"/>
        <w:topLinePunct w:val="0"/>
        <w:autoSpaceDE/>
        <w:autoSpaceDN/>
        <w:bidi w:val="0"/>
        <w:adjustRightInd/>
        <w:snapToGrid/>
        <w:spacing w:after="0" w:line="660" w:lineRule="exact"/>
        <w:ind w:right="0"/>
        <w:jc w:val="center"/>
        <w:textAlignment w:val="auto"/>
        <w:rPr>
          <w:rFonts w:ascii="Times New Roman" w:hAnsi="Times New Roman" w:eastAsia="方正仿宋_GBK" w:cs="Times New Roman"/>
          <w:color w:val="auto"/>
          <w:spacing w:val="0"/>
          <w:sz w:val="32"/>
          <w:szCs w:val="32"/>
          <w:highlight w:val="none"/>
        </w:rPr>
      </w:pPr>
    </w:p>
    <w:p w14:paraId="2621D18C">
      <w:pPr>
        <w:keepNext w:val="0"/>
        <w:keepLines w:val="0"/>
        <w:pageBreakBefore w:val="0"/>
        <w:widowControl w:val="0"/>
        <w:kinsoku/>
        <w:wordWrap/>
        <w:overflowPunct w:val="0"/>
        <w:topLinePunct w:val="0"/>
        <w:autoSpaceDE/>
        <w:autoSpaceDN/>
        <w:bidi w:val="0"/>
        <w:spacing w:line="620" w:lineRule="exact"/>
        <w:jc w:val="center"/>
        <w:textAlignment w:val="auto"/>
        <w:rPr>
          <w:rFonts w:ascii="Times New Roman" w:hAnsi="Times New Roman" w:eastAsia="方正小标宋_GBK" w:cs="Times New Roman"/>
          <w:spacing w:val="0"/>
          <w:sz w:val="44"/>
          <w:szCs w:val="44"/>
          <w:lang w:eastAsia="zh-CN" w:bidi="ar-SA"/>
        </w:rPr>
      </w:pPr>
      <w:r>
        <w:rPr>
          <w:rFonts w:ascii="Times New Roman" w:hAnsi="Times New Roman" w:eastAsia="方正小标宋_GBK" w:cs="Times New Roman"/>
          <w:spacing w:val="0"/>
          <w:sz w:val="44"/>
          <w:szCs w:val="44"/>
          <w:lang w:eastAsia="zh-CN" w:bidi="ar-SA"/>
        </w:rPr>
        <w:t>重庆市</w:t>
      </w:r>
      <w:r>
        <w:rPr>
          <w:rFonts w:ascii="Times New Roman" w:hAnsi="Times New Roman" w:eastAsia="方正小标宋_GBK" w:cs="Times New Roman"/>
          <w:spacing w:val="0"/>
          <w:sz w:val="44"/>
          <w:szCs w:val="44"/>
          <w:lang w:bidi="ar-SA"/>
        </w:rPr>
        <w:t>渝中区</w:t>
      </w:r>
      <w:r>
        <w:rPr>
          <w:rFonts w:ascii="Times New Roman" w:hAnsi="Times New Roman" w:eastAsia="方正小标宋_GBK" w:cs="Times New Roman"/>
          <w:spacing w:val="0"/>
          <w:sz w:val="44"/>
          <w:szCs w:val="44"/>
          <w:lang w:eastAsia="zh-CN" w:bidi="ar-SA"/>
        </w:rPr>
        <w:t>人民政府办公室</w:t>
      </w:r>
    </w:p>
    <w:p w14:paraId="222E62CE">
      <w:pPr>
        <w:keepNext w:val="0"/>
        <w:keepLines w:val="0"/>
        <w:pageBreakBefore w:val="0"/>
        <w:widowControl w:val="0"/>
        <w:kinsoku/>
        <w:wordWrap/>
        <w:overflowPunct w:val="0"/>
        <w:topLinePunct w:val="0"/>
        <w:autoSpaceDE/>
        <w:autoSpaceDN/>
        <w:bidi w:val="0"/>
        <w:adjustRightInd w:val="0"/>
        <w:snapToGrid w:val="0"/>
        <w:spacing w:line="620" w:lineRule="exact"/>
        <w:ind w:right="0"/>
        <w:jc w:val="center"/>
        <w:textAlignment w:val="auto"/>
        <w:rPr>
          <w:rFonts w:ascii="Times New Roman" w:hAnsi="Times New Roman" w:eastAsia="方正小标宋_GBK" w:cs="Times New Roman"/>
          <w:spacing w:val="0"/>
          <w:sz w:val="44"/>
          <w:szCs w:val="44"/>
          <w:lang w:bidi="ar-SA"/>
        </w:rPr>
      </w:pPr>
      <w:r>
        <w:rPr>
          <w:rFonts w:ascii="Times New Roman" w:hAnsi="Times New Roman" w:eastAsia="方正小标宋_GBK" w:cs="Times New Roman"/>
          <w:spacing w:val="0"/>
          <w:sz w:val="44"/>
          <w:szCs w:val="44"/>
          <w:lang w:bidi="ar-SA"/>
        </w:rPr>
        <w:t>关于印发《</w:t>
      </w:r>
      <w:r>
        <w:rPr>
          <w:rFonts w:ascii="Times New Roman" w:hAnsi="Times New Roman" w:eastAsia="方正小标宋_GBK" w:cs="Times New Roman"/>
          <w:spacing w:val="0"/>
          <w:sz w:val="44"/>
          <w:szCs w:val="44"/>
          <w:lang w:eastAsia="zh-CN" w:bidi="ar-SA"/>
        </w:rPr>
        <w:t>重庆市</w:t>
      </w:r>
      <w:r>
        <w:rPr>
          <w:rFonts w:ascii="Times New Roman" w:hAnsi="Times New Roman" w:eastAsia="方正小标宋_GBK" w:cs="Times New Roman"/>
          <w:color w:val="auto"/>
          <w:spacing w:val="0"/>
          <w:sz w:val="44"/>
          <w:szCs w:val="44"/>
          <w:lang w:val="en-US" w:eastAsia="zh-CN"/>
        </w:rPr>
        <w:t>渝中区可持续城市更新三年行动方案（2025—2027年）</w:t>
      </w:r>
      <w:r>
        <w:rPr>
          <w:rFonts w:ascii="Times New Roman" w:hAnsi="Times New Roman" w:eastAsia="方正小标宋_GBK" w:cs="Times New Roman"/>
          <w:spacing w:val="0"/>
          <w:sz w:val="44"/>
          <w:szCs w:val="44"/>
          <w:lang w:bidi="ar-SA"/>
        </w:rPr>
        <w:t>》的通知</w:t>
      </w:r>
    </w:p>
    <w:p w14:paraId="60030C73">
      <w:pPr>
        <w:keepNext w:val="0"/>
        <w:keepLines w:val="0"/>
        <w:pageBreakBefore w:val="0"/>
        <w:widowControl w:val="0"/>
        <w:kinsoku/>
        <w:wordWrap/>
        <w:overflowPunct w:val="0"/>
        <w:topLinePunct w:val="0"/>
        <w:autoSpaceDE/>
        <w:autoSpaceDN/>
        <w:bidi w:val="0"/>
        <w:adjustRightInd w:val="0"/>
        <w:snapToGrid w:val="0"/>
        <w:spacing w:line="620" w:lineRule="exact"/>
        <w:ind w:right="0"/>
        <w:textAlignment w:val="auto"/>
        <w:rPr>
          <w:rFonts w:ascii="Times New Roman" w:hAnsi="Times New Roman" w:eastAsia="方正仿宋_GBK" w:cs="Times New Roman"/>
          <w:spacing w:val="0"/>
          <w:sz w:val="32"/>
          <w:szCs w:val="32"/>
          <w:lang w:bidi="ar-SA"/>
        </w:rPr>
      </w:pPr>
    </w:p>
    <w:p w14:paraId="13973AF9">
      <w:pPr>
        <w:keepNext w:val="0"/>
        <w:keepLines w:val="0"/>
        <w:pageBreakBefore w:val="0"/>
        <w:widowControl w:val="0"/>
        <w:kinsoku/>
        <w:wordWrap/>
        <w:overflowPunct w:val="0"/>
        <w:topLinePunct w:val="0"/>
        <w:autoSpaceDE/>
        <w:autoSpaceDN/>
        <w:bidi w:val="0"/>
        <w:adjustRightInd w:val="0"/>
        <w:snapToGrid w:val="0"/>
        <w:spacing w:line="620" w:lineRule="exact"/>
        <w:ind w:right="0"/>
        <w:jc w:val="both"/>
        <w:textAlignment w:val="auto"/>
        <w:rPr>
          <w:rFonts w:ascii="Times New Roman" w:hAnsi="Times New Roman" w:eastAsia="方正仿宋_GBK" w:cs="Times New Roman"/>
          <w:spacing w:val="0"/>
          <w:sz w:val="32"/>
          <w:szCs w:val="32"/>
          <w:lang w:bidi="ar-SA"/>
        </w:rPr>
      </w:pPr>
      <w:r>
        <w:rPr>
          <w:rFonts w:ascii="Times New Roman" w:hAnsi="Times New Roman" w:eastAsia="方正仿宋_GBK" w:cs="Times New Roman"/>
          <w:spacing w:val="0"/>
          <w:sz w:val="32"/>
          <w:szCs w:val="32"/>
          <w:lang w:bidi="ar-SA"/>
        </w:rPr>
        <w:t>区</w:t>
      </w:r>
      <w:r>
        <w:rPr>
          <w:rFonts w:ascii="Times New Roman" w:hAnsi="Times New Roman" w:eastAsia="方正仿宋_GBK" w:cs="Times New Roman"/>
          <w:spacing w:val="0"/>
          <w:sz w:val="32"/>
          <w:szCs w:val="32"/>
          <w:lang w:eastAsia="zh-CN" w:bidi="ar-SA"/>
        </w:rPr>
        <w:t>政府</w:t>
      </w:r>
      <w:r>
        <w:rPr>
          <w:rFonts w:ascii="Times New Roman" w:hAnsi="Times New Roman" w:eastAsia="方正仿宋_GBK" w:cs="Times New Roman"/>
          <w:spacing w:val="0"/>
          <w:sz w:val="32"/>
          <w:szCs w:val="32"/>
          <w:lang w:bidi="ar-SA"/>
        </w:rPr>
        <w:t>各部门</w:t>
      </w:r>
      <w:r>
        <w:rPr>
          <w:rFonts w:ascii="Times New Roman" w:hAnsi="Times New Roman" w:eastAsia="方正仿宋_GBK" w:cs="Times New Roman"/>
          <w:spacing w:val="0"/>
          <w:sz w:val="32"/>
          <w:szCs w:val="32"/>
          <w:lang w:eastAsia="zh-CN" w:bidi="ar-SA"/>
        </w:rPr>
        <w:t>、</w:t>
      </w:r>
      <w:r>
        <w:rPr>
          <w:rFonts w:ascii="Times New Roman" w:hAnsi="Times New Roman" w:eastAsia="方正仿宋_GBK" w:cs="Times New Roman"/>
          <w:spacing w:val="0"/>
          <w:sz w:val="32"/>
          <w:szCs w:val="32"/>
          <w:lang w:bidi="ar-SA"/>
        </w:rPr>
        <w:t>各管委会</w:t>
      </w:r>
      <w:r>
        <w:rPr>
          <w:rFonts w:ascii="Times New Roman" w:hAnsi="Times New Roman" w:eastAsia="方正仿宋_GBK" w:cs="Times New Roman"/>
          <w:spacing w:val="0"/>
          <w:sz w:val="32"/>
          <w:szCs w:val="32"/>
          <w:lang w:eastAsia="zh-CN" w:bidi="ar-SA"/>
        </w:rPr>
        <w:t>，各</w:t>
      </w:r>
      <w:r>
        <w:rPr>
          <w:rFonts w:ascii="Times New Roman" w:hAnsi="Times New Roman" w:eastAsia="方正仿宋_GBK" w:cs="Times New Roman"/>
          <w:spacing w:val="0"/>
          <w:sz w:val="32"/>
          <w:szCs w:val="32"/>
          <w:lang w:bidi="ar-SA"/>
        </w:rPr>
        <w:t>街道办事处，有关单位：</w:t>
      </w:r>
    </w:p>
    <w:p w14:paraId="33D53E67">
      <w:pPr>
        <w:keepNext w:val="0"/>
        <w:keepLines w:val="0"/>
        <w:pageBreakBefore w:val="0"/>
        <w:widowControl w:val="0"/>
        <w:tabs>
          <w:tab w:val="left" w:pos="1890"/>
        </w:tabs>
        <w:kinsoku/>
        <w:wordWrap/>
        <w:overflowPunct w:val="0"/>
        <w:topLinePunct w:val="0"/>
        <w:autoSpaceDE/>
        <w:autoSpaceDN/>
        <w:bidi w:val="0"/>
        <w:adjustRightInd/>
        <w:snapToGrid/>
        <w:spacing w:line="620" w:lineRule="exact"/>
        <w:ind w:right="0" w:firstLine="640" w:firstLineChars="200"/>
        <w:jc w:val="both"/>
        <w:textAlignment w:val="auto"/>
        <w:rPr>
          <w:rFonts w:ascii="Times New Roman" w:hAnsi="Times New Roman" w:eastAsia="方正仿宋_GBK" w:cs="Times New Roman"/>
          <w:color w:val="000000"/>
          <w:spacing w:val="0"/>
          <w:sz w:val="32"/>
          <w:szCs w:val="32"/>
          <w:lang w:eastAsia="zh-CN" w:bidi="ar-SA"/>
        </w:rPr>
      </w:pPr>
      <w:r>
        <w:rPr>
          <w:rFonts w:ascii="Times New Roman" w:hAnsi="Times New Roman" w:eastAsia="方正仿宋_GBK" w:cs="Times New Roman"/>
          <w:spacing w:val="0"/>
          <w:sz w:val="32"/>
          <w:szCs w:val="32"/>
          <w:lang w:bidi="ar-SA"/>
        </w:rPr>
        <w:t>《重庆市渝中区可持续城市更新三年行动方案（2025—2027年）》已经</w:t>
      </w:r>
      <w:r>
        <w:rPr>
          <w:rFonts w:ascii="Times New Roman" w:hAnsi="Times New Roman" w:eastAsia="方正仿宋_GBK" w:cs="Times New Roman"/>
          <w:spacing w:val="0"/>
          <w:sz w:val="32"/>
          <w:szCs w:val="32"/>
          <w:lang w:eastAsia="zh-CN" w:bidi="ar-SA"/>
        </w:rPr>
        <w:t>区政府同意</w:t>
      </w:r>
      <w:r>
        <w:rPr>
          <w:rFonts w:ascii="Times New Roman" w:hAnsi="Times New Roman" w:eastAsia="方正仿宋_GBK" w:cs="Times New Roman"/>
          <w:spacing w:val="0"/>
          <w:sz w:val="32"/>
          <w:szCs w:val="32"/>
          <w:lang w:bidi="ar-SA"/>
        </w:rPr>
        <w:t>，现印发给你们，请</w:t>
      </w:r>
      <w:r>
        <w:rPr>
          <w:rFonts w:ascii="Times New Roman" w:hAnsi="Times New Roman" w:eastAsia="方正仿宋_GBK" w:cs="Times New Roman"/>
          <w:spacing w:val="0"/>
          <w:sz w:val="32"/>
          <w:szCs w:val="32"/>
          <w:lang w:eastAsia="zh-CN" w:bidi="ar-SA"/>
        </w:rPr>
        <w:t>认真贯彻执行</w:t>
      </w:r>
      <w:r>
        <w:rPr>
          <w:rFonts w:ascii="Times New Roman" w:hAnsi="Times New Roman" w:eastAsia="方正仿宋_GBK" w:cs="Times New Roman"/>
          <w:spacing w:val="0"/>
          <w:sz w:val="32"/>
          <w:szCs w:val="32"/>
          <w:lang w:bidi="ar-SA"/>
        </w:rPr>
        <w:t>。</w:t>
      </w:r>
    </w:p>
    <w:p w14:paraId="6E4996AA">
      <w:pPr>
        <w:keepNext w:val="0"/>
        <w:keepLines w:val="0"/>
        <w:pageBreakBefore w:val="0"/>
        <w:widowControl w:val="0"/>
        <w:kinsoku/>
        <w:wordWrap/>
        <w:overflowPunct w:val="0"/>
        <w:topLinePunct w:val="0"/>
        <w:autoSpaceDE/>
        <w:autoSpaceDN/>
        <w:bidi w:val="0"/>
        <w:adjustRightInd/>
        <w:snapToGrid/>
        <w:spacing w:line="620" w:lineRule="exact"/>
        <w:ind w:right="0"/>
        <w:jc w:val="left"/>
        <w:textAlignment w:val="auto"/>
        <w:rPr>
          <w:rFonts w:ascii="Times New Roman" w:hAnsi="Times New Roman" w:eastAsia="方正楷体_GBK" w:cs="Times New Roman"/>
          <w:color w:val="000000"/>
          <w:spacing w:val="0"/>
          <w:sz w:val="32"/>
          <w:szCs w:val="32"/>
          <w:lang w:bidi="ar-SA"/>
        </w:rPr>
      </w:pPr>
    </w:p>
    <w:p w14:paraId="6F6B88CA">
      <w:pPr>
        <w:pStyle w:val="7"/>
        <w:keepNext w:val="0"/>
        <w:keepLines w:val="0"/>
        <w:pageBreakBefore w:val="0"/>
        <w:widowControl w:val="0"/>
        <w:kinsoku/>
        <w:wordWrap/>
        <w:overflowPunct w:val="0"/>
        <w:topLinePunct w:val="0"/>
        <w:autoSpaceDE/>
        <w:autoSpaceDN/>
        <w:bidi w:val="0"/>
        <w:spacing w:line="620" w:lineRule="exact"/>
        <w:ind w:left="0" w:firstLine="0" w:firstLineChars="0"/>
        <w:rPr>
          <w:rFonts w:ascii="Times New Roman" w:hAnsi="Times New Roman" w:cs="Times New Roman"/>
        </w:rPr>
      </w:pPr>
    </w:p>
    <w:p w14:paraId="6FE15901">
      <w:pPr>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firstLine="4320" w:firstLineChars="1350"/>
        <w:jc w:val="both"/>
        <w:textAlignment w:val="baseline"/>
        <w:rPr>
          <w:rFonts w:ascii="Times New Roman" w:hAnsi="Times New Roman" w:eastAsia="方正仿宋_GBK" w:cs="Times New Roman"/>
          <w:color w:val="000000"/>
          <w:kern w:val="0"/>
          <w:sz w:val="32"/>
          <w:szCs w:val="32"/>
          <w:highlight w:val="none"/>
          <w:lang w:val="en-US" w:eastAsia="zh-CN"/>
        </w:rPr>
      </w:pPr>
      <w:r>
        <w:rPr>
          <w:rFonts w:ascii="Times New Roman" w:hAnsi="Times New Roman" w:eastAsia="方正仿宋_GBK" w:cs="Times New Roman"/>
          <w:color w:val="000000"/>
          <w:sz w:val="32"/>
          <w:szCs w:val="32"/>
          <w:highlight w:val="none"/>
        </w:rPr>
        <w:t>重庆市</w:t>
      </w:r>
      <w:r>
        <w:rPr>
          <w:rFonts w:ascii="Times New Roman" w:hAnsi="Times New Roman" w:eastAsia="方正仿宋_GBK" w:cs="Times New Roman"/>
          <w:color w:val="000000"/>
          <w:sz w:val="32"/>
          <w:szCs w:val="32"/>
          <w:highlight w:val="none"/>
          <w:lang w:eastAsia="zh-CN"/>
        </w:rPr>
        <w:t>渝中</w:t>
      </w:r>
      <w:r>
        <w:rPr>
          <w:rFonts w:ascii="Times New Roman" w:hAnsi="Times New Roman" w:eastAsia="方正仿宋_GBK" w:cs="Times New Roman"/>
          <w:color w:val="000000"/>
          <w:sz w:val="32"/>
          <w:szCs w:val="32"/>
          <w:highlight w:val="none"/>
        </w:rPr>
        <w:t>区</w:t>
      </w:r>
      <w:r>
        <w:rPr>
          <w:rFonts w:ascii="Times New Roman" w:hAnsi="Times New Roman" w:eastAsia="方正仿宋_GBK" w:cs="Times New Roman"/>
          <w:color w:val="000000"/>
          <w:sz w:val="32"/>
          <w:szCs w:val="32"/>
          <w:highlight w:val="none"/>
          <w:lang w:eastAsia="zh-CN"/>
        </w:rPr>
        <w:t>人民政府</w:t>
      </w:r>
      <w:r>
        <w:rPr>
          <w:rFonts w:ascii="Times New Roman" w:hAnsi="Times New Roman" w:eastAsia="方正仿宋_GBK" w:cs="Times New Roman"/>
          <w:color w:val="000000"/>
          <w:sz w:val="32"/>
          <w:szCs w:val="32"/>
          <w:highlight w:val="none"/>
        </w:rPr>
        <w:t>办公室</w:t>
      </w:r>
    </w:p>
    <w:p w14:paraId="558C3C07">
      <w:pPr>
        <w:keepNext w:val="0"/>
        <w:keepLines w:val="0"/>
        <w:pageBreakBefore w:val="0"/>
        <w:widowControl w:val="0"/>
        <w:kinsoku/>
        <w:wordWrap/>
        <w:overflowPunct w:val="0"/>
        <w:topLinePunct w:val="0"/>
        <w:autoSpaceDE/>
        <w:autoSpaceDN/>
        <w:bidi w:val="0"/>
        <w:adjustRightInd/>
        <w:snapToGrid/>
        <w:spacing w:line="620" w:lineRule="exact"/>
        <w:ind w:firstLine="5120" w:firstLineChars="1600"/>
        <w:jc w:val="both"/>
        <w:textAlignment w:val="auto"/>
        <w:rPr>
          <w:rFonts w:ascii="Times New Roman" w:hAnsi="Times New Roman" w:eastAsia="方正仿宋_GBK" w:cs="Times New Roman"/>
          <w:color w:val="000000"/>
          <w:kern w:val="0"/>
          <w:sz w:val="32"/>
          <w:szCs w:val="32"/>
          <w:highlight w:val="none"/>
          <w:lang w:val="en-US" w:eastAsia="zh-CN"/>
        </w:rPr>
      </w:pPr>
      <w:r>
        <w:rPr>
          <w:rFonts w:ascii="Times New Roman" w:hAnsi="Times New Roman" w:eastAsia="方正仿宋_GBK" w:cs="Times New Roman"/>
          <w:color w:val="000000"/>
          <w:kern w:val="0"/>
          <w:sz w:val="32"/>
          <w:szCs w:val="32"/>
          <w:highlight w:val="none"/>
          <w:lang w:val="en-US" w:eastAsia="zh-CN"/>
        </w:rPr>
        <w:t>2025年12月24日</w:t>
      </w:r>
    </w:p>
    <w:p w14:paraId="2ADE9BD2">
      <w:pPr>
        <w:keepNext w:val="0"/>
        <w:keepLines w:val="0"/>
        <w:pageBreakBefore w:val="0"/>
        <w:widowControl w:val="0"/>
        <w:tabs>
          <w:tab w:val="left" w:pos="1890"/>
        </w:tabs>
        <w:kinsoku/>
        <w:wordWrap/>
        <w:overflowPunct w:val="0"/>
        <w:topLinePunct w:val="0"/>
        <w:autoSpaceDE/>
        <w:autoSpaceDN/>
        <w:bidi w:val="0"/>
        <w:adjustRightInd/>
        <w:snapToGrid/>
        <w:spacing w:line="620" w:lineRule="exact"/>
        <w:ind w:right="0" w:firstLine="640" w:firstLineChars="200"/>
        <w:jc w:val="both"/>
        <w:textAlignment w:val="auto"/>
        <w:rPr>
          <w:rFonts w:ascii="Times New Roman" w:hAnsi="Times New Roman" w:eastAsia="方正仿宋_GBK" w:cs="Times New Roman"/>
          <w:spacing w:val="0"/>
          <w:sz w:val="32"/>
          <w:szCs w:val="32"/>
          <w:lang w:val="en-US" w:eastAsia="zh-CN" w:bidi="ar-SA"/>
        </w:rPr>
        <w:sectPr>
          <w:headerReference r:id="rId3" w:type="default"/>
          <w:footerReference r:id="rId4" w:type="default"/>
          <w:footerReference r:id="rId5" w:type="even"/>
          <w:pgSz w:w="11905" w:h="16838"/>
          <w:pgMar w:top="1417" w:right="1587" w:bottom="1417" w:left="1587" w:header="851" w:footer="992" w:gutter="0"/>
          <w:cols w:space="720" w:num="1"/>
          <w:docGrid w:type="lines" w:linePitch="560" w:charSpace="0"/>
        </w:sectPr>
      </w:pPr>
      <w:r>
        <w:rPr>
          <w:rFonts w:ascii="Times New Roman" w:hAnsi="Times New Roman" w:eastAsia="方正仿宋_GBK" w:cs="Times New Roman"/>
          <w:spacing w:val="0"/>
          <w:sz w:val="32"/>
          <w:szCs w:val="32"/>
          <w:lang w:val="en-US" w:eastAsia="zh-CN" w:bidi="ar-SA"/>
        </w:rPr>
        <w:t>（此件公开发布）</w:t>
      </w:r>
    </w:p>
    <w:p w14:paraId="6C491828">
      <w:pPr>
        <w:keepNext w:val="0"/>
        <w:keepLines w:val="0"/>
        <w:pageBreakBefore w:val="0"/>
        <w:widowControl w:val="0"/>
        <w:kinsoku/>
        <w:wordWrap/>
        <w:overflowPunct w:val="0"/>
        <w:topLinePunct w:val="0"/>
        <w:autoSpaceDE/>
        <w:autoSpaceDN/>
        <w:bidi w:val="0"/>
        <w:adjustRightInd/>
        <w:snapToGrid/>
        <w:spacing w:line="620" w:lineRule="exact"/>
        <w:ind w:left="0" w:right="0"/>
        <w:jc w:val="center"/>
        <w:textAlignment w:val="auto"/>
        <w:rPr>
          <w:rFonts w:ascii="Times New Roman" w:hAnsi="Times New Roman" w:eastAsia="方正小标宋_GBK" w:cs="Times New Roman"/>
          <w:color w:val="000000"/>
          <w:w w:val="100"/>
          <w:sz w:val="44"/>
          <w:szCs w:val="44"/>
        </w:rPr>
      </w:pPr>
      <w:r>
        <w:rPr>
          <w:rFonts w:hint="eastAsia" w:ascii="Times New Roman" w:hAnsi="Times New Roman" w:eastAsia="方正小标宋_GBK" w:cs="Times New Roman"/>
          <w:color w:val="000000"/>
          <w:w w:val="100"/>
          <w:sz w:val="44"/>
          <w:szCs w:val="44"/>
          <w:lang w:eastAsia="zh-CN"/>
        </w:rPr>
        <w:t>重庆市</w:t>
      </w:r>
      <w:r>
        <w:rPr>
          <w:rFonts w:ascii="Times New Roman" w:hAnsi="Times New Roman" w:eastAsia="方正小标宋_GBK" w:cs="Times New Roman"/>
          <w:color w:val="000000"/>
          <w:w w:val="100"/>
          <w:sz w:val="44"/>
          <w:szCs w:val="44"/>
        </w:rPr>
        <w:t>渝中区可持续城市更新三年行动方案</w:t>
      </w:r>
    </w:p>
    <w:p w14:paraId="70214EB1">
      <w:pPr>
        <w:keepNext w:val="0"/>
        <w:keepLines w:val="0"/>
        <w:pageBreakBefore w:val="0"/>
        <w:widowControl w:val="0"/>
        <w:kinsoku/>
        <w:wordWrap/>
        <w:overflowPunct w:val="0"/>
        <w:topLinePunct w:val="0"/>
        <w:autoSpaceDE/>
        <w:autoSpaceDN/>
        <w:bidi w:val="0"/>
        <w:adjustRightInd/>
        <w:snapToGrid/>
        <w:spacing w:line="620" w:lineRule="exact"/>
        <w:ind w:left="0" w:right="0"/>
        <w:jc w:val="center"/>
        <w:textAlignment w:val="auto"/>
        <w:rPr>
          <w:rFonts w:ascii="Times New Roman" w:hAnsi="Times New Roman" w:eastAsia="方正小标宋_GBK" w:cs="Times New Roman"/>
          <w:color w:val="000000"/>
          <w:w w:val="100"/>
          <w:sz w:val="44"/>
          <w:szCs w:val="44"/>
        </w:rPr>
      </w:pPr>
      <w:r>
        <w:rPr>
          <w:rFonts w:ascii="Times New Roman" w:hAnsi="Times New Roman" w:eastAsia="方正小标宋_GBK" w:cs="Times New Roman"/>
          <w:color w:val="000000"/>
          <w:w w:val="100"/>
          <w:sz w:val="44"/>
          <w:szCs w:val="44"/>
        </w:rPr>
        <w:t>（2025—2027年）</w:t>
      </w:r>
    </w:p>
    <w:p w14:paraId="2F23475C">
      <w:pPr>
        <w:keepNext w:val="0"/>
        <w:keepLines w:val="0"/>
        <w:pageBreakBefore w:val="0"/>
        <w:widowControl w:val="0"/>
        <w:kinsoku/>
        <w:wordWrap/>
        <w:overflowPunct w:val="0"/>
        <w:topLinePunct w:val="0"/>
        <w:autoSpaceDE/>
        <w:autoSpaceDN/>
        <w:bidi w:val="0"/>
        <w:adjustRightInd/>
        <w:snapToGrid/>
        <w:spacing w:line="620" w:lineRule="exact"/>
        <w:ind w:right="0"/>
        <w:jc w:val="both"/>
        <w:textAlignment w:val="auto"/>
        <w:rPr>
          <w:rFonts w:ascii="Times New Roman" w:hAnsi="Times New Roman" w:eastAsia="方正仿宋_GBK" w:cs="Times New Roman"/>
          <w:color w:val="000000"/>
          <w:w w:val="100"/>
          <w:sz w:val="32"/>
          <w:szCs w:val="32"/>
        </w:rPr>
      </w:pPr>
    </w:p>
    <w:p w14:paraId="7A60C774">
      <w:pPr>
        <w:keepNext w:val="0"/>
        <w:keepLines w:val="0"/>
        <w:pageBreakBefore w:val="0"/>
        <w:widowControl w:val="0"/>
        <w:kinsoku/>
        <w:wordWrap/>
        <w:overflowPunct w:val="0"/>
        <w:topLinePunct w:val="0"/>
        <w:autoSpaceDE/>
        <w:autoSpaceDN/>
        <w:bidi w:val="0"/>
        <w:adjustRightInd/>
        <w:snapToGrid/>
        <w:spacing w:line="620" w:lineRule="exact"/>
        <w:ind w:left="0" w:right="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为贯彻落实《中共中央 国务院关于推动城市高质量发展的意见》《中共中央办公厅 国务院办公厅关于持续推进城市更新行动的意见》《重庆市持续推进城市更新三年行动计划（2025—2027年）》，有力有序推进可持续城市更新工作，提高城市规划、建设、治理水平，结合渝中实际，制定本行动方案。</w:t>
      </w:r>
    </w:p>
    <w:p w14:paraId="6DD89807">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黑体_GBK" w:cs="Times New Roman"/>
          <w:color w:val="000000"/>
          <w:kern w:val="2"/>
          <w:sz w:val="32"/>
          <w:szCs w:val="32"/>
        </w:rPr>
      </w:pPr>
      <w:r>
        <w:rPr>
          <w:rFonts w:ascii="Times New Roman" w:hAnsi="Times New Roman" w:eastAsia="方正黑体_GBK" w:cs="Times New Roman"/>
          <w:color w:val="000000"/>
          <w:kern w:val="2"/>
          <w:sz w:val="32"/>
          <w:szCs w:val="32"/>
        </w:rPr>
        <w:t>一、总体要求</w:t>
      </w:r>
    </w:p>
    <w:p w14:paraId="07EB6E67">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（一）指导思想</w:t>
      </w:r>
    </w:p>
    <w:p w14:paraId="7046FAF7">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2"/>
        <w:rPr>
          <w:rFonts w:ascii="Times New Roman" w:hAnsi="Times New Roman" w:eastAsia="方正楷体_GBK" w:cs="Times New Roman"/>
          <w:bCs/>
          <w:color w:val="000000"/>
          <w:kern w:val="2"/>
          <w:sz w:val="32"/>
          <w:szCs w:val="32"/>
        </w:rPr>
      </w:pPr>
      <w:r>
        <w:rPr>
          <w:rFonts w:ascii="Times New Roman" w:hAnsi="Times New Roman" w:eastAsia="方正仿宋_GBK" w:cs="Times New Roman"/>
          <w:color w:val="000000"/>
          <w:kern w:val="2"/>
          <w:sz w:val="32"/>
          <w:szCs w:val="32"/>
        </w:rPr>
        <w:t>坚持以习近平新时代中国特色社会主义思想为指导，深入贯彻党的二十大和二十届二中、三中</w:t>
      </w:r>
      <w:r>
        <w:rPr>
          <w:rFonts w:hint="eastAsia" w:ascii="Times New Roman" w:hAnsi="Times New Roman" w:eastAsia="方正仿宋_GBK" w:cs="Times New Roman"/>
          <w:color w:val="000000"/>
          <w:kern w:val="2"/>
          <w:sz w:val="32"/>
          <w:szCs w:val="32"/>
          <w:lang w:eastAsia="zh-CN"/>
        </w:rPr>
        <w:t>、四中</w:t>
      </w:r>
      <w:r>
        <w:rPr>
          <w:rFonts w:ascii="Times New Roman" w:hAnsi="Times New Roman" w:eastAsia="方正仿宋_GBK" w:cs="Times New Roman"/>
          <w:color w:val="000000"/>
          <w:kern w:val="2"/>
          <w:sz w:val="32"/>
          <w:szCs w:val="32"/>
        </w:rPr>
        <w:t>全会</w:t>
      </w:r>
      <w:r>
        <w:rPr>
          <w:rFonts w:hint="eastAsia" w:ascii="Times New Roman" w:hAnsi="Times New Roman" w:eastAsia="方正仿宋_GBK" w:cs="Times New Roman"/>
          <w:color w:val="000000"/>
          <w:kern w:val="2"/>
          <w:sz w:val="32"/>
          <w:szCs w:val="32"/>
          <w:lang w:eastAsia="zh-CN"/>
        </w:rPr>
        <w:t>和</w:t>
      </w:r>
      <w:r>
        <w:rPr>
          <w:rFonts w:ascii="Times New Roman" w:hAnsi="Times New Roman" w:eastAsia="方正仿宋_GBK" w:cs="Times New Roman"/>
          <w:color w:val="000000"/>
          <w:kern w:val="2"/>
          <w:sz w:val="32"/>
          <w:szCs w:val="32"/>
        </w:rPr>
        <w:t>中央城市工作会议精神，全面贯彻习近平总书记视察重庆重要讲话重要指示精神，认真落实市委六届</w:t>
      </w:r>
      <w:r>
        <w:rPr>
          <w:rFonts w:hint="eastAsia" w:ascii="Times New Roman" w:hAnsi="Times New Roman" w:eastAsia="方正仿宋_GBK" w:cs="Times New Roman"/>
          <w:color w:val="000000"/>
          <w:kern w:val="2"/>
          <w:sz w:val="32"/>
          <w:szCs w:val="32"/>
          <w:lang w:eastAsia="zh-CN"/>
        </w:rPr>
        <w:t>八</w:t>
      </w:r>
      <w:r>
        <w:rPr>
          <w:rFonts w:ascii="Times New Roman" w:hAnsi="Times New Roman" w:eastAsia="方正仿宋_GBK" w:cs="Times New Roman"/>
          <w:color w:val="000000"/>
          <w:kern w:val="2"/>
          <w:sz w:val="32"/>
          <w:szCs w:val="32"/>
        </w:rPr>
        <w:t>次全会精神和区委十三届</w:t>
      </w:r>
      <w:r>
        <w:rPr>
          <w:rFonts w:hint="eastAsia" w:ascii="Times New Roman" w:hAnsi="Times New Roman" w:eastAsia="方正仿宋_GBK" w:cs="Times New Roman"/>
          <w:color w:val="000000"/>
          <w:kern w:val="2"/>
          <w:sz w:val="32"/>
          <w:szCs w:val="32"/>
          <w:lang w:eastAsia="zh-CN"/>
        </w:rPr>
        <w:t>八</w:t>
      </w:r>
      <w:r>
        <w:rPr>
          <w:rFonts w:ascii="Times New Roman" w:hAnsi="Times New Roman" w:eastAsia="方正仿宋_GBK" w:cs="Times New Roman"/>
          <w:color w:val="000000"/>
          <w:kern w:val="2"/>
          <w:sz w:val="32"/>
          <w:szCs w:val="32"/>
        </w:rPr>
        <w:t>次全会部署，以建设现代化人民城市渝中范例为目标，以推动城市高质量发展为主题，以坚持城市内涵式发展为主线，以推动城市更新为重要抓手，树牢经营城市理念，坚持因地制宜、稳中求进，坚持问题导向、补齐短板，坚持集约高效、盘活存量，着力解决群众急难愁盼问题，提升城市宜居功能品质和安全韧性水平，培育城市创新发展内生动力，走好深耕精耕、集约高效、特色品质的城市发展之路，推动结构优化、动能转换、品质提升、绿色转型、文脉赓续、治理增效、区域协同，为奋力谱写中国式现代化重庆篇章渝中精彩一页提供强大动能和坚实支撑。</w:t>
      </w:r>
    </w:p>
    <w:p w14:paraId="4E6F71A1">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cs="Times New Roman"/>
          <w:color w:val="000000"/>
          <w:kern w:val="2"/>
          <w:sz w:val="21"/>
        </w:rPr>
      </w:pPr>
      <w:r>
        <w:rPr>
          <w:rFonts w:ascii="Times New Roman" w:hAnsi="Times New Roman" w:eastAsia="方正楷体_GBK" w:cs="Times New Roman"/>
          <w:bCs/>
          <w:color w:val="000000"/>
          <w:kern w:val="2"/>
          <w:sz w:val="32"/>
          <w:szCs w:val="32"/>
        </w:rPr>
        <w:t>（二）工作目标</w:t>
      </w:r>
    </w:p>
    <w:p w14:paraId="6E1CA4A7">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到2027年，可持续城市更新行动取得重要进展，</w:t>
      </w:r>
      <w:r>
        <w:rPr>
          <w:rFonts w:ascii="Times New Roman" w:hAnsi="Times New Roman" w:eastAsia="方正仿宋_GBK" w:cs="Times New Roman"/>
          <w:color w:val="000000"/>
          <w:sz w:val="32"/>
          <w:szCs w:val="32"/>
        </w:rPr>
        <w:t>城市高质量内涵式发展体制机制基本建立</w:t>
      </w:r>
      <w:r>
        <w:rPr>
          <w:rFonts w:ascii="Times New Roman" w:hAnsi="Times New Roman" w:eastAsia="方正仿宋_GBK" w:cs="Times New Roman"/>
          <w:color w:val="000000"/>
          <w:kern w:val="2"/>
          <w:sz w:val="32"/>
          <w:szCs w:val="32"/>
        </w:rPr>
        <w:t>，形成一批具有渝中辨识度的标志性成果，</w:t>
      </w:r>
      <w:r>
        <w:rPr>
          <w:rFonts w:ascii="Times New Roman" w:hAnsi="Times New Roman" w:eastAsia="方正仿宋_GBK" w:cs="Times New Roman"/>
          <w:color w:val="000000"/>
          <w:sz w:val="32"/>
          <w:szCs w:val="32"/>
        </w:rPr>
        <w:t>为打造</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中国式现代化，民生为大</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的城市</w:t>
      </w:r>
      <w:r>
        <w:rPr>
          <w:rFonts w:ascii="Times New Roman" w:hAnsi="Times New Roman" w:eastAsia="方正仿宋_GBK" w:cs="Times New Roman"/>
          <w:color w:val="000000"/>
          <w:sz w:val="32"/>
          <w:szCs w:val="32"/>
        </w:rPr>
        <w:t>实践范例提供</w:t>
      </w:r>
      <w:r>
        <w:rPr>
          <w:rFonts w:ascii="Times New Roman" w:hAnsi="Times New Roman" w:eastAsia="方正仿宋_GBK" w:cs="Times New Roman"/>
          <w:color w:val="000000"/>
          <w:kern w:val="2"/>
          <w:sz w:val="32"/>
          <w:szCs w:val="32"/>
        </w:rPr>
        <w:t>渝中经验。</w:t>
      </w:r>
    </w:p>
    <w:p w14:paraId="0B73756A">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highlight w:val="yellow"/>
        </w:rPr>
      </w:pPr>
      <w:r>
        <w:rPr>
          <w:rFonts w:ascii="Times New Roman" w:hAnsi="Times New Roman" w:eastAsia="方正楷体_GBK" w:cs="Times New Roman"/>
          <w:color w:val="000000"/>
          <w:kern w:val="2"/>
          <w:sz w:val="32"/>
          <w:szCs w:val="32"/>
        </w:rPr>
        <w:t>——重点更新项目落地见效。</w:t>
      </w:r>
      <w:r>
        <w:rPr>
          <w:rFonts w:ascii="Times New Roman" w:hAnsi="Times New Roman" w:eastAsia="方正仿宋_GBK" w:cs="Times New Roman"/>
          <w:color w:val="000000"/>
          <w:kern w:val="2"/>
          <w:sz w:val="32"/>
          <w:szCs w:val="32"/>
        </w:rPr>
        <w:t>完工重点城市更新项目40个，城市功能短板加快补齐，城市安全发展基础更加牢固，人居环境明显改善，城市空间立体性、风貌整体性、功能完整性和文化延续性进一步增强，整体大美格局更加彰显。</w:t>
      </w:r>
    </w:p>
    <w:p w14:paraId="6257BE74">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楷体_GBK" w:cs="Times New Roman"/>
          <w:color w:val="000000"/>
          <w:kern w:val="2"/>
          <w:sz w:val="32"/>
          <w:szCs w:val="32"/>
        </w:rPr>
        <w:t>——重点政策法规加快完善。</w:t>
      </w:r>
      <w:r>
        <w:rPr>
          <w:rFonts w:ascii="Times New Roman" w:hAnsi="Times New Roman" w:eastAsia="方正仿宋_GBK" w:cs="Times New Roman"/>
          <w:color w:val="000000"/>
          <w:kern w:val="2"/>
          <w:sz w:val="32"/>
          <w:szCs w:val="32"/>
        </w:rPr>
        <w:t>与可持续城市更新适配的规划、土地、金融、产业、项目政策体系更加健全，适用于城市更新的工程技术规范、标准不断完善。</w:t>
      </w:r>
    </w:p>
    <w:p w14:paraId="00FB3612">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楷体_GBK" w:cs="Times New Roman"/>
          <w:color w:val="000000"/>
          <w:kern w:val="2"/>
          <w:sz w:val="32"/>
          <w:szCs w:val="32"/>
        </w:rPr>
        <w:t>——多元化投融资新机制基本建立。</w:t>
      </w:r>
      <w:r>
        <w:rPr>
          <w:rFonts w:ascii="Times New Roman" w:hAnsi="Times New Roman" w:eastAsia="方正仿宋_GBK" w:cs="Times New Roman"/>
          <w:color w:val="000000"/>
          <w:kern w:val="2"/>
          <w:sz w:val="32"/>
          <w:szCs w:val="32"/>
        </w:rPr>
        <w:t>以政府为引导、市场为主体的多元化投资体系基本建立，政企金深度协作机制加快形成，城市更新资金保障渠道更加多样，项目自平衡能力及全生命周期管理有效增强，各类社会主体参与城市更新更加广泛。</w:t>
      </w:r>
    </w:p>
    <w:p w14:paraId="11CFD382">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楷体_GBK" w:cs="Times New Roman"/>
          <w:color w:val="000000"/>
          <w:kern w:val="2"/>
          <w:sz w:val="32"/>
          <w:szCs w:val="32"/>
        </w:rPr>
        <w:t>——重点改革举措取得突破。</w:t>
      </w:r>
      <w:r>
        <w:rPr>
          <w:rFonts w:ascii="Times New Roman" w:hAnsi="Times New Roman" w:eastAsia="方正仿宋_GBK" w:cs="Times New Roman"/>
          <w:color w:val="000000"/>
          <w:kern w:val="2"/>
          <w:sz w:val="32"/>
          <w:szCs w:val="32"/>
        </w:rPr>
        <w:t>以需求为导向、以项目为牵引，政府引导、市场运作、公众参与的城市更新体制机制基本形成，贯穿</w:t>
      </w:r>
      <w:r>
        <w:rPr>
          <w:rFonts w:hint="eastAsia" w:ascii="Times New Roman" w:hAnsi="Times New Roman" w:eastAsia="方正仿宋_GBK" w:cs="Times New Roman"/>
          <w:color w:val="000000"/>
          <w:kern w:val="2"/>
          <w:sz w:val="32"/>
          <w:szCs w:val="32"/>
          <w:lang w:eastAsia="zh-CN"/>
        </w:rPr>
        <w:t>“</w:t>
      </w:r>
      <w:r>
        <w:rPr>
          <w:rFonts w:hint="eastAsia" w:eastAsia="方正仿宋_GBK" w:cs="Times New Roman"/>
          <w:color w:val="000000"/>
          <w:kern w:val="2"/>
          <w:sz w:val="32"/>
          <w:szCs w:val="32"/>
          <w:highlight w:val="none"/>
          <w:u w:val="none" w:color="auto"/>
          <w:lang w:val="en-US" w:eastAsia="zh-CN"/>
        </w:rPr>
        <w:t>规建治投融运</w:t>
      </w:r>
      <w:r>
        <w:rPr>
          <w:rFonts w:hint="eastAsia" w:ascii="Times New Roman" w:hAnsi="Times New Roman" w:eastAsia="方正仿宋_GBK" w:cs="Times New Roman"/>
          <w:color w:val="000000"/>
          <w:kern w:val="2"/>
          <w:sz w:val="32"/>
          <w:szCs w:val="32"/>
          <w:lang w:eastAsia="zh-CN"/>
        </w:rPr>
        <w:t>”</w:t>
      </w:r>
      <w:r>
        <w:rPr>
          <w:rFonts w:ascii="Times New Roman" w:hAnsi="Times New Roman" w:eastAsia="方正仿宋_GBK" w:cs="Times New Roman"/>
          <w:color w:val="000000"/>
          <w:kern w:val="2"/>
          <w:sz w:val="32"/>
          <w:szCs w:val="32"/>
        </w:rPr>
        <w:t>全生命周期的可持续城市更新模式基本建立。</w:t>
      </w:r>
    </w:p>
    <w:p w14:paraId="5003418F">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黑体_GBK" w:cs="Times New Roman"/>
          <w:color w:val="000000"/>
          <w:kern w:val="2"/>
          <w:sz w:val="32"/>
          <w:szCs w:val="32"/>
        </w:rPr>
      </w:pPr>
      <w:r>
        <w:rPr>
          <w:rFonts w:ascii="Times New Roman" w:hAnsi="Times New Roman" w:eastAsia="方正黑体_GBK" w:cs="Times New Roman"/>
          <w:color w:val="000000"/>
          <w:kern w:val="2"/>
          <w:sz w:val="32"/>
          <w:szCs w:val="32"/>
        </w:rPr>
        <w:t>二、主要任务</w:t>
      </w:r>
    </w:p>
    <w:p w14:paraId="7E915BCF">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ascii="Times New Roman" w:hAnsi="Times New Roman" w:eastAsia="方正楷体_GBK" w:cs="Times New Roman"/>
          <w:bCs/>
          <w:color w:val="000000"/>
          <w:sz w:val="32"/>
          <w:szCs w:val="32"/>
        </w:rPr>
      </w:pPr>
      <w:r>
        <w:rPr>
          <w:rFonts w:ascii="Times New Roman" w:hAnsi="Times New Roman" w:eastAsia="方正楷体_GBK" w:cs="Times New Roman"/>
          <w:bCs/>
          <w:color w:val="000000"/>
          <w:sz w:val="32"/>
          <w:szCs w:val="32"/>
        </w:rPr>
        <w:t>（一）推动城市片区更新</w:t>
      </w:r>
    </w:p>
    <w:p w14:paraId="4E5DF08D">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snapToGrid w:val="0"/>
          <w:color w:val="000000"/>
          <w:kern w:val="0"/>
          <w:sz w:val="32"/>
          <w:szCs w:val="32"/>
        </w:rPr>
      </w:pPr>
      <w:r>
        <w:rPr>
          <w:rFonts w:ascii="Times New Roman" w:hAnsi="Times New Roman" w:eastAsia="方正仿宋_GBK" w:cs="Times New Roman"/>
          <w:sz w:val="32"/>
          <w:szCs w:val="32"/>
        </w:rPr>
        <w:t>聚焦</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科产城人文金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融合场景构建，</w:t>
      </w:r>
      <w:r>
        <w:rPr>
          <w:rFonts w:hint="eastAsia" w:ascii="Times New Roman" w:hAnsi="Times New Roman" w:eastAsia="方正仿宋_GBK" w:cs="Times New Roman"/>
          <w:sz w:val="32"/>
          <w:szCs w:val="32"/>
        </w:rPr>
        <w:t>围绕学校、医院、商圈等优质资源，划定重点更新片区，</w:t>
      </w:r>
      <w:r>
        <w:rPr>
          <w:rFonts w:ascii="Times New Roman" w:hAnsi="Times New Roman" w:eastAsia="方正仿宋_GBK" w:cs="Times New Roman"/>
          <w:sz w:val="32"/>
          <w:szCs w:val="32"/>
        </w:rPr>
        <w:t>以片区更新为载体深耕精耕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第一空间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color w:val="000000"/>
          <w:sz w:val="32"/>
          <w:szCs w:val="32"/>
        </w:rPr>
        <w:t>，突出功能品质、人文空间、服务配套、城市体验互嵌融合，持续扩容有效空间</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提升载体品质。</w:t>
      </w:r>
      <w:r>
        <w:rPr>
          <w:rFonts w:ascii="Times New Roman" w:hAnsi="Times New Roman" w:eastAsia="方正仿宋_GBK" w:cs="Times New Roman"/>
          <w:b/>
          <w:bCs/>
          <w:color w:val="000000"/>
          <w:sz w:val="32"/>
          <w:szCs w:val="32"/>
        </w:rPr>
        <w:t>强化</w:t>
      </w:r>
      <w:r>
        <w:rPr>
          <w:rFonts w:hint="eastAsia" w:ascii="Times New Roman" w:hAnsi="Times New Roman" w:eastAsia="方正仿宋_GBK" w:cs="Times New Roman"/>
          <w:b/>
          <w:bCs/>
          <w:color w:val="000000"/>
          <w:sz w:val="32"/>
          <w:szCs w:val="32"/>
          <w:lang w:eastAsia="zh-CN"/>
        </w:rPr>
        <w:t>“</w:t>
      </w:r>
      <w:r>
        <w:rPr>
          <w:rFonts w:ascii="Times New Roman" w:hAnsi="Times New Roman" w:eastAsia="方正仿宋_GBK" w:cs="Times New Roman"/>
          <w:b/>
          <w:bCs/>
          <w:color w:val="000000"/>
          <w:sz w:val="32"/>
          <w:szCs w:val="32"/>
        </w:rPr>
        <w:t>一核</w:t>
      </w:r>
      <w:r>
        <w:rPr>
          <w:rFonts w:hint="eastAsia" w:ascii="Times New Roman" w:hAnsi="Times New Roman" w:eastAsia="方正仿宋_GBK" w:cs="Times New Roman"/>
          <w:b/>
          <w:bCs/>
          <w:color w:val="000000"/>
          <w:sz w:val="32"/>
          <w:szCs w:val="32"/>
          <w:lang w:eastAsia="zh-CN"/>
        </w:rPr>
        <w:t>”</w:t>
      </w:r>
      <w:r>
        <w:rPr>
          <w:rFonts w:ascii="Times New Roman" w:hAnsi="Times New Roman" w:eastAsia="方正仿宋_GBK" w:cs="Times New Roman"/>
          <w:b/>
          <w:bCs/>
          <w:color w:val="000000"/>
          <w:sz w:val="32"/>
          <w:szCs w:val="32"/>
        </w:rPr>
        <w:t>引领</w:t>
      </w:r>
      <w:r>
        <w:rPr>
          <w:rFonts w:ascii="Times New Roman" w:hAnsi="Times New Roman" w:eastAsia="方正仿宋_GBK" w:cs="Times New Roman"/>
          <w:color w:val="000000"/>
          <w:sz w:val="32"/>
          <w:szCs w:val="32"/>
        </w:rPr>
        <w:t>，围绕品质形态、功能业态、人文空间、服务配套和城市体验互嵌融合，持续实施</w:t>
      </w:r>
      <w:r>
        <w:rPr>
          <w:rFonts w:ascii="Times New Roman" w:hAnsi="Times New Roman" w:eastAsia="方正仿宋_GBK" w:cs="Times New Roman"/>
          <w:b w:val="0"/>
          <w:bCs w:val="0"/>
          <w:color w:val="000000"/>
          <w:sz w:val="32"/>
          <w:szCs w:val="32"/>
        </w:rPr>
        <w:t>解放碑中央商务区整体焕新计划，深入推进新华万象中心、地王广场2077赛博城市、一方谷艺术街区等项目建设，促进片区景观业态功能一体升级，打造大美重庆的展示窗口、城市地标。</w:t>
      </w:r>
      <w:r>
        <w:rPr>
          <w:rFonts w:hint="eastAsia" w:ascii="Times New Roman" w:hAnsi="Times New Roman" w:eastAsia="方正仿宋_GBK" w:cs="Times New Roman"/>
          <w:b/>
          <w:bCs/>
          <w:color w:val="000000"/>
          <w:sz w:val="32"/>
          <w:szCs w:val="32"/>
          <w:lang w:eastAsia="zh-CN"/>
        </w:rPr>
        <w:t>深化“</w:t>
      </w:r>
      <w:r>
        <w:rPr>
          <w:rFonts w:hint="eastAsia" w:ascii="Times New Roman" w:hAnsi="Times New Roman" w:eastAsia="方正仿宋_GBK" w:cs="Times New Roman"/>
          <w:b/>
          <w:bCs/>
          <w:color w:val="000000"/>
          <w:sz w:val="32"/>
          <w:szCs w:val="32"/>
        </w:rPr>
        <w:t>两翼</w:t>
      </w:r>
      <w:r>
        <w:rPr>
          <w:rFonts w:hint="eastAsia" w:ascii="Times New Roman" w:hAnsi="Times New Roman" w:eastAsia="方正仿宋_GBK" w:cs="Times New Roman"/>
          <w:b/>
          <w:bCs/>
          <w:color w:val="000000"/>
          <w:sz w:val="32"/>
          <w:szCs w:val="32"/>
          <w:lang w:eastAsia="zh-CN"/>
        </w:rPr>
        <w:t>”</w:t>
      </w:r>
      <w:r>
        <w:rPr>
          <w:rFonts w:hint="eastAsia" w:ascii="Times New Roman" w:hAnsi="Times New Roman" w:eastAsia="方正仿宋_GBK" w:cs="Times New Roman"/>
          <w:b/>
          <w:bCs/>
          <w:color w:val="000000"/>
          <w:sz w:val="32"/>
          <w:szCs w:val="32"/>
        </w:rPr>
        <w:t>协同带动</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重庆站滨江新城</w:t>
      </w:r>
      <w:r>
        <w:rPr>
          <w:rFonts w:ascii="Times New Roman" w:hAnsi="Times New Roman" w:eastAsia="方正仿宋_GBK" w:cs="Times New Roman"/>
          <w:b w:val="0"/>
          <w:bCs w:val="0"/>
          <w:color w:val="000000"/>
          <w:sz w:val="32"/>
          <w:szCs w:val="32"/>
          <w:lang w:eastAsia="zh-CN"/>
        </w:rPr>
        <w:t>围绕</w:t>
      </w:r>
      <w:r>
        <w:rPr>
          <w:rFonts w:ascii="Times New Roman" w:hAnsi="Times New Roman" w:eastAsia="方正仿宋_GBK" w:cs="Times New Roman"/>
          <w:b w:val="0"/>
          <w:bCs w:val="0"/>
          <w:color w:val="000000"/>
          <w:sz w:val="32"/>
          <w:szCs w:val="32"/>
        </w:rPr>
        <w:t>重庆站枢纽及片区一体规划、整体改造，联动打造科创服务、现代物流等未来趋势产业，推动片区成为城市发展新的增长极。化龙桥国际商务区</w:t>
      </w:r>
      <w:r>
        <w:rPr>
          <w:rFonts w:ascii="Times New Roman" w:hAnsi="Times New Roman" w:eastAsia="方正仿宋_GBK" w:cs="Times New Roman"/>
          <w:color w:val="auto"/>
          <w:sz w:val="32"/>
          <w:szCs w:val="32"/>
          <w:highlight w:val="none"/>
          <w:u w:val="none" w:color="auto"/>
        </w:rPr>
        <w:t>重点发展现代金融、专业服务、商贸商务等产业，发挥陆海国际中心等载体产业集聚效能</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b w:val="0"/>
          <w:bCs w:val="0"/>
          <w:color w:val="000000"/>
          <w:sz w:val="32"/>
          <w:szCs w:val="32"/>
        </w:rPr>
        <w:t>加快探索重庆天地现代社区</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城市一体化运营</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模式，打造</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科产城人文金</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融合发展样板区。</w:t>
      </w:r>
      <w:r>
        <w:rPr>
          <w:rFonts w:hint="eastAsia" w:ascii="Times New Roman" w:hAnsi="Times New Roman" w:eastAsia="方正仿宋_GBK" w:cs="Times New Roman"/>
          <w:b/>
          <w:bCs/>
          <w:color w:val="000000"/>
          <w:sz w:val="32"/>
          <w:szCs w:val="32"/>
          <w:lang w:eastAsia="zh-CN"/>
        </w:rPr>
        <w:t>亮化“</w:t>
      </w:r>
      <w:r>
        <w:rPr>
          <w:rFonts w:ascii="Times New Roman" w:hAnsi="Times New Roman" w:eastAsia="方正仿宋_GBK" w:cs="Times New Roman"/>
          <w:b/>
          <w:bCs/>
          <w:color w:val="000000"/>
          <w:sz w:val="32"/>
          <w:szCs w:val="32"/>
        </w:rPr>
        <w:t>三带</w:t>
      </w:r>
      <w:r>
        <w:rPr>
          <w:rFonts w:hint="eastAsia" w:ascii="Times New Roman" w:hAnsi="Times New Roman" w:eastAsia="方正仿宋_GBK" w:cs="Times New Roman"/>
          <w:b/>
          <w:bCs/>
          <w:color w:val="000000"/>
          <w:sz w:val="32"/>
          <w:szCs w:val="32"/>
          <w:lang w:eastAsia="zh-CN"/>
        </w:rPr>
        <w:t>”品质涵养</w:t>
      </w:r>
      <w:r>
        <w:rPr>
          <w:rFonts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color w:val="000000"/>
          <w:sz w:val="32"/>
          <w:szCs w:val="32"/>
        </w:rPr>
        <w:t>两江滨江亲水休闲观光带</w:t>
      </w:r>
      <w:r>
        <w:rPr>
          <w:rFonts w:ascii="Times New Roman" w:hAnsi="Times New Roman" w:eastAsia="方正仿宋_GBK" w:cs="Times New Roman"/>
          <w:b w:val="0"/>
          <w:bCs w:val="0"/>
          <w:color w:val="000000"/>
          <w:sz w:val="32"/>
          <w:szCs w:val="32"/>
        </w:rPr>
        <w:t>聚焦推动重庆长滨、朝天门等功能提升项目，助力打造高品质产业生态圈、黄金水岸线、城市会客厅。</w:t>
      </w:r>
      <w:r>
        <w:rPr>
          <w:rFonts w:hint="eastAsia" w:ascii="Times New Roman" w:hAnsi="Times New Roman" w:eastAsia="方正仿宋_GBK" w:cs="Times New Roman"/>
          <w:b w:val="0"/>
          <w:bCs w:val="0"/>
          <w:color w:val="000000"/>
          <w:sz w:val="32"/>
          <w:szCs w:val="32"/>
        </w:rPr>
        <w:t>历史人文风貌带</w:t>
      </w:r>
      <w:r>
        <w:rPr>
          <w:rFonts w:ascii="Times New Roman" w:hAnsi="Times New Roman" w:eastAsia="方正仿宋_GBK" w:cs="Times New Roman"/>
          <w:b w:val="0"/>
          <w:bCs w:val="0"/>
          <w:color w:val="000000"/>
          <w:sz w:val="32"/>
          <w:szCs w:val="32"/>
        </w:rPr>
        <w:t>加力</w:t>
      </w:r>
      <w:r>
        <w:rPr>
          <w:rFonts w:ascii="Times New Roman" w:hAnsi="Times New Roman" w:eastAsia="方正仿宋_GBK" w:cs="Times New Roman"/>
          <w:b w:val="0"/>
          <w:bCs w:val="0"/>
          <w:color w:val="000000"/>
          <w:sz w:val="32"/>
        </w:rPr>
        <w:t>推动十八梯—山城巷—燕子岩—飞机码头—印制一厂—枇杷山等风貌街区串点</w:t>
      </w:r>
      <w:r>
        <w:rPr>
          <w:rFonts w:hint="eastAsia" w:ascii="Times New Roman" w:hAnsi="Times New Roman" w:eastAsia="方正仿宋_GBK" w:cs="Times New Roman"/>
          <w:b w:val="0"/>
          <w:bCs w:val="0"/>
          <w:color w:val="000000"/>
          <w:sz w:val="32"/>
          <w:lang w:eastAsia="zh-CN"/>
        </w:rPr>
        <w:t>成线</w:t>
      </w:r>
      <w:r>
        <w:rPr>
          <w:rFonts w:ascii="Times New Roman" w:hAnsi="Times New Roman" w:eastAsia="方正仿宋_GBK" w:cs="Times New Roman"/>
          <w:b w:val="0"/>
          <w:bCs w:val="0"/>
          <w:color w:val="000000"/>
          <w:sz w:val="32"/>
        </w:rPr>
        <w:t>，保护传承历史文脉，让母城的烟火气息转化为可触摸、可体验的消费场景。</w:t>
      </w:r>
      <w:r>
        <w:rPr>
          <w:rFonts w:hint="eastAsia" w:ascii="Times New Roman" w:hAnsi="Times New Roman" w:eastAsia="方正仿宋_GBK" w:cs="Times New Roman"/>
          <w:b w:val="0"/>
          <w:bCs w:val="0"/>
          <w:color w:val="000000"/>
          <w:sz w:val="32"/>
          <w:szCs w:val="32"/>
        </w:rPr>
        <w:t>大鹅岭山脊生态景观带</w:t>
      </w:r>
      <w:r>
        <w:rPr>
          <w:rFonts w:ascii="Times New Roman" w:hAnsi="Times New Roman" w:eastAsia="方正仿宋_GBK" w:cs="Times New Roman"/>
          <w:b w:val="0"/>
          <w:bCs w:val="0"/>
          <w:color w:val="000000"/>
          <w:sz w:val="32"/>
          <w:szCs w:val="32"/>
        </w:rPr>
        <w:t>聚焦</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红色三岩</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等景区景点串联通达，</w:t>
      </w:r>
      <w:r>
        <w:rPr>
          <w:rFonts w:ascii="Times New Roman" w:hAnsi="Times New Roman" w:eastAsia="方正仿宋_GBK" w:cs="Times New Roman"/>
          <w:b w:val="0"/>
          <w:bCs w:val="0"/>
          <w:color w:val="000000"/>
          <w:sz w:val="32"/>
        </w:rPr>
        <w:t>提速</w:t>
      </w:r>
      <w:r>
        <w:rPr>
          <w:rFonts w:ascii="Times New Roman" w:hAnsi="Times New Roman" w:eastAsia="方正仿宋_GBK" w:cs="Times New Roman"/>
          <w:b w:val="0"/>
          <w:bCs w:val="0"/>
          <w:color w:val="000000"/>
          <w:sz w:val="32"/>
          <w:szCs w:val="32"/>
        </w:rPr>
        <w:t>推进李子坝地铁站提档升级，推动李子坝大公报片区、印制贰厂南区更新改造，做靓都市山水游4A级景区。</w:t>
      </w:r>
      <w:r>
        <w:rPr>
          <w:rFonts w:hint="eastAsia" w:ascii="Times New Roman" w:hAnsi="Times New Roman" w:eastAsia="方正仿宋_GBK" w:cs="Times New Roman"/>
          <w:b/>
          <w:bCs/>
          <w:color w:val="000000"/>
          <w:sz w:val="32"/>
          <w:lang w:eastAsia="zh-CN"/>
        </w:rPr>
        <w:t>优化“五</w:t>
      </w:r>
      <w:r>
        <w:rPr>
          <w:rFonts w:ascii="Times New Roman" w:hAnsi="Times New Roman" w:eastAsia="方正仿宋_GBK" w:cs="Times New Roman"/>
          <w:b/>
          <w:bCs/>
          <w:color w:val="000000"/>
          <w:sz w:val="32"/>
          <w:szCs w:val="32"/>
        </w:rPr>
        <w:t>片区</w:t>
      </w:r>
      <w:r>
        <w:rPr>
          <w:rFonts w:hint="eastAsia" w:ascii="Times New Roman" w:hAnsi="Times New Roman" w:eastAsia="方正仿宋_GBK" w:cs="Times New Roman"/>
          <w:b/>
          <w:bCs/>
          <w:color w:val="000000"/>
          <w:sz w:val="32"/>
          <w:lang w:eastAsia="zh-CN"/>
        </w:rPr>
        <w:t>”发展</w:t>
      </w:r>
      <w:r>
        <w:rPr>
          <w:rFonts w:ascii="Times New Roman" w:hAnsi="Times New Roman" w:eastAsia="方正仿宋_GBK" w:cs="Times New Roman"/>
          <w:b/>
          <w:bCs/>
          <w:color w:val="000000"/>
          <w:sz w:val="32"/>
          <w:szCs w:val="32"/>
        </w:rPr>
        <w:t>支撑</w:t>
      </w:r>
      <w:r>
        <w:rPr>
          <w:rFonts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color w:val="000000"/>
          <w:sz w:val="32"/>
          <w:szCs w:val="32"/>
        </w:rPr>
        <w:t>重庆政务功能核心区</w:t>
      </w:r>
      <w:r>
        <w:rPr>
          <w:rFonts w:ascii="Times New Roman" w:hAnsi="Times New Roman" w:eastAsia="方正仿宋_GBK" w:cs="Times New Roman"/>
          <w:color w:val="auto"/>
          <w:sz w:val="32"/>
          <w:szCs w:val="32"/>
          <w:highlight w:val="none"/>
          <w:u w:val="none" w:color="auto"/>
        </w:rPr>
        <w:t>强化区域政务服务保障能力，构建高效便捷的政务服务生态圈</w:t>
      </w:r>
      <w:r>
        <w:rPr>
          <w:rFonts w:hint="eastAsia"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b w:val="0"/>
          <w:bCs w:val="0"/>
          <w:color w:val="000000"/>
          <w:sz w:val="32"/>
          <w:szCs w:val="32"/>
        </w:rPr>
        <w:t>西南大区文体科创走廊</w:t>
      </w:r>
      <w:r>
        <w:rPr>
          <w:rFonts w:ascii="Times New Roman" w:hAnsi="Times New Roman" w:eastAsia="方正仿宋_GBK" w:cs="Times New Roman"/>
          <w:b w:val="0"/>
          <w:bCs w:val="0"/>
          <w:color w:val="000000"/>
          <w:sz w:val="32"/>
          <w:szCs w:val="32"/>
        </w:rPr>
        <w:t>以中山三路片区整体更新为契机，串联做亮大田湾—文化宫—大礼堂等历史文化地标，打造可观赏可体验的复合型功能走廊。</w:t>
      </w:r>
      <w:r>
        <w:rPr>
          <w:rFonts w:hint="eastAsia" w:ascii="Times New Roman" w:hAnsi="Times New Roman" w:eastAsia="方正仿宋_GBK" w:cs="Times New Roman"/>
          <w:b w:val="0"/>
          <w:bCs w:val="0"/>
          <w:color w:val="000000"/>
          <w:sz w:val="32"/>
          <w:szCs w:val="32"/>
        </w:rPr>
        <w:t>大坪潮流商圈</w:t>
      </w:r>
      <w:r>
        <w:rPr>
          <w:rFonts w:ascii="Times New Roman" w:hAnsi="Times New Roman" w:eastAsia="方正仿宋_GBK" w:cs="Times New Roman"/>
          <w:b w:val="0"/>
          <w:bCs w:val="0"/>
          <w:color w:val="000000"/>
          <w:sz w:val="32"/>
          <w:szCs w:val="32"/>
        </w:rPr>
        <w:t>聚焦时尚消费、现代办公等功能，连片激活大坪正街、市公安局和地矿院地块等，助力培育城市发展新增长极。数字经济产业园聚焦软件信息、区块链、人工智能等领域，持续增强数字经济、智能经济辐射力。环重医大健康产业园依托重庆医科大学及其附属医院等医疗资源，深化环重医创新创业生态圈建设，加快打造重</w:t>
      </w:r>
      <w:r>
        <w:rPr>
          <w:rFonts w:ascii="Times New Roman" w:hAnsi="Times New Roman" w:eastAsia="方正仿宋_GBK" w:cs="Times New Roman"/>
          <w:color w:val="000000"/>
          <w:sz w:val="32"/>
          <w:szCs w:val="32"/>
        </w:rPr>
        <w:t>庆信息与智慧医学研究院，更新盘活周边老旧楼宇吸引医疗及关联产业入驻，打造具有全国影响力的智慧创新策源地与产业转化高地。</w:t>
      </w:r>
      <w:r>
        <w:rPr>
          <w:rFonts w:ascii="Times New Roman" w:hAnsi="Times New Roman" w:eastAsia="方正楷体_GBK" w:cs="Times New Roman"/>
          <w:snapToGrid w:val="0"/>
          <w:color w:val="000000"/>
          <w:kern w:val="0"/>
          <w:sz w:val="32"/>
          <w:szCs w:val="32"/>
        </w:rPr>
        <w:t>（责任单位：区发展改革委、区住房城市建委、区文化旅游委、区城市管理局、区交通运输委、区规划自然资源局、区卫生健康委、区经济信息委、区大数据发展局、</w:t>
      </w:r>
      <w:r>
        <w:rPr>
          <w:rFonts w:hint="eastAsia" w:ascii="Times New Roman" w:hAnsi="Times New Roman" w:eastAsia="方正楷体_GBK" w:cs="Times New Roman"/>
          <w:snapToGrid w:val="0"/>
          <w:color w:val="000000"/>
          <w:kern w:val="0"/>
          <w:sz w:val="32"/>
          <w:szCs w:val="32"/>
        </w:rPr>
        <w:t>菜园坝滨江新城建设与发展指挥部</w:t>
      </w:r>
      <w:r>
        <w:rPr>
          <w:rFonts w:ascii="Times New Roman" w:hAnsi="Times New Roman" w:eastAsia="方正楷体_GBK" w:cs="Times New Roman"/>
          <w:snapToGrid w:val="0"/>
          <w:color w:val="000000"/>
          <w:kern w:val="0"/>
          <w:sz w:val="32"/>
          <w:szCs w:val="32"/>
        </w:rPr>
        <w:t>、各街道办事处，各管委会，区属国有企业）</w:t>
      </w:r>
    </w:p>
    <w:p w14:paraId="428121E7">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（二）推进老旧小区改造提升</w:t>
      </w:r>
    </w:p>
    <w:p w14:paraId="3FC2F75F">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snapToGrid w:val="0"/>
          <w:color w:val="000000"/>
          <w:sz w:val="32"/>
          <w:szCs w:val="32"/>
        </w:rPr>
      </w:pPr>
      <w:r>
        <w:rPr>
          <w:rFonts w:ascii="Times New Roman" w:hAnsi="Times New Roman" w:eastAsia="方正仿宋_GBK" w:cs="Times New Roman"/>
          <w:color w:val="000000"/>
          <w:kern w:val="2"/>
          <w:sz w:val="32"/>
          <w:szCs w:val="32"/>
        </w:rPr>
        <w:t>开展2001—2010年住宅小区普查，</w:t>
      </w:r>
      <w:r>
        <w:rPr>
          <w:rFonts w:ascii="Times New Roman" w:hAnsi="Times New Roman" w:eastAsia="方正仿宋_GBK" w:cs="Times New Roman"/>
          <w:color w:val="000000"/>
          <w:sz w:val="32"/>
          <w:szCs w:val="32"/>
        </w:rPr>
        <w:t>突出除险清患，更新改造老旧小区燃气、供排水等老化管线管道，整治整改外墙、人行走道、排风烟道、通风井道和消防设施等。支持有条件的楼栋加装电梯。整治小区及周边环境，完善小区停车、充电、生活垃圾分类等配套基础设施，补齐社区食堂、养老、托育等</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一老一小</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公共服务设施短板，提升便民服务质效，推进适老化、适儿化改造。</w:t>
      </w:r>
      <w:r>
        <w:rPr>
          <w:rFonts w:ascii="Times New Roman" w:hAnsi="Times New Roman" w:eastAsia="方正仿宋_GBK" w:cs="Times New Roman"/>
          <w:color w:val="000000"/>
          <w:kern w:val="2"/>
          <w:sz w:val="32"/>
          <w:szCs w:val="32"/>
        </w:rPr>
        <w:t>强化居民在老旧小区改造中的主体地位，合理落实居民出资责任，将成立业委会或自治组织、居民出资比例作为老旧小区改造的前置条件。</w:t>
      </w:r>
      <w:r>
        <w:rPr>
          <w:rFonts w:ascii="Times New Roman" w:hAnsi="Times New Roman" w:eastAsia="方正仿宋_GBK" w:cs="Times New Roman"/>
          <w:color w:val="000000"/>
          <w:sz w:val="32"/>
          <w:szCs w:val="32"/>
        </w:rPr>
        <w:t>结合改造同步完善小区长效管理机制，注重引导居民参与和监督，共同维护改造成果。</w:t>
      </w:r>
      <w:r>
        <w:rPr>
          <w:rFonts w:ascii="Times New Roman" w:hAnsi="Times New Roman" w:eastAsia="方正楷体_GBK" w:cs="Times New Roman"/>
          <w:snapToGrid w:val="0"/>
          <w:color w:val="000000"/>
          <w:sz w:val="32"/>
          <w:szCs w:val="32"/>
        </w:rPr>
        <w:t>（责任单位：区住房</w:t>
      </w:r>
      <w:r>
        <w:rPr>
          <w:rFonts w:hint="eastAsia" w:ascii="Times New Roman" w:hAnsi="Times New Roman" w:eastAsia="方正楷体_GBK" w:cs="Times New Roman"/>
          <w:snapToGrid w:val="0"/>
          <w:color w:val="000000"/>
          <w:sz w:val="32"/>
          <w:szCs w:val="32"/>
          <w:lang w:eastAsia="zh-CN"/>
        </w:rPr>
        <w:t>城市</w:t>
      </w:r>
      <w:r>
        <w:rPr>
          <w:rFonts w:ascii="Times New Roman" w:hAnsi="Times New Roman" w:eastAsia="方正楷体_GBK" w:cs="Times New Roman"/>
          <w:snapToGrid w:val="0"/>
          <w:color w:val="000000"/>
          <w:sz w:val="32"/>
          <w:szCs w:val="32"/>
        </w:rPr>
        <w:t>建委、区发展改革委、区规划自然资源局、区城市管理局、区民政局、区卫生健康委、区经济信息委、区消防救援局，各街道办事处）</w:t>
      </w:r>
    </w:p>
    <w:p w14:paraId="311739E9">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right="0" w:firstLine="640" w:firstLineChars="200"/>
        <w:jc w:val="both"/>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（三）推进老旧街区更新改造</w:t>
      </w:r>
    </w:p>
    <w:p w14:paraId="542A44CE">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righ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改造提升解放碑、大坪等商业步行街和老旧商业街区，完善配套设施，优化交通组织，提升公共空间品质，丰富商业业态，创新消费场景，推动文旅产业赋能城市更新。推动老旧街区功能转换、业态升级、活力提升，因地制宜打造大坪七牌坊等一批活力街区。探索以非标商业场景带动城市自主更新模式，打造枇杷山等一批主理人街区，由市场主理人自发出资实施载体更新和场景打造，推进商业内容和更新空间有机融合。</w:t>
      </w:r>
      <w:r>
        <w:rPr>
          <w:rFonts w:ascii="Times New Roman" w:hAnsi="Times New Roman" w:eastAsia="方正楷体_GBK" w:cs="Times New Roman"/>
          <w:snapToGrid w:val="0"/>
          <w:color w:val="000000"/>
          <w:sz w:val="32"/>
          <w:szCs w:val="32"/>
        </w:rPr>
        <w:t>（责任单位：区住房</w:t>
      </w:r>
      <w:r>
        <w:rPr>
          <w:rFonts w:hint="eastAsia" w:ascii="Times New Roman" w:hAnsi="Times New Roman" w:eastAsia="方正楷体_GBK" w:cs="Times New Roman"/>
          <w:snapToGrid w:val="0"/>
          <w:color w:val="000000"/>
          <w:sz w:val="32"/>
          <w:szCs w:val="32"/>
          <w:lang w:eastAsia="zh-CN"/>
        </w:rPr>
        <w:t>城市</w:t>
      </w:r>
      <w:r>
        <w:rPr>
          <w:rFonts w:ascii="Times New Roman" w:hAnsi="Times New Roman" w:eastAsia="方正楷体_GBK" w:cs="Times New Roman"/>
          <w:snapToGrid w:val="0"/>
          <w:color w:val="000000"/>
          <w:sz w:val="32"/>
          <w:szCs w:val="32"/>
        </w:rPr>
        <w:t>建委、区发展改革委、区商务委，各管委会、各街道办事处）</w:t>
      </w:r>
    </w:p>
    <w:p w14:paraId="39C76160">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bCs/>
          <w:color w:val="000000"/>
          <w:sz w:val="32"/>
          <w:szCs w:val="32"/>
        </w:rPr>
      </w:pPr>
      <w:r>
        <w:rPr>
          <w:rFonts w:ascii="Times New Roman" w:hAnsi="Times New Roman" w:eastAsia="方正楷体_GBK" w:cs="Times New Roman"/>
          <w:bCs/>
          <w:color w:val="000000"/>
          <w:sz w:val="32"/>
          <w:szCs w:val="32"/>
        </w:rPr>
        <w:t>（四）加强既有建筑改造利用</w:t>
      </w:r>
    </w:p>
    <w:p w14:paraId="1DE1496A">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color w:val="000000"/>
          <w:kern w:val="2"/>
          <w:sz w:val="32"/>
          <w:szCs w:val="32"/>
          <w:highlight w:val="yellow"/>
        </w:rPr>
      </w:pPr>
      <w:r>
        <w:rPr>
          <w:rFonts w:hint="eastAsia" w:ascii="方正仿宋_GBK" w:eastAsia="方正仿宋_GBK" w:cs="方正仿宋_GBK"/>
          <w:color w:val="000000"/>
          <w:sz w:val="32"/>
          <w:szCs w:val="32"/>
        </w:rPr>
        <w:t>稳妥推进城市危旧房改造，以</w:t>
      </w:r>
      <w:r>
        <w:rPr>
          <w:rFonts w:hint="eastAsia" w:ascii="方正仿宋_GBK" w:eastAsia="方正仿宋_GBK" w:cs="方正仿宋_GBK"/>
          <w:color w:val="000000"/>
          <w:kern w:val="2"/>
          <w:sz w:val="32"/>
          <w:szCs w:val="32"/>
        </w:rPr>
        <w:t>城市</w:t>
      </w:r>
      <w:r>
        <w:rPr>
          <w:rFonts w:ascii="Times New Roman" w:hAnsi="Times New Roman" w:eastAsia="方正仿宋_GBK" w:cs="Times New Roman"/>
          <w:color w:val="000000"/>
          <w:kern w:val="2"/>
          <w:sz w:val="32"/>
          <w:szCs w:val="32"/>
        </w:rPr>
        <w:t>C、D</w:t>
      </w:r>
      <w:r>
        <w:rPr>
          <w:rFonts w:hint="eastAsia" w:ascii="方正仿宋_GBK" w:eastAsia="方正仿宋_GBK" w:cs="方正仿宋_GBK"/>
          <w:color w:val="000000"/>
          <w:sz w:val="32"/>
          <w:szCs w:val="32"/>
        </w:rPr>
        <w:t>级危房为重点，通过原房改造、修缮加固、拆除新建等方式实施改造，切实消除房屋安全隐患，同步推进国有企事业单位非成套住房改造。探索实施危房以及不成套房屋抽疏重建，以增加层数、错层改造等方式完善功能配套，积极探索居民自主更新模式</w:t>
      </w:r>
      <w:r>
        <w:rPr>
          <w:rFonts w:hint="eastAsia" w:ascii="方正仿宋_GBK" w:eastAsia="方正仿宋_GBK" w:cs="方正仿宋_GBK"/>
          <w:color w:val="000000"/>
          <w:kern w:val="2"/>
          <w:sz w:val="32"/>
          <w:szCs w:val="32"/>
        </w:rPr>
        <w:t>。</w:t>
      </w:r>
      <w:r>
        <w:rPr>
          <w:rFonts w:hint="eastAsia" w:ascii="方正仿宋_GBK" w:eastAsia="方正仿宋_GBK" w:cs="方正仿宋_GBK"/>
          <w:color w:val="000000"/>
          <w:sz w:val="32"/>
          <w:szCs w:val="32"/>
        </w:rPr>
        <w:t>分类分批对存在抗震安全隐患且具备加固价值的房屋进行抗震加固。持续推进既有居住建筑和公共建筑节能改造，加强建筑保温材料管理。动态消除房屋外墙、空调挂架等安全隐患，修复城市界面、重塑城市街景。推进老旧低效楼宇、商业设施等存量房屋改造利用，推动建筑功能转换和混合利用，科学制定盘活方案，</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sz w:val="32"/>
          <w:szCs w:val="32"/>
        </w:rPr>
        <w:t>一楼一策</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sz w:val="32"/>
          <w:szCs w:val="32"/>
        </w:rPr>
        <w:t>推动商业商务楼宇焕新升级</w:t>
      </w:r>
      <w:r>
        <w:rPr>
          <w:rFonts w:hint="eastAsia" w:ascii="方正仿宋_GBK" w:eastAsia="方正仿宋_GBK" w:cs="方正仿宋_GBK"/>
          <w:color w:val="000000"/>
          <w:kern w:val="2"/>
          <w:sz w:val="32"/>
          <w:szCs w:val="32"/>
        </w:rPr>
        <w:t>。将部分老旧楼宇、闲置空间更新改造为</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创客公寓</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和</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创新工场</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，为青年人群提供</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低成本产业空间</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。以金银湾</w:t>
      </w:r>
      <w:r>
        <w:rPr>
          <w:rFonts w:ascii="Times New Roman" w:hAnsi="Times New Roman" w:eastAsia="方正仿宋_GBK" w:cs="Times New Roman"/>
          <w:color w:val="000000"/>
          <w:kern w:val="2"/>
          <w:sz w:val="32"/>
          <w:szCs w:val="32"/>
        </w:rPr>
        <w:t>184</w:t>
      </w:r>
      <w:r>
        <w:rPr>
          <w:rFonts w:hint="eastAsia" w:ascii="方正仿宋_GBK" w:eastAsia="方正仿宋_GBK" w:cs="方正仿宋_GBK"/>
          <w:color w:val="000000"/>
          <w:kern w:val="2"/>
          <w:sz w:val="32"/>
          <w:szCs w:val="32"/>
        </w:rPr>
        <w:t>号长租公寓项目为蓝本，推动住房租赁与城市更新融合发展，打造多层次、个性化人才公寓。</w:t>
      </w:r>
      <w:r>
        <w:rPr>
          <w:rFonts w:ascii="Times New Roman" w:hAnsi="Times New Roman" w:eastAsia="方正楷体_GBK" w:cs="Times New Roman"/>
          <w:snapToGrid w:val="0"/>
          <w:color w:val="000000"/>
          <w:sz w:val="32"/>
          <w:szCs w:val="32"/>
        </w:rPr>
        <w:t>（责任单位：区住房城市建委、区发展改革委、区规划自然资源局、区城市管理局、区经济信息委、区国资委，各街道办事处</w:t>
      </w:r>
      <w:r>
        <w:rPr>
          <w:rFonts w:hint="eastAsia" w:ascii="Times New Roman" w:hAnsi="Times New Roman" w:eastAsia="方正楷体_GBK" w:cs="Times New Roman"/>
          <w:snapToGrid w:val="0"/>
          <w:color w:val="000000"/>
          <w:sz w:val="32"/>
          <w:szCs w:val="32"/>
          <w:lang w:eastAsia="zh-CN"/>
        </w:rPr>
        <w:t>，区属国有企业</w:t>
      </w:r>
      <w:r>
        <w:rPr>
          <w:rFonts w:ascii="Times New Roman" w:hAnsi="Times New Roman" w:eastAsia="方正楷体_GBK" w:cs="Times New Roman"/>
          <w:snapToGrid w:val="0"/>
          <w:color w:val="000000"/>
          <w:sz w:val="32"/>
          <w:szCs w:val="32"/>
        </w:rPr>
        <w:t>）</w:t>
      </w:r>
    </w:p>
    <w:p w14:paraId="79BA072C">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（五）开展现代社区建设</w:t>
      </w:r>
    </w:p>
    <w:p w14:paraId="2D7CFF51">
      <w:pPr>
        <w:keepNext w:val="0"/>
        <w:keepLines w:val="0"/>
        <w:pageBreakBefore w:val="0"/>
        <w:widowControl w:val="0"/>
        <w:kinsoku/>
        <w:wordWrap/>
        <w:overflowPunct w:val="0"/>
        <w:topLinePunct w:val="0"/>
        <w:autoSpaceDE/>
        <w:autoSpaceDN/>
        <w:bidi w:val="0"/>
        <w:spacing w:line="620" w:lineRule="exact"/>
        <w:ind w:left="0" w:right="0" w:firstLine="640" w:firstLineChars="200"/>
        <w:rPr>
          <w:rFonts w:ascii="Times New Roman" w:hAnsi="Times New Roman" w:eastAsia="方正楷体_GBK" w:cs="Times New Roman"/>
          <w:bCs/>
          <w:color w:val="000000"/>
          <w:sz w:val="32"/>
          <w:szCs w:val="32"/>
        </w:rPr>
      </w:pPr>
      <w:r>
        <w:rPr>
          <w:rFonts w:ascii="Times New Roman" w:hAnsi="Times New Roman" w:eastAsia="方正仿宋_GBK" w:cs="Times New Roman"/>
          <w:color w:val="000000"/>
          <w:sz w:val="32"/>
          <w:szCs w:val="32"/>
        </w:rPr>
        <w:t>适应常住人口变化趋势，从满足人的需求出发，推动现代社区规划建设与</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15分钟高品质生活服务圈</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同步打造，大力推进城市社区嵌入式服务设施建设，增量扩面建设</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渝邻汇</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社区综合服务体，打造业态多元、功能齐全、全龄适配的社区邻里中心。充分利用闲置土地、房屋、边角空间等存量资源，增设</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劳动港湾</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司机之家</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骑手驿站</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等，打造全域全龄友好场景。深化现代社区建设试点，探索</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城市一体化服务</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管理模式，集成落地渝快智治、健康颐养、创新创业等市民生活应用场景，完成化龙桥重庆天地、民乐村等现代社区建设样板打造，推进十八梯社区、曾家岩社区、人和街社区等现代社区创建。开展背街小巷整治提升，清理城市管理死角盲区，培育创新创业新空间，大力发展</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后巷经济</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，塑造生活、消费、文旅、创业新场景，让老街巷富有烟火气、人情味和幸福感。</w:t>
      </w:r>
      <w:r>
        <w:rPr>
          <w:rFonts w:ascii="Times New Roman" w:hAnsi="Times New Roman" w:eastAsia="方正楷体_GBK" w:cs="Times New Roman"/>
          <w:snapToGrid w:val="0"/>
          <w:color w:val="000000"/>
          <w:kern w:val="0"/>
          <w:sz w:val="32"/>
          <w:szCs w:val="32"/>
        </w:rPr>
        <w:t>（责任单位：区发展改革委、区委社会工作部、区住房城市建委、区规划自然资源局、区城市管理局、区民政局、</w:t>
      </w:r>
      <w:r>
        <w:rPr>
          <w:rFonts w:hint="eastAsia" w:ascii="Times New Roman" w:hAnsi="Times New Roman" w:eastAsia="方正楷体_GBK" w:cs="Times New Roman"/>
          <w:snapToGrid w:val="0"/>
          <w:color w:val="000000"/>
          <w:kern w:val="0"/>
          <w:sz w:val="32"/>
          <w:szCs w:val="32"/>
          <w:lang w:eastAsia="zh-CN"/>
        </w:rPr>
        <w:t>区卫生健康委、</w:t>
      </w:r>
      <w:r>
        <w:rPr>
          <w:rFonts w:ascii="Times New Roman" w:hAnsi="Times New Roman" w:eastAsia="方正楷体_GBK" w:cs="Times New Roman"/>
          <w:snapToGrid w:val="0"/>
          <w:color w:val="000000"/>
          <w:kern w:val="0"/>
          <w:sz w:val="32"/>
          <w:szCs w:val="32"/>
        </w:rPr>
        <w:t>区商务委、区文化旅游委，各街道办事处）</w:t>
      </w:r>
    </w:p>
    <w:p w14:paraId="46FBFC04">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right="0" w:firstLine="640" w:firstLineChars="200"/>
        <w:jc w:val="both"/>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（六）加强城市基础设施建设改造</w:t>
      </w:r>
    </w:p>
    <w:p w14:paraId="3469FF63">
      <w:pPr>
        <w:keepNext w:val="0"/>
        <w:keepLines w:val="0"/>
        <w:pageBreakBefore w:val="0"/>
        <w:widowControl w:val="0"/>
        <w:kinsoku/>
        <w:wordWrap/>
        <w:overflowPunct w:val="0"/>
        <w:topLinePunct w:val="0"/>
        <w:autoSpaceDE/>
        <w:autoSpaceDN/>
        <w:bidi w:val="0"/>
        <w:spacing w:line="620" w:lineRule="exact"/>
        <w:ind w:left="0" w:right="0" w:firstLine="640" w:firstLineChars="200"/>
        <w:rPr>
          <w:rFonts w:ascii="Times New Roman" w:hAnsi="Times New Roman" w:eastAsia="方正楷体_GBK" w:cs="Times New Roman"/>
          <w:bCs/>
          <w:color w:val="000000"/>
          <w:sz w:val="32"/>
          <w:szCs w:val="32"/>
        </w:rPr>
      </w:pPr>
      <w:r>
        <w:rPr>
          <w:rFonts w:hint="eastAsia" w:ascii="Times New Roman" w:hAnsi="Times New Roman" w:eastAsia="方正仿宋_GBK" w:cs="Times New Roman"/>
          <w:color w:val="000000"/>
          <w:sz w:val="32"/>
          <w:szCs w:val="32"/>
        </w:rPr>
        <w:t>统筹推进公共交通与城市更新规划一体化布局，持续加密公共交通网络覆盖范围。</w:t>
      </w:r>
      <w:r>
        <w:rPr>
          <w:rFonts w:ascii="Times New Roman" w:hAnsi="Times New Roman" w:eastAsia="方正仿宋_GBK" w:cs="Times New Roman"/>
          <w:color w:val="000000"/>
          <w:sz w:val="32"/>
          <w:szCs w:val="32"/>
        </w:rPr>
        <w:t>提速轨道网络建设，推进18号线北延段、27号线建设，争取26号线纳入第五期计划。有序推进轨道站场功能品质提升，深入开展解放碑－朝天门等重点片区站点提质增效试点研究，推动轨道站点与公共空间、建筑空间无缝衔接。完善</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轨道+公交+步道</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便捷通勤换乘系统，持续提升轨道交通分担率。优化城市主次干道建设，加快推进红云路、黄花园配套道路等重点道路建设进度。</w:t>
      </w:r>
      <w:r>
        <w:rPr>
          <w:rFonts w:hint="eastAsia" w:ascii="Times New Roman" w:hAnsi="Times New Roman" w:eastAsia="方正仿宋_GBK" w:cs="Times New Roman"/>
          <w:color w:val="000000"/>
          <w:sz w:val="32"/>
          <w:szCs w:val="32"/>
          <w:lang w:eastAsia="zh-CN"/>
        </w:rPr>
        <w:t>实施</w:t>
      </w:r>
      <w:r>
        <w:rPr>
          <w:rFonts w:ascii="Times New Roman" w:hAnsi="Times New Roman" w:eastAsia="方正仿宋_GBK" w:cs="Times New Roman"/>
          <w:color w:val="000000"/>
          <w:sz w:val="32"/>
          <w:szCs w:val="32"/>
        </w:rPr>
        <w:t>片区路网更新，推动既有道路、桥梁、隧道等市政基础设施更新改造，切实消除安全隐患，因地制宜增设公交港湾。扎实推进交通缓堵促畅攻坚，构建</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快、干、支、微</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等多层次公交线网，推广</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智能交管</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等数字化应用。完善城市慢行系统，持续推进</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山城步道</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建设，加大地下通道、过街天桥和商圈连廊等建设力度，提升市民出行便捷性。坚持</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忙时统筹、闲时共享</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，充分整合停车资源，持续推进</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大中小微</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停车场建设，用好</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渝畅停</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等智慧停车系统。推进城市生命线安全工程建设，持续开展地下管线专项体检、燃气安全排查整治，加快老旧地下管网更新改造。统筹城市防洪和内涝治理，加快排水防涝设施建设改造，构建完善的城市防洪排涝体系，提升应急处置能力。</w:t>
      </w:r>
      <w:r>
        <w:rPr>
          <w:rFonts w:ascii="Times New Roman" w:hAnsi="Times New Roman" w:eastAsia="方正仿宋_GBK" w:cs="Times New Roman"/>
          <w:bCs/>
          <w:color w:val="000000"/>
          <w:sz w:val="32"/>
          <w:szCs w:val="32"/>
        </w:rPr>
        <w:t>加强人防设施、公园绿地、文体场馆等</w:t>
      </w:r>
      <w:r>
        <w:rPr>
          <w:rFonts w:hint="eastAsia" w:ascii="Times New Roman" w:hAnsi="Times New Roman" w:eastAsia="方正仿宋_GBK" w:cs="Times New Roman"/>
          <w:bCs/>
          <w:color w:val="000000"/>
          <w:sz w:val="32"/>
          <w:szCs w:val="32"/>
          <w:lang w:eastAsia="zh-CN"/>
        </w:rPr>
        <w:t>“</w:t>
      </w:r>
      <w:r>
        <w:rPr>
          <w:rFonts w:ascii="Times New Roman" w:hAnsi="Times New Roman" w:eastAsia="方正仿宋_GBK" w:cs="Times New Roman"/>
          <w:bCs/>
          <w:color w:val="000000"/>
          <w:sz w:val="32"/>
          <w:szCs w:val="32"/>
        </w:rPr>
        <w:t>平急两用</w:t>
      </w:r>
      <w:r>
        <w:rPr>
          <w:rFonts w:hint="eastAsia" w:ascii="Times New Roman" w:hAnsi="Times New Roman" w:eastAsia="方正仿宋_GBK" w:cs="Times New Roman"/>
          <w:bCs/>
          <w:color w:val="000000"/>
          <w:sz w:val="32"/>
          <w:szCs w:val="32"/>
          <w:lang w:eastAsia="zh-CN"/>
        </w:rPr>
        <w:t>”</w:t>
      </w:r>
      <w:r>
        <w:rPr>
          <w:rFonts w:ascii="Times New Roman" w:hAnsi="Times New Roman" w:eastAsia="方正仿宋_GBK" w:cs="Times New Roman"/>
          <w:bCs/>
          <w:color w:val="000000"/>
          <w:sz w:val="32"/>
          <w:szCs w:val="32"/>
        </w:rPr>
        <w:t>公共基础设施资源整合</w:t>
      </w:r>
      <w:r>
        <w:rPr>
          <w:rFonts w:ascii="Times New Roman" w:hAnsi="Times New Roman" w:eastAsia="方正仿宋_GBK" w:cs="Times New Roman"/>
          <w:color w:val="000000"/>
          <w:sz w:val="32"/>
          <w:szCs w:val="32"/>
        </w:rPr>
        <w:t>。完善城市医疗应急服务体系，加强临时安置、应急物资保障。建设小型消防站，补齐市政消火栓短板，加强消防取水设施建设，推动生活垃圾收运、回收利用和处理设施改造升级。</w:t>
      </w:r>
      <w:r>
        <w:rPr>
          <w:rFonts w:ascii="Times New Roman" w:hAnsi="Times New Roman" w:eastAsia="方正楷体_GBK" w:cs="Times New Roman"/>
          <w:snapToGrid w:val="0"/>
          <w:color w:val="000000"/>
          <w:kern w:val="0"/>
          <w:sz w:val="32"/>
          <w:szCs w:val="32"/>
        </w:rPr>
        <w:t>（责任单位：区住房城市建委、区城市管理局、区公安分局、区交通运输委、区经济信息委、区国动办、区文化旅游委、区卫生健康委、区消防救援局，各街道办事处）</w:t>
      </w:r>
    </w:p>
    <w:p w14:paraId="7E7C5B2F">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ascii="Times New Roman" w:hAnsi="Times New Roman" w:eastAsia="方正楷体_GBK" w:cs="Times New Roman"/>
          <w:bCs/>
          <w:color w:val="000000"/>
          <w:sz w:val="32"/>
          <w:szCs w:val="32"/>
        </w:rPr>
      </w:pPr>
      <w:bookmarkStart w:id="7" w:name="_Hlk201591037"/>
      <w:r>
        <w:rPr>
          <w:rFonts w:ascii="Times New Roman" w:hAnsi="Times New Roman" w:eastAsia="方正楷体_GBK" w:cs="Times New Roman"/>
          <w:bCs/>
          <w:color w:val="000000"/>
          <w:sz w:val="32"/>
          <w:szCs w:val="32"/>
        </w:rPr>
        <w:t>（七）实施绿色空间更新提质</w:t>
      </w:r>
    </w:p>
    <w:bookmarkEnd w:id="7"/>
    <w:p w14:paraId="07BCBC78">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color w:val="000000"/>
          <w:sz w:val="32"/>
          <w:szCs w:val="32"/>
        </w:rPr>
      </w:pPr>
      <w:r>
        <w:rPr>
          <w:rFonts w:hint="eastAsia" w:ascii="Times New Roman" w:hAnsi="Times New Roman" w:eastAsia="方正仿宋_GBK" w:cs="Times New Roman"/>
          <w:color w:val="000000"/>
          <w:sz w:val="32"/>
          <w:szCs w:val="32"/>
        </w:rPr>
        <w:t>合理布局城市绿环绿廊绿楔绿道，建设均衡布局、功能完善、系统联通的城市公园体系。统筹布局城市阳台，优先在城市基础设施周边、居住区附近、桥下空间、闲置绿地、附属空间等区域建设口袋公园和运动场地。生态修复美化坡坎崖景观，开展阳台、屋顶、建筑立面、崖壁等立体绿化，打造多层次立体绿城。升级人民公园、虎头岩公园、鹅岭公园等城市公园，统筹无障碍设施、儿童游乐设施等建设，因地制宜完善公共停车位，打造全龄友好公园。拓展社区公园、游园、</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口袋公园</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席地而坐</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城市客厅等景观空间。促进公园绿地开放共享，鼓励城市公园利用空闲地、草坪区或林下空间开展文体活动，不断提升城市公园活力</w:t>
      </w:r>
      <w:r>
        <w:rPr>
          <w:rFonts w:ascii="Times New Roman" w:hAnsi="Times New Roman" w:eastAsia="方正仿宋_GBK" w:cs="Times New Roman"/>
          <w:color w:val="000000"/>
          <w:sz w:val="32"/>
          <w:szCs w:val="32"/>
        </w:rPr>
        <w:t>。</w:t>
      </w:r>
      <w:r>
        <w:rPr>
          <w:rFonts w:ascii="Times New Roman" w:hAnsi="Times New Roman" w:eastAsia="方正楷体_GBK" w:cs="Times New Roman"/>
          <w:snapToGrid w:val="0"/>
          <w:color w:val="000000"/>
          <w:kern w:val="0"/>
          <w:sz w:val="32"/>
          <w:szCs w:val="32"/>
        </w:rPr>
        <w:t>（责任单位：区城市管理局、区规划自然资源局</w:t>
      </w:r>
      <w:r>
        <w:rPr>
          <w:rFonts w:hint="eastAsia" w:ascii="Times New Roman" w:hAnsi="Times New Roman" w:eastAsia="方正楷体_GBK" w:cs="Times New Roman"/>
          <w:snapToGrid w:val="0"/>
          <w:color w:val="000000"/>
          <w:kern w:val="0"/>
          <w:sz w:val="32"/>
          <w:szCs w:val="32"/>
          <w:lang w:eastAsia="zh-CN"/>
        </w:rPr>
        <w:t>、区住房城市建委</w:t>
      </w:r>
      <w:r>
        <w:rPr>
          <w:rFonts w:ascii="Times New Roman" w:hAnsi="Times New Roman" w:eastAsia="方正楷体_GBK" w:cs="Times New Roman"/>
          <w:snapToGrid w:val="0"/>
          <w:color w:val="000000"/>
          <w:kern w:val="0"/>
          <w:sz w:val="32"/>
          <w:szCs w:val="32"/>
        </w:rPr>
        <w:t>，各街道办事处）</w:t>
      </w:r>
    </w:p>
    <w:p w14:paraId="1F690ED5">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ascii="Times New Roman" w:hAnsi="Times New Roman" w:eastAsia="方正楷体_GBK" w:cs="Times New Roman"/>
          <w:bCs/>
          <w:color w:val="000000"/>
          <w:sz w:val="32"/>
          <w:szCs w:val="32"/>
        </w:rPr>
      </w:pPr>
      <w:bookmarkStart w:id="8" w:name="_Hlk201591053"/>
      <w:r>
        <w:rPr>
          <w:rFonts w:ascii="Times New Roman" w:hAnsi="Times New Roman" w:eastAsia="方正楷体_GBK" w:cs="Times New Roman"/>
          <w:bCs/>
          <w:color w:val="000000"/>
          <w:sz w:val="32"/>
          <w:szCs w:val="32"/>
        </w:rPr>
        <w:t>（八）修复城市生态系统</w:t>
      </w:r>
    </w:p>
    <w:p w14:paraId="1A93EA92">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坚持治山、治水、治城等</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九治</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一体推进，持续深入打好蓝天、碧水、净土保卫战，着力推进污水溢流、噪声污染、餐饮油烟专项治理，建设连续完整的生态基础设施体系。深化</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厂网一体</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改革，加快污水收集和转运设施建设改造</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加快污水泵站改造和加强市政管网维护，构建高标准城市生活污水治理体系。深入实施城市生态修复工程，提质建设</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两岸青山千里林带</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推进生态廊道、城市绿道、通风廊道等建设，筑牢全域生态屏障。深化固体废物污染防治。持续保护长江、嘉陵江水域，提升水源涵养功能。开展生态修复、工程治理、公共空间改造提升、生物多样性保护等工作，打造19.1公里大美滨江。</w:t>
      </w:r>
      <w:r>
        <w:rPr>
          <w:rFonts w:ascii="Times New Roman" w:hAnsi="Times New Roman" w:eastAsia="方正楷体_GBK" w:cs="Times New Roman"/>
          <w:snapToGrid w:val="0"/>
          <w:color w:val="000000"/>
          <w:kern w:val="0"/>
          <w:sz w:val="32"/>
          <w:szCs w:val="32"/>
        </w:rPr>
        <w:t>（责任单位：区生态环境局、区住房城市建委、区规划自然资源局、区城市管理局</w:t>
      </w:r>
      <w:r>
        <w:rPr>
          <w:rFonts w:hint="eastAsia" w:ascii="Times New Roman" w:hAnsi="Times New Roman" w:eastAsia="方正楷体_GBK" w:cs="Times New Roman"/>
          <w:snapToGrid w:val="0"/>
          <w:color w:val="000000"/>
          <w:kern w:val="0"/>
          <w:sz w:val="32"/>
          <w:szCs w:val="32"/>
          <w:lang w:eastAsia="zh-CN"/>
        </w:rPr>
        <w:t>、区交通运输委</w:t>
      </w:r>
      <w:r>
        <w:rPr>
          <w:rFonts w:ascii="Times New Roman" w:hAnsi="Times New Roman" w:eastAsia="方正楷体_GBK" w:cs="Times New Roman"/>
          <w:snapToGrid w:val="0"/>
          <w:color w:val="000000"/>
          <w:kern w:val="0"/>
          <w:sz w:val="32"/>
          <w:szCs w:val="32"/>
        </w:rPr>
        <w:t>，各街道办事处）</w:t>
      </w:r>
    </w:p>
    <w:p w14:paraId="7EE8C7D8">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ascii="Times New Roman" w:hAnsi="Times New Roman" w:eastAsia="方正楷体_GBK" w:cs="Times New Roman"/>
          <w:bCs/>
          <w:color w:val="000000"/>
          <w:sz w:val="32"/>
          <w:szCs w:val="32"/>
        </w:rPr>
      </w:pPr>
      <w:r>
        <w:rPr>
          <w:rFonts w:ascii="Times New Roman" w:hAnsi="Times New Roman" w:eastAsia="方正楷体_GBK" w:cs="Times New Roman"/>
          <w:bCs/>
          <w:color w:val="000000"/>
          <w:sz w:val="32"/>
          <w:szCs w:val="32"/>
        </w:rPr>
        <w:t>（九）强化城市历史文化保护利用</w:t>
      </w:r>
      <w:bookmarkEnd w:id="8"/>
    </w:p>
    <w:p w14:paraId="43DA1932">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bCs/>
          <w:color w:val="000000"/>
          <w:sz w:val="32"/>
          <w:szCs w:val="32"/>
        </w:rPr>
      </w:pPr>
      <w:r>
        <w:rPr>
          <w:rFonts w:hint="eastAsia" w:ascii="Times New Roman" w:hAnsi="Times New Roman" w:eastAsia="方正仿宋_GBK" w:cs="Times New Roman"/>
          <w:color w:val="000000"/>
          <w:sz w:val="32"/>
          <w:szCs w:val="32"/>
        </w:rPr>
        <w:t>全面开展城市历史文化资源调查，摸清文化遗产资源底数，分类编制历史遗存保护规划，合理划定保护范围，科学制定保护修缮方案，建立健全</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先调查后更新</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先考古后出让</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的保护前置机制。落实</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老城不能再拆</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的要求，将城市更新区域内具有保护价值的老建筑、古民居纳入历史建筑或不可移动文物保护管理，严禁拆真建假。统筹历史文化街区、传统风貌区、不可移动文物、历史建筑</w:t>
      </w:r>
      <w:r>
        <w:rPr>
          <w:rFonts w:hint="eastAsia" w:ascii="Times New Roman" w:hAnsi="Times New Roman" w:eastAsia="方正仿宋_GBK" w:cs="Times New Roman"/>
          <w:color w:val="000000"/>
          <w:sz w:val="32"/>
          <w:szCs w:val="32"/>
          <w:lang w:eastAsia="zh-CN"/>
        </w:rPr>
        <w:t>等</w:t>
      </w:r>
      <w:r>
        <w:rPr>
          <w:rFonts w:hint="eastAsia" w:ascii="Times New Roman" w:hAnsi="Times New Roman" w:eastAsia="方正仿宋_GBK" w:cs="Times New Roman"/>
          <w:color w:val="000000"/>
          <w:sz w:val="32"/>
          <w:szCs w:val="32"/>
        </w:rPr>
        <w:t>保护利用，建立以居民为主体的保护实施机制</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提升历史文化保护与城市更新有机融合水平，推进重庆</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九开八闭</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古城墙保护利用等历史人文地标建设项目，实施非遗</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薪火相传</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计划，开展母城文化研究阐释工程，彰显</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重庆母城 人文渝中</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不可复制的核心竞争力。深度挖掘老建筑、老街区、老厂房、老地名等历史文化内涵，规范地名管理，保护传承具有重庆地理人文特征的传统地名。弘扬</w:t>
      </w:r>
      <w:r>
        <w:rPr>
          <w:rFonts w:hint="eastAsia" w:ascii="Times New Roman" w:hAnsi="Times New Roman" w:eastAsia="方正仿宋_GBK" w:cs="Times New Roman"/>
          <w:color w:val="000000"/>
          <w:sz w:val="32"/>
          <w:szCs w:val="32"/>
          <w:lang w:eastAsia="zh-CN"/>
        </w:rPr>
        <w:t>“坚韧、忠勇、开放、争先”</w:t>
      </w:r>
      <w:r>
        <w:rPr>
          <w:rFonts w:hint="eastAsia" w:ascii="Times New Roman" w:hAnsi="Times New Roman" w:eastAsia="方正仿宋_GBK" w:cs="Times New Roman"/>
          <w:color w:val="000000"/>
          <w:sz w:val="32"/>
          <w:szCs w:val="32"/>
        </w:rPr>
        <w:t>城市精神，涵养</w:t>
      </w:r>
      <w:r>
        <w:rPr>
          <w:rFonts w:hint="eastAsia" w:ascii="Times New Roman" w:hAnsi="Times New Roman" w:eastAsia="方正仿宋_GBK" w:cs="Times New Roman"/>
          <w:color w:val="000000"/>
          <w:sz w:val="32"/>
          <w:szCs w:val="32"/>
          <w:lang w:eastAsia="zh-CN"/>
        </w:rPr>
        <w:t>母城</w:t>
      </w:r>
      <w:r>
        <w:rPr>
          <w:rFonts w:hint="eastAsia" w:ascii="Times New Roman" w:hAnsi="Times New Roman" w:eastAsia="方正仿宋_GBK" w:cs="Times New Roman"/>
          <w:color w:val="000000"/>
          <w:sz w:val="32"/>
          <w:szCs w:val="32"/>
        </w:rPr>
        <w:t>文脉，加强城市文化软实力建设，塑造巴渝文化、革命文化、抗战文化、统战文化等历史场景，传承</w:t>
      </w:r>
      <w:r>
        <w:rPr>
          <w:rFonts w:hint="eastAsia" w:ascii="Times New Roman" w:hAnsi="Times New Roman" w:eastAsia="方正仿宋_GBK" w:cs="Times New Roman"/>
          <w:color w:val="000000"/>
          <w:sz w:val="32"/>
          <w:szCs w:val="32"/>
          <w:lang w:eastAsia="zh-CN"/>
        </w:rPr>
        <w:t>母城</w:t>
      </w:r>
      <w:r>
        <w:rPr>
          <w:rFonts w:hint="eastAsia" w:ascii="Times New Roman" w:hAnsi="Times New Roman" w:eastAsia="方正仿宋_GBK" w:cs="Times New Roman"/>
          <w:color w:val="000000"/>
          <w:sz w:val="32"/>
          <w:szCs w:val="32"/>
        </w:rPr>
        <w:t>历史符号和文化意象。</w:t>
      </w:r>
      <w:r>
        <w:rPr>
          <w:rFonts w:ascii="Times New Roman" w:hAnsi="Times New Roman" w:eastAsia="方正楷体_GBK" w:cs="Times New Roman"/>
          <w:snapToGrid w:val="0"/>
          <w:color w:val="000000"/>
          <w:kern w:val="0"/>
          <w:sz w:val="32"/>
          <w:szCs w:val="32"/>
        </w:rPr>
        <w:t>（责任单位：区规划自然资源局、区委宣传部、区文化旅游委</w:t>
      </w:r>
      <w:r>
        <w:rPr>
          <w:rFonts w:hint="eastAsia" w:ascii="Times New Roman" w:hAnsi="Times New Roman" w:eastAsia="方正楷体_GBK" w:cs="Times New Roman"/>
          <w:snapToGrid w:val="0"/>
          <w:color w:val="000000"/>
          <w:kern w:val="0"/>
          <w:sz w:val="32"/>
          <w:szCs w:val="32"/>
          <w:lang w:eastAsia="zh-CN"/>
        </w:rPr>
        <w:t>、区民政局</w:t>
      </w:r>
      <w:r>
        <w:rPr>
          <w:rFonts w:ascii="Times New Roman" w:hAnsi="Times New Roman" w:eastAsia="方正楷体_GBK" w:cs="Times New Roman"/>
          <w:snapToGrid w:val="0"/>
          <w:color w:val="000000"/>
          <w:kern w:val="0"/>
          <w:sz w:val="32"/>
          <w:szCs w:val="32"/>
        </w:rPr>
        <w:t>，区属国有企业）</w:t>
      </w:r>
    </w:p>
    <w:p w14:paraId="09217036">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hint="eastAsia" w:ascii="Times New Roman" w:hAnsi="Times New Roman" w:eastAsia="方正楷体_GBK" w:cs="Times New Roman"/>
          <w:bCs/>
          <w:color w:val="000000"/>
          <w:sz w:val="32"/>
          <w:szCs w:val="32"/>
          <w:lang w:eastAsia="zh-CN"/>
        </w:rPr>
      </w:pPr>
      <w:r>
        <w:rPr>
          <w:rFonts w:ascii="Times New Roman" w:hAnsi="Times New Roman" w:eastAsia="方正楷体_GBK" w:cs="Times New Roman"/>
          <w:bCs/>
          <w:color w:val="000000"/>
          <w:sz w:val="32"/>
          <w:szCs w:val="32"/>
        </w:rPr>
        <w:t>（十）推动城市</w:t>
      </w:r>
      <w:r>
        <w:rPr>
          <w:rFonts w:hint="eastAsia" w:ascii="Times New Roman" w:hAnsi="Times New Roman" w:eastAsia="方正楷体_GBK" w:cs="Times New Roman"/>
          <w:bCs/>
          <w:color w:val="000000"/>
          <w:sz w:val="32"/>
          <w:szCs w:val="32"/>
          <w:lang w:eastAsia="zh-CN"/>
        </w:rPr>
        <w:t>“</w:t>
      </w:r>
      <w:r>
        <w:rPr>
          <w:rFonts w:ascii="Times New Roman" w:hAnsi="Times New Roman" w:eastAsia="方正楷体_GBK" w:cs="Times New Roman"/>
          <w:bCs/>
          <w:color w:val="000000"/>
          <w:sz w:val="32"/>
          <w:szCs w:val="32"/>
        </w:rPr>
        <w:t>数字更新</w:t>
      </w:r>
      <w:r>
        <w:rPr>
          <w:rFonts w:hint="eastAsia" w:ascii="Times New Roman" w:hAnsi="Times New Roman" w:eastAsia="方正楷体_GBK" w:cs="Times New Roman"/>
          <w:bCs/>
          <w:color w:val="000000"/>
          <w:sz w:val="32"/>
          <w:szCs w:val="32"/>
          <w:lang w:eastAsia="zh-CN"/>
        </w:rPr>
        <w:t>”</w:t>
      </w:r>
    </w:p>
    <w:p w14:paraId="24B8F67B">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snapToGrid w:val="0"/>
          <w:color w:val="000000"/>
          <w:sz w:val="32"/>
          <w:szCs w:val="32"/>
        </w:rPr>
      </w:pPr>
      <w:r>
        <w:rPr>
          <w:rFonts w:hint="eastAsia" w:ascii="方正仿宋_GBK" w:eastAsia="方正仿宋_GBK" w:cs="方正仿宋_GBK"/>
          <w:bCs/>
          <w:color w:val="000000"/>
          <w:sz w:val="32"/>
          <w:szCs w:val="32"/>
        </w:rPr>
        <w:t>推进城市新型基础设施建设，实施智能化市政基础设施建设改造，协同市级打造城市数字孪生系统。加快</w:t>
      </w:r>
      <w:r>
        <w:rPr>
          <w:rFonts w:hint="eastAsia" w:ascii="方正仿宋_GBK" w:eastAsia="方正仿宋_GBK" w:cs="方正仿宋_GBK"/>
          <w:bCs/>
          <w:color w:val="000000"/>
          <w:sz w:val="32"/>
          <w:szCs w:val="32"/>
          <w:lang w:eastAsia="zh-CN"/>
        </w:rPr>
        <w:t>“</w:t>
      </w:r>
      <w:r>
        <w:rPr>
          <w:rFonts w:hint="eastAsia" w:ascii="方正仿宋_GBK" w:eastAsia="方正仿宋_GBK" w:cs="方正仿宋_GBK"/>
          <w:bCs/>
          <w:color w:val="000000"/>
          <w:sz w:val="32"/>
          <w:szCs w:val="32"/>
        </w:rPr>
        <w:t>水电气讯路桥隧轨</w:t>
      </w:r>
      <w:r>
        <w:rPr>
          <w:rFonts w:hint="eastAsia" w:ascii="方正仿宋_GBK" w:eastAsia="方正仿宋_GBK" w:cs="方正仿宋_GBK"/>
          <w:bCs/>
          <w:color w:val="000000"/>
          <w:sz w:val="32"/>
          <w:szCs w:val="32"/>
          <w:lang w:eastAsia="zh-CN"/>
        </w:rPr>
        <w:t>”</w:t>
      </w:r>
      <w:r>
        <w:rPr>
          <w:rFonts w:hint="eastAsia" w:ascii="方正仿宋_GBK" w:eastAsia="方正仿宋_GBK" w:cs="方正仿宋_GBK"/>
          <w:bCs/>
          <w:color w:val="000000"/>
          <w:sz w:val="32"/>
          <w:szCs w:val="32"/>
        </w:rPr>
        <w:t>数字孪生和物联感知设备安装接入，提升城市安全韧性水平和风险预警管控能力。协同市级完善城市信息模型</w:t>
      </w:r>
      <w:r>
        <w:rPr>
          <w:rFonts w:ascii="Times New Roman" w:hAnsi="Times New Roman" w:eastAsia="方正仿宋_GBK" w:cs="Times New Roman"/>
          <w:bCs/>
          <w:color w:val="000000"/>
          <w:sz w:val="32"/>
          <w:szCs w:val="32"/>
        </w:rPr>
        <w:t>（CIM）平台，建立健全房屋建筑安全隐患数字档案和隐患消除机制，逐步推动高层建筑、危旧房屋全量落图纳管。推进街区、商圈、社区等城市微单元智能化改造升级，提升城市空间服务能级。注重产城融合发展，结合城市更新有序布局新能源汽车充换电、低空起降等配套设施。持续对接全市一体化智能化公共数据平台，统筹全区云、网、感知、数据、应用等数字资源，提质增量能力组件建设，优化两端应用服务体系。强化城市数字空间安全管理，提升云网数端用一体化安全防护能力。探索构建城市智能体体系，强化智能服务机器人、智能终端等在城市推广应用，聚焦高楼消防、设施运行、社会治理等重点领域，高水平打造AI赋能综合应用场景。</w:t>
      </w:r>
      <w:r>
        <w:rPr>
          <w:rFonts w:ascii="Times New Roman" w:hAnsi="Times New Roman" w:eastAsia="方正楷体_GBK" w:cs="Times New Roman"/>
          <w:snapToGrid w:val="0"/>
          <w:color w:val="000000"/>
          <w:kern w:val="0"/>
          <w:sz w:val="32"/>
          <w:szCs w:val="32"/>
        </w:rPr>
        <w:t>（责任单位：区大数据局、区治理中心</w:t>
      </w:r>
      <w:r>
        <w:rPr>
          <w:rFonts w:hint="eastAsia" w:ascii="Times New Roman" w:hAnsi="Times New Roman" w:eastAsia="方正楷体_GBK" w:cs="Times New Roman"/>
          <w:snapToGrid w:val="0"/>
          <w:color w:val="000000"/>
          <w:kern w:val="0"/>
          <w:sz w:val="32"/>
          <w:szCs w:val="32"/>
          <w:lang w:eastAsia="zh-CN"/>
        </w:rPr>
        <w:t>、</w:t>
      </w:r>
      <w:r>
        <w:rPr>
          <w:rFonts w:ascii="Times New Roman" w:hAnsi="Times New Roman" w:eastAsia="方正楷体_GBK" w:cs="Times New Roman"/>
          <w:snapToGrid w:val="0"/>
          <w:color w:val="000000"/>
          <w:kern w:val="0"/>
          <w:sz w:val="32"/>
          <w:szCs w:val="32"/>
        </w:rPr>
        <w:t>区住房城市建委</w:t>
      </w:r>
      <w:r>
        <w:rPr>
          <w:rFonts w:hint="eastAsia" w:ascii="Times New Roman" w:hAnsi="Times New Roman" w:eastAsia="方正楷体_GBK" w:cs="Times New Roman"/>
          <w:snapToGrid w:val="0"/>
          <w:color w:val="000000"/>
          <w:kern w:val="0"/>
          <w:sz w:val="32"/>
          <w:szCs w:val="32"/>
          <w:lang w:eastAsia="zh-CN"/>
        </w:rPr>
        <w:t>、</w:t>
      </w:r>
      <w:r>
        <w:rPr>
          <w:rFonts w:ascii="Times New Roman" w:hAnsi="Times New Roman" w:eastAsia="方正楷体_GBK" w:cs="Times New Roman"/>
          <w:snapToGrid w:val="0"/>
          <w:color w:val="000000"/>
          <w:sz w:val="32"/>
          <w:szCs w:val="32"/>
        </w:rPr>
        <w:t>区规划自然资源局、区城市管理局、区民政局、</w:t>
      </w:r>
      <w:r>
        <w:rPr>
          <w:rFonts w:hint="eastAsia" w:ascii="Times New Roman" w:hAnsi="Times New Roman" w:eastAsia="方正楷体_GBK" w:cs="Times New Roman"/>
          <w:snapToGrid w:val="0"/>
          <w:color w:val="000000"/>
          <w:sz w:val="32"/>
          <w:szCs w:val="32"/>
        </w:rPr>
        <w:t>区应急局</w:t>
      </w:r>
      <w:r>
        <w:rPr>
          <w:rFonts w:hint="eastAsia" w:ascii="Times New Roman" w:hAnsi="Times New Roman" w:eastAsia="方正楷体_GBK" w:cs="Times New Roman"/>
          <w:snapToGrid w:val="0"/>
          <w:color w:val="000000"/>
          <w:sz w:val="32"/>
          <w:szCs w:val="32"/>
          <w:lang w:eastAsia="zh-CN"/>
        </w:rPr>
        <w:t>、</w:t>
      </w:r>
      <w:r>
        <w:rPr>
          <w:rFonts w:ascii="Times New Roman" w:hAnsi="Times New Roman" w:eastAsia="方正楷体_GBK" w:cs="Times New Roman"/>
          <w:snapToGrid w:val="0"/>
          <w:color w:val="000000"/>
          <w:sz w:val="32"/>
          <w:szCs w:val="32"/>
        </w:rPr>
        <w:t>区经济信息委、区消防救援局）</w:t>
      </w:r>
    </w:p>
    <w:p w14:paraId="6F05E120">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黑体_GBK" w:cs="Times New Roman"/>
          <w:color w:val="000000"/>
          <w:kern w:val="2"/>
          <w:sz w:val="32"/>
          <w:szCs w:val="32"/>
        </w:rPr>
      </w:pPr>
      <w:r>
        <w:rPr>
          <w:rFonts w:ascii="Times New Roman" w:hAnsi="Times New Roman" w:eastAsia="方正黑体_GBK" w:cs="Times New Roman"/>
          <w:color w:val="000000"/>
          <w:kern w:val="2"/>
          <w:sz w:val="32"/>
          <w:szCs w:val="32"/>
        </w:rPr>
        <w:t>三、加强支撑保障</w:t>
      </w:r>
    </w:p>
    <w:p w14:paraId="65E4B2A5">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bCs/>
          <w:color w:val="000000"/>
          <w:sz w:val="32"/>
          <w:szCs w:val="32"/>
        </w:rPr>
        <w:t>（一）健全</w:t>
      </w:r>
      <w:r>
        <w:rPr>
          <w:rFonts w:hint="eastAsia" w:ascii="Times New Roman" w:hAnsi="Times New Roman" w:eastAsia="方正楷体_GBK" w:cs="Times New Roman"/>
          <w:bCs/>
          <w:color w:val="000000"/>
          <w:sz w:val="32"/>
          <w:szCs w:val="32"/>
          <w:lang w:eastAsia="zh-CN"/>
        </w:rPr>
        <w:t>城市更新“</w:t>
      </w:r>
      <w:r>
        <w:rPr>
          <w:rFonts w:hint="eastAsia" w:ascii="Times New Roman" w:hAnsi="Times New Roman" w:eastAsia="方正楷体_GBK" w:cs="Times New Roman"/>
          <w:bCs/>
          <w:color w:val="000000"/>
          <w:sz w:val="32"/>
          <w:szCs w:val="32"/>
        </w:rPr>
        <w:t>规建运治</w:t>
      </w:r>
      <w:r>
        <w:rPr>
          <w:rFonts w:hint="eastAsia" w:ascii="Times New Roman" w:hAnsi="Times New Roman" w:eastAsia="方正楷体_GBK" w:cs="Times New Roman"/>
          <w:bCs/>
          <w:color w:val="000000"/>
          <w:sz w:val="32"/>
          <w:szCs w:val="32"/>
          <w:lang w:eastAsia="zh-CN"/>
        </w:rPr>
        <w:t>”</w:t>
      </w:r>
      <w:r>
        <w:rPr>
          <w:rFonts w:ascii="Times New Roman" w:hAnsi="Times New Roman" w:eastAsia="方正楷体_GBK" w:cs="Times New Roman"/>
          <w:bCs/>
          <w:color w:val="000000"/>
          <w:sz w:val="32"/>
          <w:szCs w:val="32"/>
        </w:rPr>
        <w:t>一体化实施体系。</w:t>
      </w:r>
      <w:r>
        <w:rPr>
          <w:rFonts w:hint="eastAsia" w:ascii="Times New Roman" w:hAnsi="Times New Roman" w:eastAsia="方正仿宋_GBK" w:cs="Times New Roman"/>
          <w:color w:val="000000"/>
          <w:sz w:val="32"/>
          <w:szCs w:val="32"/>
          <w:lang w:eastAsia="zh-CN"/>
        </w:rPr>
        <w:t>配合市级</w:t>
      </w:r>
      <w:r>
        <w:rPr>
          <w:rFonts w:hint="eastAsia" w:ascii="Times New Roman" w:hAnsi="Times New Roman" w:eastAsia="方正仿宋_GBK" w:cs="Times New Roman"/>
          <w:color w:val="000000"/>
          <w:sz w:val="32"/>
          <w:szCs w:val="32"/>
        </w:rPr>
        <w:t>建设</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AI+城市规建运治一体化</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综合场景，依托三级治理中心，构建城市更新项目全生命周期数字应用，多跨协同推进城市更新项目谋划及实施。健全</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专项规划—片区策划—项目实施—治理运营</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的实施传导体系，形成城市更新项目库与更新时序安排。编制《渝中区城市更新</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十五五</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专项规划》，制定年度实施计划，建立城市更新项目库，滚动推进项目建设。以设计建设为核心，加强片区策划方案、项目实施方案对城市更新项目的引领，体系化打造城文体商旅多业态融合场景。注重特色发展，加强城市更新重点地区、重要地段风貌管控，严格管理超大体量公共建筑、超高层建筑。多跨协同推进城市更新项目谋划及实施，体系化打造城市文体商旅多业态融合场景</w:t>
      </w:r>
      <w:r>
        <w:rPr>
          <w:rFonts w:ascii="Times New Roman" w:hAnsi="Times New Roman" w:eastAsia="方正仿宋_GBK" w:cs="Times New Roman"/>
          <w:color w:val="000000"/>
          <w:sz w:val="32"/>
          <w:szCs w:val="32"/>
        </w:rPr>
        <w:t>。</w:t>
      </w:r>
      <w:r>
        <w:rPr>
          <w:rFonts w:ascii="Times New Roman" w:hAnsi="Times New Roman" w:eastAsia="方正楷体_GBK" w:cs="Times New Roman"/>
          <w:snapToGrid w:val="0"/>
          <w:color w:val="000000"/>
          <w:kern w:val="0"/>
          <w:sz w:val="32"/>
          <w:szCs w:val="32"/>
        </w:rPr>
        <w:t>（责任单位：区住房城市建委、</w:t>
      </w:r>
      <w:r>
        <w:rPr>
          <w:rFonts w:ascii="Times New Roman" w:hAnsi="Times New Roman" w:eastAsia="方正楷体_GBK" w:cs="Times New Roman"/>
          <w:color w:val="000000"/>
          <w:sz w:val="32"/>
          <w:szCs w:val="32"/>
        </w:rPr>
        <w:t>区规划自然资源局，区属国有企业）</w:t>
      </w:r>
    </w:p>
    <w:p w14:paraId="28934DDB">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snapToGrid w:val="0"/>
          <w:color w:val="000000"/>
          <w:kern w:val="0"/>
          <w:sz w:val="32"/>
          <w:szCs w:val="32"/>
        </w:rPr>
      </w:pPr>
      <w:r>
        <w:rPr>
          <w:rFonts w:ascii="Times New Roman" w:hAnsi="Times New Roman" w:eastAsia="方正楷体_GBK" w:cs="Times New Roman"/>
          <w:color w:val="000000"/>
          <w:sz w:val="32"/>
          <w:szCs w:val="32"/>
        </w:rPr>
        <w:t>（二）健全多元化投融资方式。</w:t>
      </w:r>
      <w:r>
        <w:rPr>
          <w:rFonts w:hint="eastAsia" w:ascii="Times New Roman" w:hAnsi="Times New Roman" w:eastAsia="方正仿宋_GBK" w:cs="Times New Roman"/>
          <w:color w:val="000000"/>
          <w:sz w:val="32"/>
          <w:szCs w:val="32"/>
        </w:rPr>
        <w:t>推动建立以政府投入为引导、企业投入为主体的城市更新多元化投资体系。全力争取中央预算内投资、超长期特别国债等上级</w:t>
      </w:r>
      <w:r>
        <w:rPr>
          <w:rFonts w:hint="eastAsia" w:ascii="Times New Roman" w:hAnsi="Times New Roman" w:eastAsia="方正仿宋_GBK" w:cs="Times New Roman"/>
          <w:color w:val="000000"/>
          <w:sz w:val="32"/>
          <w:szCs w:val="32"/>
          <w:lang w:eastAsia="zh-CN"/>
        </w:rPr>
        <w:t>资金支持</w:t>
      </w:r>
      <w:r>
        <w:rPr>
          <w:rFonts w:hint="eastAsia" w:ascii="Times New Roman" w:hAnsi="Times New Roman" w:eastAsia="方正仿宋_GBK" w:cs="Times New Roman"/>
          <w:color w:val="000000"/>
          <w:sz w:val="32"/>
          <w:szCs w:val="32"/>
        </w:rPr>
        <w:t>，用好政策性金融工具，统筹现有资金渠道，推进相关资金整合使用</w:t>
      </w:r>
      <w:r>
        <w:rPr>
          <w:rFonts w:hint="eastAsia" w:ascii="Times New Roman" w:hAnsi="Times New Roman" w:eastAsia="方正仿宋_GBK" w:cs="Times New Roman"/>
          <w:color w:val="000000"/>
          <w:sz w:val="32"/>
          <w:szCs w:val="32"/>
          <w:lang w:eastAsia="zh-CN"/>
        </w:rPr>
        <w:t>。在债务风险可控的前提下，通过发行地方政府专项债券，对符合条件的城市更新项目予以支持。</w:t>
      </w:r>
      <w:r>
        <w:rPr>
          <w:rFonts w:hint="eastAsia" w:ascii="Times New Roman" w:hAnsi="Times New Roman" w:eastAsia="方正仿宋_GBK" w:cs="Times New Roman"/>
          <w:color w:val="000000"/>
          <w:sz w:val="32"/>
          <w:szCs w:val="32"/>
        </w:rPr>
        <w:t>加强与央企常态化、制度化合作，发布城市机会清单，支持央企以社会投资人、财务投资、股权合作等方式公平参与项目建设。</w:t>
      </w:r>
      <w:r>
        <w:rPr>
          <w:rFonts w:hint="eastAsia" w:ascii="Times New Roman" w:hAnsi="Times New Roman" w:eastAsia="方正仿宋_GBK" w:cs="Times New Roman"/>
          <w:color w:val="000000"/>
          <w:sz w:val="32"/>
          <w:szCs w:val="32"/>
          <w:lang w:eastAsia="zh-CN"/>
        </w:rPr>
        <w:t>构建</w:t>
      </w:r>
      <w:r>
        <w:rPr>
          <w:rFonts w:hint="eastAsia" w:ascii="Times New Roman" w:hAnsi="Times New Roman" w:eastAsia="方正仿宋_GBK" w:cs="Times New Roman"/>
          <w:color w:val="000000"/>
          <w:sz w:val="32"/>
          <w:szCs w:val="32"/>
        </w:rPr>
        <w:t>推广以项目自平衡为核心的投融资模式，策划包装具有收益回报的项目，吸引社会资本参与项目前期策划、建设实施和后期运营，</w:t>
      </w:r>
      <w:r>
        <w:rPr>
          <w:rFonts w:hint="eastAsia" w:ascii="Times New Roman" w:hAnsi="Times New Roman" w:eastAsia="方正仿宋_GBK" w:cs="Times New Roman"/>
          <w:color w:val="000000"/>
          <w:sz w:val="32"/>
          <w:szCs w:val="32"/>
          <w:lang w:eastAsia="zh-CN"/>
        </w:rPr>
        <w:t>“</w:t>
      </w:r>
      <w:r>
        <w:rPr>
          <w:rFonts w:hint="eastAsia" w:eastAsia="方正仿宋_GBK" w:cs="Times New Roman"/>
          <w:color w:val="000000"/>
          <w:kern w:val="2"/>
          <w:sz w:val="32"/>
          <w:szCs w:val="32"/>
          <w:highlight w:val="none"/>
          <w:u w:val="none" w:color="auto"/>
          <w:lang w:val="en-US" w:eastAsia="zh-CN"/>
        </w:rPr>
        <w:t>规建治投融运</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一体化实施可持续城市更新</w:t>
      </w:r>
      <w:r>
        <w:rPr>
          <w:rFonts w:hint="eastAsia" w:ascii="Times New Roman" w:hAnsi="Times New Roman" w:eastAsia="方正仿宋_GBK" w:cs="Times New Roman"/>
          <w:color w:val="000000"/>
          <w:sz w:val="32"/>
          <w:szCs w:val="32"/>
          <w:lang w:eastAsia="zh-CN"/>
        </w:rPr>
        <w:t>，持续</w:t>
      </w:r>
      <w:r>
        <w:rPr>
          <w:rFonts w:hint="eastAsia" w:ascii="Times New Roman" w:hAnsi="Times New Roman" w:eastAsia="方正仿宋_GBK" w:cs="Times New Roman"/>
          <w:color w:val="000000"/>
          <w:sz w:val="32"/>
          <w:szCs w:val="32"/>
        </w:rPr>
        <w:t>探索政府引导、企业参与、受益主体共担的有效路径。结合</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两久</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项目处置、存量资源和低效土地盘活，探索公益性项目与经营性项目组合投资实现整体收益覆盖成本，打造经营性资产，创造现金流，形成</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建设－运营－增值</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的良性循环。强化政金企协作，鼓励金融机构量身定制适配城市更新金融品种，推动符合条件的项目发行基础设施领域不动产投资信托基金（REITs）、资产证券化产品、公司信用类债券等。</w:t>
      </w:r>
      <w:r>
        <w:rPr>
          <w:rFonts w:hint="eastAsia" w:ascii="Times New Roman" w:hAnsi="Times New Roman" w:eastAsia="方正仿宋_GBK" w:cs="Times New Roman"/>
          <w:color w:val="000000"/>
          <w:sz w:val="32"/>
          <w:szCs w:val="32"/>
          <w:lang w:eastAsia="zh-CN"/>
        </w:rPr>
        <w:t>大力争取</w:t>
      </w:r>
      <w:r>
        <w:rPr>
          <w:rFonts w:hint="eastAsia" w:ascii="Times New Roman" w:hAnsi="Times New Roman" w:eastAsia="方正仿宋_GBK" w:cs="Times New Roman"/>
          <w:color w:val="000000"/>
          <w:sz w:val="32"/>
          <w:szCs w:val="32"/>
        </w:rPr>
        <w:t>城市更新相关税费减免政策。加强项目全生命周期管理，提高资金使用效益。</w:t>
      </w:r>
      <w:r>
        <w:rPr>
          <w:rFonts w:ascii="Times New Roman" w:hAnsi="Times New Roman" w:eastAsia="方正楷体_GBK" w:cs="Times New Roman"/>
          <w:snapToGrid w:val="0"/>
          <w:color w:val="000000"/>
          <w:kern w:val="0"/>
          <w:sz w:val="32"/>
          <w:szCs w:val="32"/>
        </w:rPr>
        <w:t>（责任单位：区发展改革委、区财政局、区住房城市建委、区国资委、区产业发展促进局，区属国有企业）</w:t>
      </w:r>
    </w:p>
    <w:p w14:paraId="46C8BFF3">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snapToGrid w:val="0"/>
          <w:color w:val="000000"/>
          <w:spacing w:val="-6"/>
          <w:kern w:val="0"/>
          <w:sz w:val="32"/>
          <w:szCs w:val="32"/>
        </w:rPr>
      </w:pPr>
      <w:r>
        <w:rPr>
          <w:rFonts w:ascii="Times New Roman" w:hAnsi="Times New Roman" w:eastAsia="方正楷体_GBK" w:cs="Times New Roman"/>
          <w:color w:val="000000"/>
          <w:sz w:val="32"/>
          <w:szCs w:val="32"/>
        </w:rPr>
        <w:t>（三）建立以运营为导向的收益补充机制。</w:t>
      </w:r>
      <w:r>
        <w:rPr>
          <w:rFonts w:ascii="Times New Roman" w:hAnsi="Times New Roman" w:eastAsia="方正仿宋_GBK" w:cs="Times New Roman"/>
          <w:color w:val="000000"/>
          <w:sz w:val="32"/>
          <w:szCs w:val="32"/>
        </w:rPr>
        <w:t>挖掘盘活公共服务资源，通过城市更新整合优化空间载体。以居民需求为导向，充分发掘老旧街区闲置低效空间，运用免租减租政策，吸引社会资本投资运营满足社区公共服务配套所需的功能。建立社会合伙人准入与考评机制，引入合作实现高效市场化运营，推动城市更新投入产出动态平衡。梳理全区资产，明确具有现金流的资产，充分赋予资产金融属性，探索城市基金、融资租赁贷款、发债等投融资模式。</w:t>
      </w:r>
      <w:r>
        <w:rPr>
          <w:rFonts w:ascii="Times New Roman" w:hAnsi="Times New Roman" w:eastAsia="方正仿宋_GBK" w:cs="Times New Roman"/>
          <w:bCs/>
          <w:color w:val="000000"/>
          <w:sz w:val="32"/>
          <w:szCs w:val="32"/>
        </w:rPr>
        <w:t>以解放碑中央商务区为试点，探索碳数据与碳资产开发运营模式，充分发挥碳数据、碳资产价值</w:t>
      </w:r>
      <w:r>
        <w:rPr>
          <w:rFonts w:ascii="Times New Roman" w:hAnsi="Times New Roman" w:eastAsia="方正仿宋_GBK" w:cs="Times New Roman"/>
          <w:color w:val="000000"/>
          <w:sz w:val="32"/>
          <w:szCs w:val="32"/>
        </w:rPr>
        <w:t>。</w:t>
      </w:r>
      <w:r>
        <w:rPr>
          <w:rFonts w:ascii="Times New Roman" w:hAnsi="Times New Roman" w:eastAsia="方正楷体_GBK" w:cs="Times New Roman"/>
          <w:snapToGrid w:val="0"/>
          <w:color w:val="000000"/>
          <w:kern w:val="0"/>
          <w:sz w:val="32"/>
          <w:szCs w:val="32"/>
        </w:rPr>
        <w:t>（责任单位：区发展改革委、区产业发展促进局、区国资委、</w:t>
      </w:r>
      <w:r>
        <w:rPr>
          <w:rFonts w:ascii="Times New Roman" w:hAnsi="Times New Roman" w:eastAsia="方正楷体_GBK" w:cs="Times New Roman"/>
          <w:snapToGrid w:val="0"/>
          <w:color w:val="000000"/>
          <w:spacing w:val="-6"/>
          <w:kern w:val="0"/>
          <w:sz w:val="32"/>
          <w:szCs w:val="32"/>
        </w:rPr>
        <w:t>区住房城市建委</w:t>
      </w:r>
      <w:r>
        <w:rPr>
          <w:rFonts w:ascii="Times New Roman" w:hAnsi="Times New Roman" w:eastAsia="方正楷体_GBK" w:cs="Times New Roman"/>
          <w:snapToGrid w:val="0"/>
          <w:color w:val="000000"/>
          <w:spacing w:val="-6"/>
          <w:kern w:val="0"/>
          <w:sz w:val="32"/>
          <w:szCs w:val="32"/>
          <w:lang w:eastAsia="zh-CN"/>
        </w:rPr>
        <w:t>，</w:t>
      </w:r>
      <w:r>
        <w:rPr>
          <w:rFonts w:ascii="Times New Roman" w:hAnsi="Times New Roman" w:eastAsia="方正楷体_GBK" w:cs="Times New Roman"/>
          <w:snapToGrid w:val="0"/>
          <w:color w:val="000000"/>
          <w:spacing w:val="-6"/>
          <w:sz w:val="32"/>
          <w:szCs w:val="32"/>
        </w:rPr>
        <w:t>各管委会</w:t>
      </w:r>
      <w:r>
        <w:rPr>
          <w:rFonts w:ascii="Times New Roman" w:hAnsi="Times New Roman" w:eastAsia="方正楷体_GBK" w:cs="Times New Roman"/>
          <w:snapToGrid w:val="0"/>
          <w:color w:val="000000"/>
          <w:spacing w:val="-6"/>
          <w:sz w:val="32"/>
          <w:szCs w:val="32"/>
          <w:lang w:eastAsia="zh-CN"/>
        </w:rPr>
        <w:t>、</w:t>
      </w:r>
      <w:r>
        <w:rPr>
          <w:rFonts w:ascii="Times New Roman" w:hAnsi="Times New Roman" w:eastAsia="方正楷体_GBK" w:cs="Times New Roman"/>
          <w:snapToGrid w:val="0"/>
          <w:color w:val="000000"/>
          <w:spacing w:val="-6"/>
          <w:sz w:val="32"/>
          <w:szCs w:val="32"/>
        </w:rPr>
        <w:t>各街道办事处</w:t>
      </w:r>
      <w:r>
        <w:rPr>
          <w:rFonts w:ascii="Times New Roman" w:hAnsi="Times New Roman" w:eastAsia="方正楷体_GBK" w:cs="Times New Roman"/>
          <w:snapToGrid w:val="0"/>
          <w:color w:val="000000"/>
          <w:spacing w:val="-6"/>
          <w:sz w:val="32"/>
          <w:szCs w:val="32"/>
          <w:lang w:eastAsia="zh-CN"/>
        </w:rPr>
        <w:t>，</w:t>
      </w:r>
      <w:r>
        <w:rPr>
          <w:rFonts w:ascii="Times New Roman" w:hAnsi="Times New Roman" w:eastAsia="方正楷体_GBK" w:cs="Times New Roman"/>
          <w:snapToGrid w:val="0"/>
          <w:color w:val="000000"/>
          <w:spacing w:val="-6"/>
          <w:kern w:val="0"/>
          <w:sz w:val="32"/>
          <w:szCs w:val="32"/>
        </w:rPr>
        <w:t>区属国有企业）</w:t>
      </w:r>
    </w:p>
    <w:p w14:paraId="1D0DCC9F">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（四）健全城市体检机制。</w:t>
      </w:r>
      <w:r>
        <w:rPr>
          <w:rFonts w:hint="eastAsia" w:ascii="Times New Roman" w:hAnsi="Times New Roman" w:eastAsia="方正仿宋_GBK"/>
          <w:color w:val="000000"/>
          <w:sz w:val="32"/>
          <w:szCs w:val="32"/>
        </w:rPr>
        <w:t>统筹城市体检与城市更新，建立健全</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发现问题—解决问题—评估效果—巩固提升</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的城市体检更新工作机制。常态化开展城市体检，全面梳理问题短板和闲置资源，建立以问题为导向、项目为牵引的城市体检指标体系，将城市体检结果作为城市更新专项规划、年度计划编制的重要依据，持续完善从体检评估到更新规划到项目实施的全过程管理闭环。建立专项体检工作机制，对城市更新片区、十五分钟生活圈、历史文化保护传承等有关行业领域和重点区域进行专项分析评价。配合市级搭建城市体检更新数字平台，全面归集城市体检更新各类数据资源，建立城市体检更新高质量数据集</w:t>
      </w:r>
      <w:r>
        <w:rPr>
          <w:rFonts w:ascii="Times New Roman" w:hAnsi="Times New Roman" w:eastAsia="方正仿宋_GBK"/>
          <w:color w:val="000000"/>
          <w:sz w:val="32"/>
          <w:szCs w:val="32"/>
        </w:rPr>
        <w:t>。</w:t>
      </w:r>
      <w:r>
        <w:rPr>
          <w:rFonts w:ascii="Times New Roman" w:hAnsi="Times New Roman" w:eastAsia="方正楷体_GBK"/>
          <w:snapToGrid w:val="0"/>
          <w:color w:val="000000"/>
          <w:kern w:val="0"/>
          <w:sz w:val="32"/>
          <w:szCs w:val="32"/>
        </w:rPr>
        <w:t>（责任单位：区住房城市建委，各街道办事处）</w:t>
      </w:r>
    </w:p>
    <w:p w14:paraId="2F558DB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pacing w:line="620" w:lineRule="exact"/>
        <w:ind w:left="0" w:right="0"/>
        <w:contextualSpacing/>
        <w:jc w:val="both"/>
        <w:textAlignment w:val="center"/>
        <w:rPr>
          <w:rFonts w:ascii="Times New Roman" w:hAnsi="Times New Roman" w:eastAsia="方正仿宋_GBK"/>
          <w:color w:val="000000"/>
          <w:szCs w:val="32"/>
        </w:rPr>
      </w:pPr>
      <w:r>
        <w:rPr>
          <w:rFonts w:ascii="Times New Roman" w:hAnsi="Times New Roman" w:eastAsia="方正楷体_GBK"/>
          <w:snapToGrid w:val="0"/>
          <w:color w:val="000000"/>
        </w:rPr>
        <w:t>（五）健全城市更新共建共治共享机制。</w:t>
      </w:r>
      <w:r>
        <w:rPr>
          <w:rFonts w:hint="eastAsia" w:ascii="方正仿宋_GBK" w:eastAsia="方正仿宋_GBK" w:cs="方正仿宋_GBK"/>
          <w:color w:val="000000"/>
          <w:kern w:val="0"/>
        </w:rPr>
        <w:t>扩大公众参与途径，充分发挥街道社区作用，构建城市更新问政于民、问需于民、问计于民、问效于民机制，迭代升级社区工作日、</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社区合伙人</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网格接待日</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等机制，通过</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群众点单</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方式搜集改造需求，增强群众在城市更新中的参与感、获得感。鼓励产权所有人自主更新，支持企业盘活闲置低效存量资产，更好发挥国有资本带动作用。引导经营主体参与，支持多领域专业力量和服务机构参与城市更新，健全规划师、建筑师、工程师</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三师</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等行业专家参与公共决策制度。加强城市更新社会风险评估和矛盾化解处置</w:t>
      </w:r>
      <w:r>
        <w:rPr>
          <w:rFonts w:ascii="Times New Roman" w:hAnsi="Times New Roman" w:eastAsia="方正仿宋_GBK"/>
          <w:color w:val="000000"/>
          <w:szCs w:val="32"/>
        </w:rPr>
        <w:t>。</w:t>
      </w:r>
      <w:r>
        <w:rPr>
          <w:rFonts w:ascii="Times New Roman" w:hAnsi="Times New Roman" w:eastAsia="方正楷体_GBK"/>
          <w:snapToGrid w:val="0"/>
          <w:color w:val="000000"/>
          <w:kern w:val="0"/>
          <w:szCs w:val="32"/>
        </w:rPr>
        <w:t>（责任单位：区住房城市建委、区委社会工作部、区规划自然资源局、区信访办，各街道办事处）</w:t>
      </w:r>
    </w:p>
    <w:p w14:paraId="1DE6B596">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楷体_GBK"/>
          <w:color w:val="000000"/>
          <w:szCs w:val="32"/>
        </w:rPr>
      </w:pPr>
      <w:r>
        <w:rPr>
          <w:rFonts w:ascii="Times New Roman" w:hAnsi="Times New Roman" w:eastAsia="方正楷体_GBK"/>
          <w:color w:val="000000"/>
          <w:szCs w:val="32"/>
        </w:rPr>
        <w:t>（六）健全城市更新政策法规体系。</w:t>
      </w:r>
      <w:r>
        <w:rPr>
          <w:rFonts w:hint="eastAsia" w:ascii="Times New Roman" w:hAnsi="Times New Roman" w:eastAsia="方正仿宋_GBK"/>
          <w:color w:val="000000"/>
          <w:szCs w:val="32"/>
        </w:rPr>
        <w:t>完善闲置土地使用权收回机制，按照市级部门进度优化落实零星用地集中改造、容积率转移或奖励政策。优化地价计收规则。推进建设用地使用权在土地的地表、地上或者地下分别设立。鼓励在符合法律规定的前提下，创新土地供应政策，可依法采取带条件出让、协议出让、定向挂牌、租赁、先租后让、带方案挂牌和综合评标等方式办理供地手续，激发市场主体参与城市更新行动的积极性。探索老旧房屋原拆原建、自主更新相关政策，特别是在危旧房或非成套住房改造中允许根据情况增加卫生间、厨房等配套及公共配套设施等标准。持续探索在不降低原建筑消防安全水平的前提下，存量老旧建筑在实施更新提升时所适用的新老防火技术标准，并匹配相应的消防审验政策。建立房屋使用全生命周期安全管理制度，探索以市场化手段创新房屋质量安全保障机制。制定规范公共收益管理有关规定，建立可持续的公共收益补充机制。健全住宅专项维修资金政策。持续探索所有权与经营权分离的方式盘活存量资产。完善城市更新技术规范，制定修订分类适用的消防、配套公共设施等技术规范文件，大力研发新技术、新工艺、新材料</w:t>
      </w:r>
      <w:r>
        <w:rPr>
          <w:rFonts w:ascii="Times New Roman" w:hAnsi="Times New Roman" w:eastAsia="方正仿宋_GBK"/>
          <w:color w:val="000000"/>
          <w:szCs w:val="32"/>
        </w:rPr>
        <w:t>。</w:t>
      </w:r>
      <w:r>
        <w:rPr>
          <w:rFonts w:ascii="Times New Roman" w:hAnsi="Times New Roman" w:eastAsia="方正楷体_GBK"/>
          <w:snapToGrid w:val="0"/>
          <w:color w:val="000000"/>
          <w:kern w:val="0"/>
          <w:szCs w:val="32"/>
        </w:rPr>
        <w:t>（责任单位：区规划自然资源局、区住房城市建委、</w:t>
      </w:r>
      <w:r>
        <w:rPr>
          <w:rFonts w:hint="eastAsia" w:ascii="Times New Roman" w:hAnsi="Times New Roman" w:eastAsia="方正楷体_GBK"/>
          <w:snapToGrid w:val="0"/>
          <w:color w:val="000000"/>
          <w:kern w:val="0"/>
          <w:szCs w:val="32"/>
        </w:rPr>
        <w:t>区发展改革委</w:t>
      </w:r>
      <w:r>
        <w:rPr>
          <w:rFonts w:hint="eastAsia" w:ascii="Times New Roman" w:hAnsi="Times New Roman" w:eastAsia="方正楷体_GBK"/>
          <w:snapToGrid w:val="0"/>
          <w:color w:val="000000"/>
          <w:kern w:val="0"/>
          <w:szCs w:val="32"/>
          <w:lang w:eastAsia="zh-CN"/>
        </w:rPr>
        <w:t>、</w:t>
      </w:r>
      <w:r>
        <w:rPr>
          <w:rFonts w:ascii="Times New Roman" w:hAnsi="Times New Roman" w:eastAsia="方正楷体_GBK"/>
          <w:snapToGrid w:val="0"/>
          <w:color w:val="000000"/>
          <w:kern w:val="0"/>
          <w:szCs w:val="32"/>
        </w:rPr>
        <w:t>区城市管理局）</w:t>
      </w:r>
    </w:p>
    <w:p w14:paraId="17841AAE">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黑体_GBK"/>
          <w:color w:val="000000"/>
          <w:szCs w:val="32"/>
        </w:rPr>
      </w:pPr>
      <w:r>
        <w:rPr>
          <w:rFonts w:hint="eastAsia" w:ascii="Times New Roman" w:hAnsi="Times New Roman" w:eastAsia="方正黑体_GBK"/>
          <w:color w:val="000000"/>
          <w:szCs w:val="32"/>
          <w:lang w:eastAsia="zh-CN"/>
        </w:rPr>
        <w:t>四</w:t>
      </w:r>
      <w:r>
        <w:rPr>
          <w:rFonts w:ascii="Times New Roman" w:hAnsi="Times New Roman" w:eastAsia="方正黑体_GBK"/>
          <w:color w:val="000000"/>
          <w:szCs w:val="32"/>
        </w:rPr>
        <w:t>、强化组织实施</w:t>
      </w:r>
    </w:p>
    <w:p w14:paraId="6EA9ACB8">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仿宋_GBK"/>
          <w:color w:val="000000"/>
          <w:szCs w:val="32"/>
        </w:rPr>
      </w:pPr>
      <w:r>
        <w:rPr>
          <w:rFonts w:ascii="Times New Roman" w:hAnsi="Times New Roman" w:eastAsia="方正楷体_GBK"/>
          <w:color w:val="000000"/>
          <w:szCs w:val="32"/>
        </w:rPr>
        <w:t>（一）加强统筹协调。</w:t>
      </w:r>
      <w:r>
        <w:rPr>
          <w:rFonts w:ascii="Times New Roman" w:hAnsi="Times New Roman" w:eastAsia="方正仿宋_GBK"/>
          <w:color w:val="000000"/>
          <w:szCs w:val="32"/>
        </w:rPr>
        <w:t>成立渝中区可持续城市更新专班，专班办公室设在区住建委，承担</w:t>
      </w:r>
      <w:r>
        <w:rPr>
          <w:rFonts w:hint="eastAsia" w:ascii="Times New Roman" w:hAnsi="Times New Roman" w:eastAsia="方正仿宋_GBK"/>
          <w:color w:val="000000"/>
          <w:szCs w:val="32"/>
          <w:lang w:eastAsia="zh-CN"/>
        </w:rPr>
        <w:t>专班</w:t>
      </w:r>
      <w:r>
        <w:rPr>
          <w:rFonts w:ascii="Times New Roman" w:hAnsi="Times New Roman" w:eastAsia="方正仿宋_GBK"/>
          <w:color w:val="000000"/>
          <w:szCs w:val="32"/>
        </w:rPr>
        <w:t>日常工作，区住建委、区发改委、区财政局、区规资局、区国资委、</w:t>
      </w:r>
      <w:r>
        <w:rPr>
          <w:rFonts w:hint="eastAsia" w:ascii="Times New Roman" w:hAnsi="Times New Roman" w:eastAsia="方正仿宋_GBK"/>
          <w:color w:val="000000"/>
          <w:szCs w:val="32"/>
          <w:lang w:eastAsia="zh-CN"/>
        </w:rPr>
        <w:t>区文化旅游委</w:t>
      </w:r>
      <w:r>
        <w:rPr>
          <w:rFonts w:ascii="Times New Roman" w:hAnsi="Times New Roman" w:eastAsia="方正仿宋_GBK"/>
          <w:color w:val="000000"/>
          <w:szCs w:val="32"/>
        </w:rPr>
        <w:t>、区商务委等部门</w:t>
      </w:r>
      <w:r>
        <w:rPr>
          <w:rFonts w:hint="eastAsia" w:ascii="Times New Roman" w:hAnsi="Times New Roman" w:eastAsia="方正仿宋_GBK"/>
          <w:color w:val="000000"/>
          <w:szCs w:val="32"/>
          <w:lang w:eastAsia="zh-CN"/>
        </w:rPr>
        <w:t>和</w:t>
      </w:r>
      <w:r>
        <w:rPr>
          <w:rFonts w:ascii="Times New Roman" w:hAnsi="Times New Roman" w:eastAsia="方正仿宋_GBK"/>
          <w:color w:val="000000"/>
          <w:szCs w:val="32"/>
        </w:rPr>
        <w:t>街道、管委会</w:t>
      </w:r>
      <w:r>
        <w:rPr>
          <w:rFonts w:hint="eastAsia" w:ascii="Times New Roman" w:hAnsi="Times New Roman" w:eastAsia="方正仿宋_GBK"/>
          <w:color w:val="000000"/>
          <w:szCs w:val="32"/>
          <w:lang w:eastAsia="zh-CN"/>
        </w:rPr>
        <w:t>、</w:t>
      </w:r>
      <w:r>
        <w:rPr>
          <w:rFonts w:ascii="Times New Roman" w:hAnsi="Times New Roman" w:eastAsia="方正仿宋_GBK"/>
          <w:color w:val="000000"/>
          <w:szCs w:val="32"/>
        </w:rPr>
        <w:t>国有企业为成员单位。建立工作会议联络制度，形成部门联动、分层落实的工作运行机制。</w:t>
      </w:r>
    </w:p>
    <w:p w14:paraId="691A73C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仿宋_GBK"/>
          <w:color w:val="000000"/>
          <w:kern w:val="0"/>
          <w:szCs w:val="32"/>
        </w:rPr>
      </w:pPr>
      <w:r>
        <w:rPr>
          <w:rFonts w:ascii="Times New Roman" w:hAnsi="Times New Roman" w:eastAsia="方正楷体_GBK"/>
          <w:color w:val="000000"/>
          <w:szCs w:val="32"/>
        </w:rPr>
        <w:t>（二）加大资金保障。</w:t>
      </w:r>
      <w:r>
        <w:rPr>
          <w:rFonts w:ascii="Times New Roman" w:hAnsi="Times New Roman" w:eastAsia="方正仿宋_GBK"/>
          <w:color w:val="000000"/>
          <w:kern w:val="0"/>
          <w:szCs w:val="32"/>
        </w:rPr>
        <w:t>多渠道筹集资金保障城市更新项目推进，加大财政资金对重点项目的支持力度，推动重点项目实施发挥示范效应。拨付专项经费保障政策研究解读、前期策划、后期评估、宣传等城市更新全过程工作。</w:t>
      </w:r>
    </w:p>
    <w:p w14:paraId="752D7F4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楷体_GBK"/>
          <w:bCs/>
          <w:color w:val="000000"/>
          <w:szCs w:val="32"/>
        </w:rPr>
      </w:pPr>
      <w:r>
        <w:rPr>
          <w:rFonts w:ascii="Times New Roman" w:hAnsi="Times New Roman" w:eastAsia="方正楷体_GBK"/>
          <w:color w:val="000000"/>
          <w:szCs w:val="32"/>
        </w:rPr>
        <w:t>（三）坚持务实推进。</w:t>
      </w:r>
      <w:r>
        <w:rPr>
          <w:rFonts w:hint="eastAsia" w:ascii="Times New Roman" w:hAnsi="Times New Roman" w:eastAsia="方正仿宋_GBK"/>
          <w:color w:val="000000"/>
          <w:kern w:val="0"/>
          <w:szCs w:val="32"/>
        </w:rPr>
        <w:t>尽力而为、量力而行，动则必快、动则必成，坚决杜绝搞</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面子工程</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形象工程</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胡子工程</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，力戒形式主义，确保干一件成一件，让人民群众看到实实在在的变化。</w:t>
      </w:r>
    </w:p>
    <w:p w14:paraId="34ECDA51">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20" w:lineRule="exact"/>
        <w:ind w:left="0" w:right="0"/>
        <w:contextualSpacing/>
        <w:jc w:val="both"/>
        <w:textAlignment w:val="center"/>
        <w:rPr>
          <w:rFonts w:ascii="Times New Roman" w:hAnsi="Times New Roman" w:eastAsia="方正仿宋_GBK"/>
          <w:color w:val="000000"/>
          <w:szCs w:val="32"/>
        </w:rPr>
      </w:pPr>
      <w:r>
        <w:rPr>
          <w:rFonts w:ascii="Times New Roman" w:hAnsi="Times New Roman" w:eastAsia="方正楷体_GBK"/>
          <w:bCs/>
          <w:color w:val="000000"/>
          <w:szCs w:val="32"/>
        </w:rPr>
        <w:t>（</w:t>
      </w:r>
      <w:r>
        <w:rPr>
          <w:rFonts w:hint="eastAsia" w:ascii="Times New Roman" w:hAnsi="Times New Roman" w:eastAsia="方正楷体_GBK"/>
          <w:bCs/>
          <w:color w:val="000000"/>
          <w:szCs w:val="32"/>
        </w:rPr>
        <w:t>四</w:t>
      </w:r>
      <w:r>
        <w:rPr>
          <w:rFonts w:ascii="Times New Roman" w:hAnsi="Times New Roman" w:eastAsia="方正楷体_GBK"/>
          <w:bCs/>
          <w:color w:val="000000"/>
          <w:szCs w:val="32"/>
        </w:rPr>
        <w:t>）强化宣传引导。</w:t>
      </w:r>
      <w:r>
        <w:rPr>
          <w:rFonts w:ascii="Times New Roman" w:hAnsi="Times New Roman" w:eastAsia="方正仿宋_GBK"/>
          <w:color w:val="000000"/>
          <w:szCs w:val="32"/>
        </w:rPr>
        <w:t>加大对可持续城市更新工作的宣传力度，营造良好氛围。拓宽宣传渠道，积极对接中央和地方媒体宣传，增加公众号等新型媒体开展宣传，形成广泛参与、支持城市更新工作的局面。鼓励公众参与，广泛收集民生诉求和市民建议，增强老百姓的参与感、获得感、幸福感。</w:t>
      </w:r>
    </w:p>
    <w:p w14:paraId="6D63746B">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contextualSpacing/>
        <w:jc w:val="both"/>
        <w:textAlignment w:val="center"/>
        <w:rPr>
          <w:rFonts w:ascii="Times New Roman" w:hAnsi="Times New Roman" w:eastAsia="方正仿宋_GBK"/>
          <w:color w:val="000000"/>
          <w:szCs w:val="32"/>
        </w:rPr>
      </w:pPr>
      <w:r>
        <w:rPr>
          <w:rFonts w:ascii="Times New Roman" w:hAnsi="Times New Roman" w:eastAsia="方正楷体_GBK"/>
          <w:bCs/>
          <w:color w:val="000000"/>
          <w:szCs w:val="32"/>
        </w:rPr>
        <w:t>（</w:t>
      </w:r>
      <w:r>
        <w:rPr>
          <w:rFonts w:hint="eastAsia" w:ascii="Times New Roman" w:hAnsi="Times New Roman" w:eastAsia="方正楷体_GBK"/>
          <w:bCs/>
          <w:color w:val="000000"/>
          <w:szCs w:val="32"/>
        </w:rPr>
        <w:t>五</w:t>
      </w:r>
      <w:r>
        <w:rPr>
          <w:rFonts w:ascii="Times New Roman" w:hAnsi="Times New Roman" w:eastAsia="方正楷体_GBK"/>
          <w:bCs/>
          <w:color w:val="000000"/>
          <w:szCs w:val="32"/>
        </w:rPr>
        <w:t>）加强督查考核。</w:t>
      </w:r>
      <w:r>
        <w:rPr>
          <w:rFonts w:ascii="Times New Roman" w:hAnsi="Times New Roman" w:eastAsia="方正仿宋_GBK"/>
          <w:color w:val="000000"/>
          <w:szCs w:val="32"/>
        </w:rPr>
        <w:t>将可持续城市更新工作纳入年度目标考核和督办督查，定期对项目进展情况检查通报，加强考核结果运用。</w:t>
      </w:r>
    </w:p>
    <w:p w14:paraId="4893790A">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contextualSpacing/>
        <w:jc w:val="both"/>
        <w:textAlignment w:val="center"/>
        <w:rPr>
          <w:rFonts w:ascii="Times New Roman" w:hAnsi="Times New Roman" w:eastAsia="方正仿宋_GBK"/>
          <w:color w:val="000000"/>
          <w:szCs w:val="32"/>
        </w:rPr>
      </w:pPr>
    </w:p>
    <w:p w14:paraId="106FC84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contextualSpacing/>
        <w:jc w:val="both"/>
        <w:textAlignment w:val="center"/>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附表：</w:t>
      </w:r>
      <w:r>
        <w:rPr>
          <w:rFonts w:hint="eastAsia" w:ascii="Times New Roman" w:hAnsi="Times New Roman" w:eastAsia="方正仿宋_GBK" w:cs="Times New Roman"/>
          <w:color w:val="000000"/>
          <w:kern w:val="2"/>
          <w:sz w:val="32"/>
          <w:szCs w:val="32"/>
          <w:lang w:val="en-US" w:eastAsia="zh-CN"/>
        </w:rPr>
        <w:t>1.</w:t>
      </w:r>
      <w:r>
        <w:rPr>
          <w:rFonts w:ascii="Times New Roman" w:hAnsi="Times New Roman" w:eastAsia="方正仿宋_GBK" w:cs="Times New Roman"/>
          <w:color w:val="000000"/>
          <w:kern w:val="2"/>
          <w:sz w:val="32"/>
          <w:szCs w:val="32"/>
        </w:rPr>
        <w:t>渝中区可持续城市更新</w:t>
      </w:r>
      <w:r>
        <w:rPr>
          <w:rFonts w:hint="eastAsia" w:ascii="Times New Roman" w:hAnsi="Times New Roman" w:eastAsia="方正仿宋_GBK" w:cs="Times New Roman"/>
          <w:color w:val="000000"/>
          <w:kern w:val="2"/>
          <w:sz w:val="32"/>
          <w:szCs w:val="32"/>
        </w:rPr>
        <w:t>重大项目清单</w:t>
      </w:r>
    </w:p>
    <w:p w14:paraId="382AB01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firstLine="1600" w:firstLineChars="500"/>
        <w:contextualSpacing/>
        <w:jc w:val="both"/>
        <w:textAlignment w:val="center"/>
        <w:rPr>
          <w:rFonts w:hint="eastAsia" w:ascii="Times New Roman" w:hAnsi="Times New Roman" w:eastAsia="方正仿宋_GBK" w:cs="Times New Roman"/>
          <w:color w:val="000000"/>
          <w:kern w:val="2"/>
          <w:sz w:val="32"/>
          <w:szCs w:val="32"/>
          <w:lang w:val="en-US" w:eastAsia="zh-CN"/>
        </w:rPr>
      </w:pPr>
      <w:r>
        <w:rPr>
          <w:rFonts w:hint="eastAsia" w:ascii="Times New Roman" w:hAnsi="Times New Roman" w:eastAsia="方正仿宋_GBK" w:cs="Times New Roman"/>
          <w:color w:val="000000"/>
          <w:kern w:val="2"/>
          <w:sz w:val="32"/>
          <w:szCs w:val="32"/>
          <w:lang w:val="en-US" w:eastAsia="zh-CN"/>
        </w:rPr>
        <w:t>2.</w:t>
      </w:r>
      <w:r>
        <w:rPr>
          <w:rFonts w:ascii="Times New Roman" w:hAnsi="Times New Roman" w:eastAsia="方正仿宋_GBK" w:cs="Times New Roman"/>
          <w:color w:val="000000"/>
          <w:kern w:val="2"/>
          <w:sz w:val="32"/>
          <w:szCs w:val="32"/>
        </w:rPr>
        <w:t>渝中区可持续城市更新</w:t>
      </w:r>
      <w:r>
        <w:rPr>
          <w:rFonts w:hint="eastAsia" w:ascii="Times New Roman" w:hAnsi="Times New Roman" w:eastAsia="方正仿宋_GBK" w:cs="Times New Roman"/>
          <w:color w:val="000000"/>
          <w:kern w:val="2"/>
          <w:sz w:val="32"/>
          <w:szCs w:val="32"/>
          <w:lang w:val="en-US" w:eastAsia="zh-CN"/>
        </w:rPr>
        <w:t>重大政策清单</w:t>
      </w:r>
    </w:p>
    <w:p w14:paraId="3A1003C4">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firstLine="1600" w:firstLineChars="500"/>
        <w:contextualSpacing/>
        <w:jc w:val="both"/>
        <w:textAlignment w:val="center"/>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rPr>
        <w:t>3.</w:t>
      </w:r>
      <w:bookmarkStart w:id="9" w:name="_GoBack"/>
      <w:bookmarkEnd w:id="9"/>
      <w:r>
        <w:rPr>
          <w:rFonts w:ascii="Times New Roman" w:hAnsi="Times New Roman" w:eastAsia="方正仿宋_GBK" w:cs="Times New Roman"/>
          <w:color w:val="000000"/>
          <w:kern w:val="2"/>
          <w:sz w:val="32"/>
          <w:szCs w:val="32"/>
        </w:rPr>
        <w:t>渝中区可持续城市更新重大改革清单</w:t>
      </w:r>
    </w:p>
    <w:p w14:paraId="41F8559F">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firstLine="1600" w:firstLineChars="500"/>
        <w:contextualSpacing/>
        <w:jc w:val="both"/>
        <w:textAlignment w:val="center"/>
        <w:rPr>
          <w:rFonts w:ascii="Times New Roman" w:hAnsi="Times New Roman" w:eastAsia="方正仿宋_GBK" w:cs="Times New Roman"/>
          <w:color w:val="000000"/>
          <w:kern w:val="2"/>
          <w:sz w:val="32"/>
          <w:szCs w:val="32"/>
          <w:lang w:val="en-US" w:eastAsia="zh-CN"/>
        </w:rPr>
      </w:pPr>
      <w:r>
        <w:rPr>
          <w:rFonts w:hint="eastAsia" w:ascii="Times New Roman" w:hAnsi="Times New Roman" w:eastAsia="方正仿宋_GBK" w:cs="Times New Roman"/>
          <w:color w:val="000000"/>
          <w:kern w:val="2"/>
          <w:sz w:val="32"/>
          <w:szCs w:val="32"/>
          <w:lang w:val="en-US" w:eastAsia="zh-CN"/>
        </w:rPr>
        <w:t>4.</w:t>
      </w:r>
      <w:r>
        <w:rPr>
          <w:rFonts w:ascii="Times New Roman" w:hAnsi="Times New Roman" w:eastAsia="方正仿宋_GBK" w:cs="Times New Roman"/>
          <w:color w:val="000000"/>
          <w:kern w:val="2"/>
          <w:sz w:val="32"/>
          <w:szCs w:val="32"/>
        </w:rPr>
        <w:t>渝中区可持续城市更</w:t>
      </w:r>
      <w:r>
        <w:rPr>
          <w:rFonts w:ascii="Times New Roman" w:hAnsi="Times New Roman" w:eastAsia="方正仿宋_GBK" w:cs="Times New Roman"/>
          <w:color w:val="000000"/>
          <w:kern w:val="2"/>
          <w:sz w:val="32"/>
          <w:szCs w:val="32"/>
          <w:lang w:val="en-US" w:eastAsia="zh-CN" w:bidi="ar-SA"/>
        </w:rPr>
        <w:t>新重大平台清单</w:t>
      </w:r>
    </w:p>
    <w:p w14:paraId="312255A5">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right="0"/>
        <w:jc w:val="both"/>
        <w:rPr>
          <w:rFonts w:ascii="Times New Roman" w:hAnsi="Times New Roman" w:eastAsia="方正仿宋_GBK" w:cs="Times New Roman"/>
          <w:color w:val="000000"/>
          <w:kern w:val="2"/>
          <w:sz w:val="32"/>
          <w:szCs w:val="32"/>
        </w:rPr>
      </w:pPr>
    </w:p>
    <w:p w14:paraId="1B8CC4AC">
      <w:pPr>
        <w:keepNext w:val="0"/>
        <w:keepLines w:val="0"/>
        <w:pageBreakBefore w:val="0"/>
        <w:widowControl w:val="0"/>
        <w:kinsoku/>
        <w:wordWrap/>
        <w:overflowPunct w:val="0"/>
        <w:topLinePunct w:val="0"/>
        <w:autoSpaceDE/>
        <w:autoSpaceDN/>
        <w:bidi w:val="0"/>
        <w:adjustRightInd/>
        <w:snapToGrid/>
        <w:spacing w:line="620" w:lineRule="exact"/>
        <w:ind w:left="0" w:right="0"/>
      </w:pPr>
    </w:p>
    <w:p w14:paraId="29262ECB">
      <w:pPr>
        <w:pStyle w:val="7"/>
        <w:keepNext w:val="0"/>
        <w:keepLines w:val="0"/>
        <w:pageBreakBefore w:val="0"/>
        <w:widowControl w:val="0"/>
        <w:kinsoku/>
        <w:wordWrap/>
        <w:topLinePunct w:val="0"/>
        <w:autoSpaceDE/>
        <w:autoSpaceDN/>
        <w:bidi w:val="0"/>
        <w:adjustRightInd/>
        <w:snapToGrid/>
        <w:sectPr>
          <w:pgSz w:w="11905" w:h="16838"/>
          <w:pgMar w:top="1417" w:right="1587" w:bottom="1417" w:left="1587" w:header="851" w:footer="992" w:gutter="0"/>
          <w:cols w:space="720" w:num="1"/>
          <w:docGrid w:type="lines" w:linePitch="560" w:charSpace="0"/>
        </w:sectPr>
      </w:pPr>
    </w:p>
    <w:p w14:paraId="6AAE55AA">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lang w:eastAsia="zh-CN"/>
        </w:rPr>
        <w:t>附件</w:t>
      </w:r>
      <w:r>
        <w:rPr>
          <w:rFonts w:ascii="Times New Roman" w:hAnsi="Times New Roman" w:eastAsia="方正黑体_GBK" w:cs="Times New Roman"/>
          <w:sz w:val="32"/>
          <w:szCs w:val="32"/>
          <w:lang w:val="en-US" w:eastAsia="zh-CN"/>
        </w:rPr>
        <w:t>1</w:t>
      </w:r>
    </w:p>
    <w:p w14:paraId="1613567E">
      <w:pPr>
        <w:pStyle w:val="3"/>
        <w:keepNext w:val="0"/>
        <w:keepLines w:val="0"/>
        <w:pageBreakBefore w:val="0"/>
        <w:widowControl w:val="0"/>
        <w:kinsoku/>
        <w:wordWrap/>
        <w:overflowPunct/>
        <w:topLinePunct w:val="0"/>
        <w:autoSpaceDE/>
        <w:autoSpaceDN/>
        <w:bidi w:val="0"/>
        <w:adjustRightInd/>
        <w:snapToGrid/>
        <w:spacing w:line="620" w:lineRule="exact"/>
        <w:textAlignment w:val="auto"/>
        <w:rPr>
          <w:lang w:val="en-US" w:eastAsia="zh-CN"/>
        </w:rPr>
      </w:pPr>
    </w:p>
    <w:p w14:paraId="709ED77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渝中区可持续城市更新重大项目清单</w:t>
      </w:r>
    </w:p>
    <w:p w14:paraId="5BA03F3E">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rPr>
      </w:pPr>
    </w:p>
    <w:tbl>
      <w:tblPr>
        <w:tblStyle w:val="8"/>
        <w:tblW w:w="13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67"/>
        <w:gridCol w:w="6959"/>
        <w:gridCol w:w="2083"/>
        <w:gridCol w:w="1989"/>
      </w:tblGrid>
      <w:tr w14:paraId="5B50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6" w:type="dxa"/>
            <w:vAlign w:val="center"/>
          </w:tcPr>
          <w:p w14:paraId="3A6D3F9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序号</w:t>
            </w:r>
          </w:p>
        </w:tc>
        <w:tc>
          <w:tcPr>
            <w:tcW w:w="1967" w:type="dxa"/>
            <w:vAlign w:val="center"/>
          </w:tcPr>
          <w:p w14:paraId="2E99C84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项目名称</w:t>
            </w:r>
          </w:p>
        </w:tc>
        <w:tc>
          <w:tcPr>
            <w:tcW w:w="6959" w:type="dxa"/>
            <w:vAlign w:val="center"/>
          </w:tcPr>
          <w:p w14:paraId="30A1A66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建设内容</w:t>
            </w:r>
          </w:p>
        </w:tc>
        <w:tc>
          <w:tcPr>
            <w:tcW w:w="2083" w:type="dxa"/>
            <w:vAlign w:val="center"/>
          </w:tcPr>
          <w:p w14:paraId="3261B15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截至2027年</w:t>
            </w:r>
          </w:p>
          <w:p w14:paraId="2721BF6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进度</w:t>
            </w:r>
          </w:p>
        </w:tc>
        <w:tc>
          <w:tcPr>
            <w:tcW w:w="1989" w:type="dxa"/>
            <w:vAlign w:val="center"/>
          </w:tcPr>
          <w:p w14:paraId="5CFC8ED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责任单位</w:t>
            </w:r>
          </w:p>
        </w:tc>
      </w:tr>
      <w:tr w14:paraId="460C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785" w:type="dxa"/>
            <w:gridSpan w:val="4"/>
            <w:vAlign w:val="center"/>
          </w:tcPr>
          <w:p w14:paraId="289DFB0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left"/>
              <w:rPr>
                <w:rFonts w:ascii="Times New Roman" w:hAnsi="Times New Roman" w:eastAsia="方正黑体_GBK" w:cs="Times New Roman"/>
                <w:sz w:val="24"/>
                <w:szCs w:val="24"/>
              </w:rPr>
            </w:pPr>
            <w:r>
              <w:rPr>
                <w:rFonts w:ascii="Times New Roman" w:hAnsi="Times New Roman" w:eastAsia="方正黑体_GBK" w:cs="Times New Roman"/>
                <w:sz w:val="24"/>
                <w:szCs w:val="24"/>
              </w:rPr>
              <w:t>一、城市更新十大项目</w:t>
            </w:r>
          </w:p>
        </w:tc>
        <w:tc>
          <w:tcPr>
            <w:tcW w:w="1989" w:type="dxa"/>
            <w:vAlign w:val="center"/>
          </w:tcPr>
          <w:p w14:paraId="6DA7B98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left"/>
              <w:rPr>
                <w:rFonts w:ascii="Times New Roman" w:hAnsi="Times New Roman" w:eastAsia="方正黑体_GBK" w:cs="Times New Roman"/>
                <w:sz w:val="24"/>
                <w:szCs w:val="24"/>
              </w:rPr>
            </w:pPr>
          </w:p>
        </w:tc>
      </w:tr>
      <w:tr w14:paraId="122D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592481F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w:t>
            </w:r>
          </w:p>
        </w:tc>
        <w:tc>
          <w:tcPr>
            <w:tcW w:w="1967" w:type="dxa"/>
            <w:vAlign w:val="center"/>
          </w:tcPr>
          <w:p w14:paraId="54925728">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重庆站滨江新城</w:t>
            </w:r>
          </w:p>
        </w:tc>
        <w:tc>
          <w:tcPr>
            <w:tcW w:w="6959" w:type="dxa"/>
            <w:vAlign w:val="center"/>
          </w:tcPr>
          <w:p w14:paraId="72C8AD6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highlight w:val="yellow"/>
              </w:rPr>
            </w:pPr>
            <w:r>
              <w:rPr>
                <w:rFonts w:ascii="Times New Roman" w:hAnsi="Times New Roman" w:eastAsia="方正仿宋_GBK" w:cs="Times New Roman"/>
                <w:color w:val="000000"/>
                <w:sz w:val="24"/>
                <w:szCs w:val="24"/>
              </w:rPr>
              <w:t>占地面积约73公顷，规划总建筑面积约142 万平方米，计划总投资约230亿元。项目将结合重庆站改造带动周边整体更新，同步开发滨江商业商务、人文高端社区，形成科技创新、生态宜居的</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站城景</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融合发展门户，打造成渝地区双城经济圈双核重要窗口TOD城市综合体。</w:t>
            </w:r>
          </w:p>
        </w:tc>
        <w:tc>
          <w:tcPr>
            <w:tcW w:w="2083" w:type="dxa"/>
            <w:vAlign w:val="center"/>
          </w:tcPr>
          <w:p w14:paraId="243E6FFD">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highlight w:val="yellow"/>
              </w:rPr>
            </w:pPr>
            <w:r>
              <w:rPr>
                <w:rFonts w:ascii="Times New Roman" w:hAnsi="Times New Roman" w:eastAsia="方正仿宋_GBK" w:cs="Times New Roman"/>
                <w:color w:val="000000"/>
                <w:sz w:val="24"/>
                <w:szCs w:val="24"/>
              </w:rPr>
              <w:t>持续推进</w:t>
            </w:r>
          </w:p>
        </w:tc>
        <w:tc>
          <w:tcPr>
            <w:tcW w:w="1989" w:type="dxa"/>
            <w:vAlign w:val="center"/>
          </w:tcPr>
          <w:p w14:paraId="56BC0A3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highlight w:val="yellow"/>
              </w:rPr>
            </w:pPr>
            <w:r>
              <w:rPr>
                <w:rFonts w:ascii="Times New Roman" w:hAnsi="Times New Roman" w:eastAsia="方正仿宋_GBK" w:cs="Times New Roman"/>
                <w:sz w:val="24"/>
                <w:szCs w:val="24"/>
              </w:rPr>
              <w:t>菜园坝滨江新城建设与发展指挥部、</w:t>
            </w: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1F8A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1296A5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w:t>
            </w:r>
          </w:p>
        </w:tc>
        <w:tc>
          <w:tcPr>
            <w:tcW w:w="1967" w:type="dxa"/>
            <w:vAlign w:val="center"/>
          </w:tcPr>
          <w:p w14:paraId="47CD328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黄花园现代服务业产业园项目</w:t>
            </w:r>
          </w:p>
        </w:tc>
        <w:tc>
          <w:tcPr>
            <w:tcW w:w="6959" w:type="dxa"/>
            <w:vAlign w:val="center"/>
          </w:tcPr>
          <w:p w14:paraId="4B61D16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计划总投资约14亿元，打造以中冶赛迪、市设计院为核心的现代服务产业园，集聚工业设计、工业软件等业态。</w:t>
            </w:r>
          </w:p>
        </w:tc>
        <w:tc>
          <w:tcPr>
            <w:tcW w:w="2083" w:type="dxa"/>
            <w:vAlign w:val="center"/>
          </w:tcPr>
          <w:p w14:paraId="0C0160B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持续推进</w:t>
            </w:r>
          </w:p>
        </w:tc>
        <w:tc>
          <w:tcPr>
            <w:tcW w:w="1989" w:type="dxa"/>
            <w:vAlign w:val="center"/>
          </w:tcPr>
          <w:p w14:paraId="31BB6758">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重庆黄花园产业园运营管理有限</w:t>
            </w:r>
            <w:r>
              <w:rPr>
                <w:rFonts w:ascii="Times New Roman" w:hAnsi="Times New Roman" w:eastAsia="方正仿宋_GBK" w:cs="Times New Roman"/>
                <w:color w:val="000000"/>
                <w:spacing w:val="-6"/>
                <w:sz w:val="24"/>
                <w:szCs w:val="24"/>
              </w:rPr>
              <w:t>公司（</w:t>
            </w:r>
            <w:r>
              <w:rPr>
                <w:rFonts w:hint="eastAsia" w:ascii="Times New Roman" w:hAnsi="Times New Roman" w:eastAsia="方正仿宋_GBK" w:cs="Times New Roman"/>
                <w:color w:val="000000"/>
                <w:spacing w:val="-6"/>
                <w:sz w:val="24"/>
                <w:szCs w:val="24"/>
                <w:lang w:eastAsia="zh-CN"/>
              </w:rPr>
              <w:t>区产业发展</w:t>
            </w:r>
            <w:r>
              <w:rPr>
                <w:rFonts w:hint="eastAsia" w:ascii="Times New Roman" w:hAnsi="Times New Roman" w:eastAsia="方正仿宋_GBK" w:cs="Times New Roman"/>
                <w:color w:val="000000"/>
                <w:sz w:val="24"/>
                <w:szCs w:val="24"/>
                <w:lang w:eastAsia="zh-CN"/>
              </w:rPr>
              <w:t>集团</w:t>
            </w:r>
            <w:r>
              <w:rPr>
                <w:rFonts w:ascii="Times New Roman" w:hAnsi="Times New Roman" w:eastAsia="方正仿宋_GBK" w:cs="Times New Roman"/>
                <w:color w:val="000000"/>
                <w:sz w:val="24"/>
                <w:szCs w:val="24"/>
              </w:rPr>
              <w:t>）</w:t>
            </w:r>
          </w:p>
        </w:tc>
      </w:tr>
      <w:tr w14:paraId="307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D89C4C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w:t>
            </w:r>
          </w:p>
        </w:tc>
        <w:tc>
          <w:tcPr>
            <w:tcW w:w="1967" w:type="dxa"/>
            <w:vAlign w:val="center"/>
          </w:tcPr>
          <w:p w14:paraId="5620F36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大坪正街城市更新项目</w:t>
            </w:r>
          </w:p>
        </w:tc>
        <w:tc>
          <w:tcPr>
            <w:tcW w:w="6959" w:type="dxa"/>
          </w:tcPr>
          <w:p w14:paraId="728F722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拟对大坪正街周边地块实施改造，计划总投资约38亿元，围绕网络游戏、数字动漫两大产业，打造数字经济产业园。</w:t>
            </w:r>
          </w:p>
        </w:tc>
        <w:tc>
          <w:tcPr>
            <w:tcW w:w="2083" w:type="dxa"/>
            <w:vAlign w:val="center"/>
          </w:tcPr>
          <w:p w14:paraId="66D6367F">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2026年一期投用</w:t>
            </w:r>
          </w:p>
        </w:tc>
        <w:tc>
          <w:tcPr>
            <w:tcW w:w="1989" w:type="dxa"/>
            <w:vAlign w:val="center"/>
          </w:tcPr>
          <w:p w14:paraId="42C0FBC1">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4EFE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9FD5F1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4</w:t>
            </w:r>
          </w:p>
        </w:tc>
        <w:tc>
          <w:tcPr>
            <w:tcW w:w="1967" w:type="dxa"/>
            <w:vAlign w:val="center"/>
          </w:tcPr>
          <w:p w14:paraId="124B54F9">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长滨路沿线地块更新项目</w:t>
            </w:r>
          </w:p>
        </w:tc>
        <w:tc>
          <w:tcPr>
            <w:tcW w:w="6959" w:type="dxa"/>
          </w:tcPr>
          <w:p w14:paraId="238AFBF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对重庆长滨沿线8地块实施更新改造，占地约4.8公顷，地上房屋规模约24万平方米。</w:t>
            </w:r>
          </w:p>
        </w:tc>
        <w:tc>
          <w:tcPr>
            <w:tcW w:w="2083" w:type="dxa"/>
            <w:vAlign w:val="center"/>
          </w:tcPr>
          <w:p w14:paraId="49894D5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2027年开工</w:t>
            </w:r>
          </w:p>
        </w:tc>
        <w:tc>
          <w:tcPr>
            <w:tcW w:w="1989" w:type="dxa"/>
            <w:vAlign w:val="center"/>
          </w:tcPr>
          <w:p w14:paraId="4E8A3E9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7D06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6" w:type="dxa"/>
            <w:vAlign w:val="center"/>
          </w:tcPr>
          <w:p w14:paraId="7AD997D6">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5</w:t>
            </w:r>
          </w:p>
        </w:tc>
        <w:tc>
          <w:tcPr>
            <w:tcW w:w="1967" w:type="dxa"/>
            <w:vAlign w:val="center"/>
          </w:tcPr>
          <w:p w14:paraId="5F956E5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中山三路城市更新项目</w:t>
            </w:r>
          </w:p>
        </w:tc>
        <w:tc>
          <w:tcPr>
            <w:tcW w:w="6959" w:type="dxa"/>
            <w:vAlign w:val="center"/>
          </w:tcPr>
          <w:p w14:paraId="3B232BD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计划总投资超100亿元，新建地标性产业载体，打造具有西南大区风貌的标志性项目。</w:t>
            </w:r>
          </w:p>
        </w:tc>
        <w:tc>
          <w:tcPr>
            <w:tcW w:w="2083" w:type="dxa"/>
            <w:vAlign w:val="center"/>
          </w:tcPr>
          <w:p w14:paraId="5E7F05B9">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2027年一期完工</w:t>
            </w:r>
          </w:p>
        </w:tc>
        <w:tc>
          <w:tcPr>
            <w:tcW w:w="1989" w:type="dxa"/>
            <w:vAlign w:val="center"/>
          </w:tcPr>
          <w:p w14:paraId="514FF876">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hint="eastAsia" w:ascii="Times New Roman" w:hAnsi="Times New Roman" w:eastAsia="方正仿宋_GBK" w:cs="Times New Roman"/>
                <w:color w:val="000000"/>
                <w:sz w:val="24"/>
                <w:szCs w:val="24"/>
                <w:lang w:eastAsia="zh-CN"/>
              </w:rPr>
            </w:pPr>
            <w:r>
              <w:rPr>
                <w:rFonts w:ascii="Times New Roman" w:hAnsi="Times New Roman" w:eastAsia="方正仿宋_GBK" w:cs="Times New Roman"/>
                <w:color w:val="000000"/>
                <w:sz w:val="24"/>
                <w:szCs w:val="24"/>
              </w:rPr>
              <w:t>区住建委、</w:t>
            </w: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lang w:eastAsia="zh-CN"/>
              </w:rPr>
              <w:t>区产业发展集团</w:t>
            </w:r>
          </w:p>
        </w:tc>
      </w:tr>
      <w:tr w14:paraId="6D3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416DB1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6</w:t>
            </w:r>
          </w:p>
        </w:tc>
        <w:tc>
          <w:tcPr>
            <w:tcW w:w="1967" w:type="dxa"/>
            <w:vAlign w:val="center"/>
          </w:tcPr>
          <w:p w14:paraId="2DA2D91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金银湾片区城市更新项目</w:t>
            </w:r>
          </w:p>
        </w:tc>
        <w:tc>
          <w:tcPr>
            <w:tcW w:w="6959" w:type="dxa"/>
            <w:vAlign w:val="center"/>
          </w:tcPr>
          <w:p w14:paraId="4B42100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聚焦教共体核心功能落地，打造</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教育配套型</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高品质居住社区。</w:t>
            </w:r>
          </w:p>
        </w:tc>
        <w:tc>
          <w:tcPr>
            <w:tcW w:w="2083" w:type="dxa"/>
            <w:vAlign w:val="center"/>
          </w:tcPr>
          <w:p w14:paraId="5B19BB0C">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2027年开工</w:t>
            </w:r>
          </w:p>
        </w:tc>
        <w:tc>
          <w:tcPr>
            <w:tcW w:w="1989" w:type="dxa"/>
            <w:vAlign w:val="center"/>
          </w:tcPr>
          <w:p w14:paraId="647E27D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区产业发展集团</w:t>
            </w:r>
          </w:p>
        </w:tc>
      </w:tr>
      <w:tr w14:paraId="46D8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16A66DB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7</w:t>
            </w:r>
          </w:p>
        </w:tc>
        <w:tc>
          <w:tcPr>
            <w:tcW w:w="1967" w:type="dxa"/>
            <w:vAlign w:val="center"/>
          </w:tcPr>
          <w:p w14:paraId="46EDBBF7">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煤建新村片区城市更新项目</w:t>
            </w:r>
          </w:p>
        </w:tc>
        <w:tc>
          <w:tcPr>
            <w:tcW w:w="6959" w:type="dxa"/>
          </w:tcPr>
          <w:p w14:paraId="7436A2FB">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旨在打造大型城市综合体，提升大坪商圈能级。</w:t>
            </w:r>
          </w:p>
        </w:tc>
        <w:tc>
          <w:tcPr>
            <w:tcW w:w="2083" w:type="dxa"/>
            <w:vAlign w:val="center"/>
          </w:tcPr>
          <w:p w14:paraId="75EB117E">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2027年开工</w:t>
            </w:r>
          </w:p>
        </w:tc>
        <w:tc>
          <w:tcPr>
            <w:tcW w:w="1989" w:type="dxa"/>
            <w:vAlign w:val="center"/>
          </w:tcPr>
          <w:p w14:paraId="2F1B99A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区产业发展集团</w:t>
            </w:r>
          </w:p>
        </w:tc>
      </w:tr>
      <w:tr w14:paraId="1314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4E8F24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8</w:t>
            </w:r>
          </w:p>
        </w:tc>
        <w:tc>
          <w:tcPr>
            <w:tcW w:w="1967" w:type="dxa"/>
            <w:vAlign w:val="center"/>
          </w:tcPr>
          <w:p w14:paraId="46E5B6EA">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大鹅岭景区项目</w:t>
            </w:r>
          </w:p>
        </w:tc>
        <w:tc>
          <w:tcPr>
            <w:tcW w:w="6959" w:type="dxa"/>
          </w:tcPr>
          <w:p w14:paraId="5B73047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项目拟打造都市5A级景区，包含大鹅岭景区、佛图关公园提档等项目。</w:t>
            </w:r>
          </w:p>
        </w:tc>
        <w:tc>
          <w:tcPr>
            <w:tcW w:w="2083" w:type="dxa"/>
            <w:vAlign w:val="center"/>
          </w:tcPr>
          <w:p w14:paraId="5E2176C0">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持续推进</w:t>
            </w:r>
          </w:p>
        </w:tc>
        <w:tc>
          <w:tcPr>
            <w:tcW w:w="1989" w:type="dxa"/>
            <w:vAlign w:val="center"/>
          </w:tcPr>
          <w:p w14:paraId="4F875F0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区文旅发展集团</w:t>
            </w:r>
          </w:p>
        </w:tc>
      </w:tr>
      <w:tr w14:paraId="4931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B88BD1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9</w:t>
            </w:r>
          </w:p>
        </w:tc>
        <w:tc>
          <w:tcPr>
            <w:tcW w:w="1967" w:type="dxa"/>
            <w:vAlign w:val="center"/>
          </w:tcPr>
          <w:p w14:paraId="7C66DC15">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燕子岩</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飞机码头</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枇杷山传统风貌区项目</w:t>
            </w:r>
          </w:p>
        </w:tc>
        <w:tc>
          <w:tcPr>
            <w:tcW w:w="6959" w:type="dxa"/>
            <w:vAlign w:val="center"/>
          </w:tcPr>
          <w:p w14:paraId="5059120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基础设施改造包含道路修缮，地下管网更新增添公共设施等。建筑修缮与功能提升，危房整治、外立面更新统一街区风貌，修复传统建筑元素，功能升级商业店铺业态优化引入文创、民宿餐饮等业态。修复历史遗迹（码头文化、工业遗址），设置文化展示墙、标识系统等。</w:t>
            </w:r>
          </w:p>
        </w:tc>
        <w:tc>
          <w:tcPr>
            <w:tcW w:w="2083" w:type="dxa"/>
            <w:vAlign w:val="center"/>
          </w:tcPr>
          <w:p w14:paraId="0E3CD421">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sz w:val="24"/>
                <w:szCs w:val="24"/>
              </w:rPr>
              <w:t>2027年燕子岩完工，飞机</w:t>
            </w:r>
            <w:r>
              <w:rPr>
                <w:rFonts w:ascii="Times New Roman" w:hAnsi="Times New Roman" w:eastAsia="方正仿宋_GBK" w:cs="Times New Roman"/>
                <w:spacing w:val="-6"/>
                <w:sz w:val="24"/>
                <w:szCs w:val="24"/>
              </w:rPr>
              <w:t>码头持续推进</w:t>
            </w:r>
          </w:p>
        </w:tc>
        <w:tc>
          <w:tcPr>
            <w:tcW w:w="1989" w:type="dxa"/>
            <w:vAlign w:val="center"/>
          </w:tcPr>
          <w:p w14:paraId="24C05B9A">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区文旅发展集团</w:t>
            </w:r>
          </w:p>
        </w:tc>
      </w:tr>
      <w:tr w14:paraId="3585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F24B75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10</w:t>
            </w:r>
          </w:p>
        </w:tc>
        <w:tc>
          <w:tcPr>
            <w:tcW w:w="1967" w:type="dxa"/>
            <w:vAlign w:val="center"/>
          </w:tcPr>
          <w:p w14:paraId="23B6BD7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长江一路片区功能品质提升项目</w:t>
            </w:r>
          </w:p>
        </w:tc>
        <w:tc>
          <w:tcPr>
            <w:tcW w:w="6959" w:type="dxa"/>
          </w:tcPr>
          <w:p w14:paraId="06CF3E49">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位于渝中区长江一路沿线，东至桂花园新村，南抵菜园坝滨江新城，西至鹅岭正街与长江一路岔路口，北至鹅岭公园，总占地面积近60公顷，统筹推进片区老旧小区、特色文旅节点、立体交通等一体化更新提升。</w:t>
            </w:r>
          </w:p>
        </w:tc>
        <w:tc>
          <w:tcPr>
            <w:tcW w:w="2083" w:type="dxa"/>
            <w:vAlign w:val="center"/>
          </w:tcPr>
          <w:p w14:paraId="0FDFEAB2">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2027年完工</w:t>
            </w:r>
          </w:p>
        </w:tc>
        <w:tc>
          <w:tcPr>
            <w:tcW w:w="1989" w:type="dxa"/>
            <w:vAlign w:val="center"/>
          </w:tcPr>
          <w:p w14:paraId="5CF6B4EC">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ascii="Times New Roman" w:hAnsi="Times New Roman" w:eastAsia="方正仿宋_GBK" w:cs="Times New Roman"/>
                <w:color w:val="000000"/>
                <w:spacing w:val="0"/>
                <w:sz w:val="24"/>
                <w:szCs w:val="24"/>
              </w:rPr>
              <w:t>区住建委、</w:t>
            </w:r>
            <w:r>
              <w:rPr>
                <w:rFonts w:hint="eastAsia" w:ascii="Times New Roman" w:hAnsi="Times New Roman" w:eastAsia="方正仿宋_GBK" w:cs="Times New Roman"/>
                <w:color w:val="000000"/>
                <w:spacing w:val="0"/>
                <w:sz w:val="24"/>
                <w:szCs w:val="24"/>
                <w:lang w:eastAsia="zh-CN"/>
              </w:rPr>
              <w:t>区文化旅游委</w:t>
            </w:r>
            <w:r>
              <w:rPr>
                <w:rFonts w:ascii="Times New Roman" w:hAnsi="Times New Roman" w:eastAsia="方正仿宋_GBK" w:cs="Times New Roman"/>
                <w:color w:val="000000"/>
                <w:spacing w:val="0"/>
                <w:sz w:val="24"/>
                <w:szCs w:val="24"/>
              </w:rPr>
              <w:t>、</w:t>
            </w:r>
            <w:r>
              <w:rPr>
                <w:rFonts w:hint="eastAsia" w:ascii="Times New Roman" w:hAnsi="Times New Roman" w:eastAsia="方正仿宋_GBK" w:cs="Times New Roman"/>
                <w:spacing w:val="0"/>
                <w:sz w:val="24"/>
                <w:szCs w:val="24"/>
                <w:lang w:eastAsia="zh-CN"/>
              </w:rPr>
              <w:t>区城市发展</w:t>
            </w:r>
            <w:r>
              <w:rPr>
                <w:rFonts w:ascii="Times New Roman" w:hAnsi="Times New Roman" w:eastAsia="方正仿宋_GBK" w:cs="Times New Roman"/>
                <w:spacing w:val="0"/>
                <w:sz w:val="24"/>
                <w:szCs w:val="24"/>
              </w:rPr>
              <w:t>集团</w:t>
            </w:r>
            <w:r>
              <w:rPr>
                <w:rFonts w:ascii="Times New Roman" w:hAnsi="Times New Roman" w:eastAsia="方正仿宋_GBK" w:cs="Times New Roman"/>
                <w:color w:val="000000"/>
                <w:spacing w:val="0"/>
                <w:sz w:val="24"/>
                <w:szCs w:val="24"/>
              </w:rPr>
              <w:t>、</w:t>
            </w:r>
            <w:r>
              <w:rPr>
                <w:rFonts w:hint="eastAsia" w:ascii="Times New Roman" w:hAnsi="Times New Roman" w:eastAsia="方正仿宋_GBK" w:cs="Times New Roman"/>
                <w:color w:val="000000"/>
                <w:spacing w:val="0"/>
                <w:sz w:val="24"/>
                <w:szCs w:val="24"/>
                <w:lang w:eastAsia="zh-CN"/>
              </w:rPr>
              <w:t>两路口</w:t>
            </w:r>
            <w:r>
              <w:rPr>
                <w:rFonts w:ascii="Times New Roman" w:hAnsi="Times New Roman" w:eastAsia="方正仿宋_GBK" w:cs="Times New Roman"/>
                <w:color w:val="000000"/>
                <w:spacing w:val="0"/>
                <w:sz w:val="24"/>
                <w:szCs w:val="24"/>
              </w:rPr>
              <w:t>街道</w:t>
            </w:r>
            <w:r>
              <w:rPr>
                <w:rFonts w:hint="eastAsia" w:ascii="Times New Roman" w:hAnsi="Times New Roman" w:eastAsia="方正仿宋_GBK" w:cs="Times New Roman"/>
                <w:color w:val="000000"/>
                <w:spacing w:val="0"/>
                <w:sz w:val="24"/>
                <w:szCs w:val="24"/>
                <w:lang w:eastAsia="zh-CN"/>
              </w:rPr>
              <w:t>办事处</w:t>
            </w:r>
          </w:p>
        </w:tc>
      </w:tr>
      <w:tr w14:paraId="782D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774" w:type="dxa"/>
            <w:gridSpan w:val="5"/>
            <w:vAlign w:val="center"/>
          </w:tcPr>
          <w:p w14:paraId="23DD00AD">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left"/>
              <w:textAlignment w:val="auto"/>
              <w:rPr>
                <w:rFonts w:ascii="Times New Roman" w:hAnsi="Times New Roman" w:eastAsia="方正仿宋_GBK" w:cs="Times New Roman"/>
                <w:sz w:val="24"/>
                <w:szCs w:val="24"/>
              </w:rPr>
            </w:pPr>
            <w:r>
              <w:rPr>
                <w:rFonts w:ascii="Times New Roman" w:hAnsi="Times New Roman" w:eastAsia="方正黑体_GBK" w:cs="Times New Roman"/>
                <w:sz w:val="24"/>
                <w:szCs w:val="24"/>
              </w:rPr>
              <w:t>二、推动片区更新</w:t>
            </w:r>
          </w:p>
        </w:tc>
      </w:tr>
      <w:tr w14:paraId="062A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25F441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1967" w:type="dxa"/>
            <w:vAlign w:val="center"/>
          </w:tcPr>
          <w:p w14:paraId="2E00D780">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智能药物设计与研发平台重大科技创新能力建设项目</w:t>
            </w:r>
          </w:p>
        </w:tc>
        <w:tc>
          <w:tcPr>
            <w:tcW w:w="6959" w:type="dxa"/>
            <w:vAlign w:val="center"/>
          </w:tcPr>
          <w:p w14:paraId="218727A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left"/>
              <w:textAlignment w:val="auto"/>
              <w:rPr>
                <w:rFonts w:ascii="Times New Roman" w:hAnsi="Times New Roman" w:eastAsia="方正仿宋_GBK" w:cs="Times New Roman"/>
                <w:bCs/>
                <w:sz w:val="24"/>
                <w:szCs w:val="24"/>
              </w:rPr>
            </w:pPr>
            <w:r>
              <w:rPr>
                <w:rFonts w:hint="eastAsia" w:ascii="Times New Roman" w:hAnsi="Times New Roman" w:eastAsia="方正仿宋_GBK" w:cs="Times New Roman"/>
                <w:color w:val="000000"/>
                <w:sz w:val="24"/>
                <w:szCs w:val="24"/>
                <w:lang w:eastAsia="zh-CN"/>
              </w:rPr>
              <w:t>项目</w:t>
            </w:r>
            <w:r>
              <w:rPr>
                <w:rFonts w:ascii="Times New Roman" w:hAnsi="Times New Roman" w:eastAsia="方正仿宋_GBK" w:cs="Times New Roman"/>
                <w:color w:val="000000"/>
                <w:sz w:val="24"/>
                <w:szCs w:val="24"/>
              </w:rPr>
              <w:t>建筑面积约3万平方米，</w:t>
            </w:r>
            <w:r>
              <w:rPr>
                <w:rFonts w:hint="eastAsia" w:ascii="Times New Roman" w:hAnsi="Times New Roman" w:eastAsia="方正仿宋_GBK" w:cs="Times New Roman"/>
                <w:color w:val="000000"/>
                <w:sz w:val="24"/>
                <w:szCs w:val="24"/>
                <w:lang w:eastAsia="zh-CN"/>
              </w:rPr>
              <w:t>配置高精尖科研设备、算力集群及配套信息系统</w:t>
            </w:r>
            <w:r>
              <w:rPr>
                <w:rFonts w:ascii="Times New Roman" w:hAnsi="Times New Roman" w:eastAsia="方正仿宋_GBK" w:cs="Times New Roman"/>
                <w:color w:val="000000"/>
                <w:sz w:val="24"/>
                <w:szCs w:val="24"/>
              </w:rPr>
              <w:t>等。</w:t>
            </w:r>
          </w:p>
        </w:tc>
        <w:tc>
          <w:tcPr>
            <w:tcW w:w="2083" w:type="dxa"/>
            <w:vAlign w:val="center"/>
          </w:tcPr>
          <w:p w14:paraId="69C693A1">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2026年</w:t>
            </w:r>
            <w:r>
              <w:rPr>
                <w:rFonts w:hint="eastAsia" w:ascii="Times New Roman" w:hAnsi="Times New Roman" w:eastAsia="方正仿宋_GBK" w:cs="Times New Roman"/>
                <w:bCs/>
                <w:sz w:val="24"/>
                <w:szCs w:val="24"/>
                <w:lang w:eastAsia="zh-CN"/>
              </w:rPr>
              <w:t>主体</w:t>
            </w:r>
            <w:r>
              <w:rPr>
                <w:rFonts w:ascii="Times New Roman" w:hAnsi="Times New Roman" w:eastAsia="方正仿宋_GBK" w:cs="Times New Roman"/>
                <w:bCs/>
                <w:sz w:val="24"/>
                <w:szCs w:val="24"/>
              </w:rPr>
              <w:t>完工</w:t>
            </w:r>
          </w:p>
        </w:tc>
        <w:tc>
          <w:tcPr>
            <w:tcW w:w="1989" w:type="dxa"/>
            <w:vAlign w:val="center"/>
          </w:tcPr>
          <w:p w14:paraId="64DA686D">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大石化</w:t>
            </w:r>
            <w:r>
              <w:rPr>
                <w:rFonts w:hint="eastAsia" w:ascii="Times New Roman" w:hAnsi="Times New Roman" w:eastAsia="方正仿宋_GBK" w:cs="Times New Roman"/>
                <w:spacing w:val="-11"/>
                <w:sz w:val="24"/>
                <w:szCs w:val="24"/>
                <w:lang w:eastAsia="zh-CN"/>
              </w:rPr>
              <w:t>新区</w:t>
            </w:r>
            <w:r>
              <w:rPr>
                <w:rFonts w:ascii="Times New Roman" w:hAnsi="Times New Roman" w:eastAsia="方正仿宋_GBK" w:cs="Times New Roman"/>
                <w:spacing w:val="-11"/>
                <w:sz w:val="24"/>
                <w:szCs w:val="24"/>
              </w:rPr>
              <w:t>管委会</w:t>
            </w:r>
          </w:p>
        </w:tc>
      </w:tr>
      <w:tr w14:paraId="474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1EF76E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1967" w:type="dxa"/>
            <w:vAlign w:val="center"/>
          </w:tcPr>
          <w:p w14:paraId="5547ECBB">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重医附属口腔医院上清寺院区整体提升改造项目一期工程</w:t>
            </w:r>
          </w:p>
        </w:tc>
        <w:tc>
          <w:tcPr>
            <w:tcW w:w="6959" w:type="dxa"/>
            <w:vAlign w:val="center"/>
          </w:tcPr>
          <w:p w14:paraId="3DED01D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项目以</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口腔健康产学研基地</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为更新目标，共分为两期实施，一期工程包括拆除整形美容楼、学生宿舍楼等危旧建筑，新建1号楼裙房，改造V营地块建筑，同步优化周边相关区域公共环境；二期工程包括改造上清寺院区1号楼外立面并进行内部装修。</w:t>
            </w:r>
          </w:p>
        </w:tc>
        <w:tc>
          <w:tcPr>
            <w:tcW w:w="2083" w:type="dxa"/>
            <w:vAlign w:val="center"/>
          </w:tcPr>
          <w:p w14:paraId="68AD28E7">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color w:val="000000"/>
                <w:sz w:val="24"/>
                <w:szCs w:val="24"/>
              </w:rPr>
              <w:t>2027年一期完工</w:t>
            </w:r>
          </w:p>
        </w:tc>
        <w:tc>
          <w:tcPr>
            <w:tcW w:w="1989" w:type="dxa"/>
            <w:vAlign w:val="center"/>
          </w:tcPr>
          <w:p w14:paraId="16E240F8">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区卫健委、重庆</w:t>
            </w:r>
            <w:r>
              <w:rPr>
                <w:rFonts w:ascii="Times New Roman" w:hAnsi="Times New Roman" w:eastAsia="方正仿宋_GBK" w:cs="Times New Roman"/>
                <w:spacing w:val="-11"/>
                <w:sz w:val="24"/>
                <w:szCs w:val="24"/>
              </w:rPr>
              <w:t>医科大学附属口腔</w:t>
            </w:r>
            <w:r>
              <w:rPr>
                <w:rFonts w:ascii="Times New Roman" w:hAnsi="Times New Roman" w:eastAsia="方正仿宋_GBK" w:cs="Times New Roman"/>
                <w:spacing w:val="-6"/>
                <w:sz w:val="24"/>
                <w:szCs w:val="24"/>
              </w:rPr>
              <w:t>医院</w:t>
            </w:r>
          </w:p>
        </w:tc>
      </w:tr>
      <w:tr w14:paraId="5FC0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2B13B9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13</w:t>
            </w:r>
          </w:p>
        </w:tc>
        <w:tc>
          <w:tcPr>
            <w:tcW w:w="1967" w:type="dxa"/>
            <w:vAlign w:val="center"/>
          </w:tcPr>
          <w:p w14:paraId="3C26190C">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挑花厂数字文创产业园项目</w:t>
            </w:r>
          </w:p>
        </w:tc>
        <w:tc>
          <w:tcPr>
            <w:tcW w:w="6959" w:type="dxa"/>
            <w:vAlign w:val="center"/>
          </w:tcPr>
          <w:p w14:paraId="5BA824FC">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建筑面积52000平方米，建设产业园区。</w:t>
            </w:r>
          </w:p>
        </w:tc>
        <w:tc>
          <w:tcPr>
            <w:tcW w:w="2083" w:type="dxa"/>
            <w:vAlign w:val="center"/>
          </w:tcPr>
          <w:p w14:paraId="669EDDF6">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2026年完工</w:t>
            </w:r>
          </w:p>
        </w:tc>
        <w:tc>
          <w:tcPr>
            <w:tcW w:w="1989" w:type="dxa"/>
            <w:vAlign w:val="center"/>
          </w:tcPr>
          <w:p w14:paraId="27055137">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区产业发展集团</w:t>
            </w:r>
          </w:p>
        </w:tc>
      </w:tr>
      <w:tr w14:paraId="1C4E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389DDC8">
            <w:pPr>
              <w:keepNext w:val="0"/>
              <w:keepLines w:val="0"/>
              <w:pageBreakBefore w:val="0"/>
              <w:widowControl w:val="0"/>
              <w:kinsoku/>
              <w:wordWrap/>
              <w:overflowPunct/>
              <w:topLinePunct w:val="0"/>
              <w:autoSpaceDE/>
              <w:autoSpaceDN/>
              <w:bidi w:val="0"/>
              <w:spacing w:beforeAutospacing="0" w:afterAutospacing="0" w:line="0" w:lineRule="atLeast"/>
              <w:jc w:val="center"/>
              <w:rPr>
                <w:rFonts w:ascii="Times New Roman" w:hAnsi="Times New Roman" w:cs="Times New Roman"/>
                <w:szCs w:val="20"/>
              </w:rPr>
            </w:pPr>
            <w:r>
              <w:rPr>
                <w:rFonts w:ascii="Times New Roman" w:hAnsi="Times New Roman" w:cs="Times New Roman"/>
                <w:sz w:val="24"/>
                <w:szCs w:val="24"/>
              </w:rPr>
              <w:t>14</w:t>
            </w:r>
          </w:p>
        </w:tc>
        <w:tc>
          <w:tcPr>
            <w:tcW w:w="1967" w:type="dxa"/>
            <w:vAlign w:val="center"/>
          </w:tcPr>
          <w:p w14:paraId="36970647">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pacing w:val="-11"/>
                <w:sz w:val="24"/>
                <w:szCs w:val="24"/>
              </w:rPr>
              <w:t>西部中医药产业园</w:t>
            </w:r>
          </w:p>
        </w:tc>
        <w:tc>
          <w:tcPr>
            <w:tcW w:w="6959" w:type="dxa"/>
          </w:tcPr>
          <w:p w14:paraId="6A258CE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占地面积14万平方米，载体面积18万平方米。园区以</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4+N</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4</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即利用望江公寓、白象街北区、白象街南区、重庆行营，分别打造药材城、医药城、康养城、药膳城，</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N</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即利用解放东西路沿线载体打造N个特色中医药消费场景）规划布局，集聚中医药电子商务、商品集散、生产批发、品牌运营、人才培训、产业延伸和价格形成等新型市场功能，是渝中区政府中医中药产业发展主阵地。</w:t>
            </w:r>
          </w:p>
        </w:tc>
        <w:tc>
          <w:tcPr>
            <w:tcW w:w="2083" w:type="dxa"/>
            <w:vAlign w:val="center"/>
          </w:tcPr>
          <w:p w14:paraId="1E70DD5D">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2027年完成前期研究</w:t>
            </w:r>
          </w:p>
        </w:tc>
        <w:tc>
          <w:tcPr>
            <w:tcW w:w="1989" w:type="dxa"/>
            <w:vAlign w:val="center"/>
          </w:tcPr>
          <w:p w14:paraId="669B122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历史</w:t>
            </w:r>
            <w:r>
              <w:rPr>
                <w:rFonts w:hint="eastAsia" w:ascii="Times New Roman" w:hAnsi="Times New Roman" w:eastAsia="方正仿宋_GBK" w:cs="Times New Roman"/>
                <w:sz w:val="24"/>
                <w:szCs w:val="24"/>
                <w:lang w:eastAsia="zh-CN"/>
              </w:rPr>
              <w:t>文化</w:t>
            </w:r>
            <w:r>
              <w:rPr>
                <w:rFonts w:ascii="Times New Roman" w:hAnsi="Times New Roman" w:eastAsia="方正仿宋_GBK" w:cs="Times New Roman"/>
                <w:sz w:val="24"/>
                <w:szCs w:val="24"/>
              </w:rPr>
              <w:t>街区</w:t>
            </w:r>
          </w:p>
          <w:p w14:paraId="50537618">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管委会</w:t>
            </w:r>
          </w:p>
        </w:tc>
      </w:tr>
      <w:tr w14:paraId="0F59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36D60F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15</w:t>
            </w:r>
          </w:p>
        </w:tc>
        <w:tc>
          <w:tcPr>
            <w:tcW w:w="1967" w:type="dxa"/>
            <w:vAlign w:val="center"/>
          </w:tcPr>
          <w:p w14:paraId="2C4076F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朝天门－解放碑片区美丽都市风貌展示区</w:t>
            </w:r>
          </w:p>
        </w:tc>
        <w:tc>
          <w:tcPr>
            <w:tcW w:w="6959" w:type="dxa"/>
          </w:tcPr>
          <w:p w14:paraId="6F11DF6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项目研究范围以</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九开八闭十七门</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古城墙区域为核心，东起朝天门，西至通远门，南临长江，北接嘉陵江，总面积约3.26平方公里，重点打造朝天门至通远门城市主轴之间的展示区，推动戴家巷—国泰艺术中心连廊等一批子项目建设。</w:t>
            </w:r>
          </w:p>
        </w:tc>
        <w:tc>
          <w:tcPr>
            <w:tcW w:w="2083" w:type="dxa"/>
            <w:vAlign w:val="center"/>
          </w:tcPr>
          <w:p w14:paraId="07CAAB5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2027年完工</w:t>
            </w:r>
          </w:p>
        </w:tc>
        <w:tc>
          <w:tcPr>
            <w:tcW w:w="1989" w:type="dxa"/>
            <w:vAlign w:val="center"/>
          </w:tcPr>
          <w:p w14:paraId="23E096E7">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区住建委</w:t>
            </w:r>
          </w:p>
        </w:tc>
      </w:tr>
      <w:tr w14:paraId="6743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3856EB5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16</w:t>
            </w:r>
          </w:p>
        </w:tc>
        <w:tc>
          <w:tcPr>
            <w:tcW w:w="1967" w:type="dxa"/>
            <w:vAlign w:val="center"/>
          </w:tcPr>
          <w:p w14:paraId="54D0E23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大国际村城市更新项目</w:t>
            </w:r>
          </w:p>
        </w:tc>
        <w:tc>
          <w:tcPr>
            <w:tcW w:w="6959" w:type="dxa"/>
            <w:vAlign w:val="center"/>
          </w:tcPr>
          <w:p w14:paraId="5AC6DF2B">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补齐公共活动空间，合理新建配套，补齐雨污管网、安全应急设施，更新老旧管线，增加公共区域电梯，保护修缮活化利用历史建筑，修复治理生态空间。</w:t>
            </w:r>
          </w:p>
        </w:tc>
        <w:tc>
          <w:tcPr>
            <w:tcW w:w="2083" w:type="dxa"/>
            <w:vAlign w:val="center"/>
          </w:tcPr>
          <w:p w14:paraId="6632330E">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2027年</w:t>
            </w:r>
            <w:r>
              <w:rPr>
                <w:rFonts w:hint="eastAsia" w:ascii="Times New Roman" w:hAnsi="Times New Roman" w:eastAsia="方正仿宋_GBK" w:cs="Times New Roman"/>
                <w:sz w:val="24"/>
                <w:szCs w:val="24"/>
                <w:lang w:eastAsia="zh-CN"/>
              </w:rPr>
              <w:t>主体</w:t>
            </w:r>
            <w:r>
              <w:rPr>
                <w:rFonts w:ascii="Times New Roman" w:hAnsi="Times New Roman" w:eastAsia="方正仿宋_GBK" w:cs="Times New Roman"/>
                <w:sz w:val="24"/>
                <w:szCs w:val="24"/>
              </w:rPr>
              <w:t>完工</w:t>
            </w:r>
          </w:p>
        </w:tc>
        <w:tc>
          <w:tcPr>
            <w:tcW w:w="1989" w:type="dxa"/>
            <w:vAlign w:val="center"/>
          </w:tcPr>
          <w:p w14:paraId="59872269">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1D74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3E2561C3">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eastAsia="zh-CN"/>
              </w:rPr>
            </w:pPr>
            <w:r>
              <w:rPr>
                <w:rFonts w:ascii="Times New Roman" w:hAnsi="Times New Roman" w:cs="Times New Roman"/>
                <w:sz w:val="24"/>
                <w:szCs w:val="24"/>
              </w:rPr>
              <w:t>1</w:t>
            </w:r>
            <w:r>
              <w:rPr>
                <w:rFonts w:hint="eastAsia" w:ascii="Times New Roman" w:hAnsi="Times New Roman" w:cs="Times New Roman"/>
                <w:sz w:val="24"/>
                <w:szCs w:val="24"/>
                <w:lang w:val="en-US" w:eastAsia="zh-CN"/>
              </w:rPr>
              <w:t>7</w:t>
            </w:r>
          </w:p>
        </w:tc>
        <w:tc>
          <w:tcPr>
            <w:tcW w:w="1967" w:type="dxa"/>
            <w:vAlign w:val="center"/>
          </w:tcPr>
          <w:p w14:paraId="187C844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较场口周边片区</w:t>
            </w:r>
            <w:r>
              <w:rPr>
                <w:rFonts w:ascii="Times New Roman" w:hAnsi="Times New Roman" w:eastAsia="方正仿宋_GBK" w:cs="Times New Roman"/>
                <w:sz w:val="24"/>
                <w:szCs w:val="24"/>
              </w:rPr>
              <w:t>更新</w:t>
            </w:r>
            <w:r>
              <w:rPr>
                <w:rFonts w:hint="eastAsia" w:ascii="Times New Roman" w:hAnsi="Times New Roman" w:eastAsia="方正仿宋_GBK" w:cs="Times New Roman"/>
                <w:sz w:val="24"/>
                <w:szCs w:val="24"/>
                <w:lang w:eastAsia="zh-CN"/>
              </w:rPr>
              <w:t>项目</w:t>
            </w:r>
          </w:p>
        </w:tc>
        <w:tc>
          <w:tcPr>
            <w:tcW w:w="6959" w:type="dxa"/>
            <w:vAlign w:val="center"/>
          </w:tcPr>
          <w:p w14:paraId="26E1911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新建高端娱乐载体</w:t>
            </w:r>
            <w:r>
              <w:rPr>
                <w:rFonts w:hint="eastAsia" w:ascii="Times New Roman" w:hAnsi="Times New Roman" w:eastAsia="方正仿宋_GBK" w:cs="Times New Roman"/>
                <w:kern w:val="0"/>
                <w:sz w:val="24"/>
                <w:szCs w:val="24"/>
                <w:lang w:eastAsia="zh-CN"/>
              </w:rPr>
              <w:t>。</w:t>
            </w:r>
          </w:p>
        </w:tc>
        <w:tc>
          <w:tcPr>
            <w:tcW w:w="2083" w:type="dxa"/>
            <w:vAlign w:val="center"/>
          </w:tcPr>
          <w:p w14:paraId="6639B57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w:t>
            </w:r>
            <w:r>
              <w:rPr>
                <w:rFonts w:hint="eastAsia" w:ascii="Times New Roman" w:hAnsi="Times New Roman" w:eastAsia="方正仿宋_GBK" w:cs="Times New Roman"/>
                <w:bCs/>
                <w:sz w:val="24"/>
                <w:szCs w:val="24"/>
                <w:lang w:eastAsia="zh-CN"/>
              </w:rPr>
              <w:t>完成前期研究</w:t>
            </w:r>
          </w:p>
        </w:tc>
        <w:tc>
          <w:tcPr>
            <w:tcW w:w="1989" w:type="dxa"/>
            <w:vAlign w:val="center"/>
          </w:tcPr>
          <w:p w14:paraId="4E6443B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区产业发展集团</w:t>
            </w:r>
          </w:p>
        </w:tc>
      </w:tr>
      <w:tr w14:paraId="4DE4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9F2D07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0"/>
                <w:lang w:eastAsia="zh-CN"/>
              </w:rPr>
            </w:pPr>
            <w:r>
              <w:rPr>
                <w:rFonts w:ascii="Times New Roman" w:hAnsi="Times New Roman" w:cs="Times New Roman"/>
                <w:sz w:val="24"/>
                <w:szCs w:val="24"/>
              </w:rPr>
              <w:t>1</w:t>
            </w:r>
            <w:r>
              <w:rPr>
                <w:rFonts w:hint="eastAsia" w:ascii="Times New Roman" w:hAnsi="Times New Roman" w:cs="Times New Roman"/>
                <w:sz w:val="24"/>
                <w:szCs w:val="24"/>
                <w:lang w:val="en-US" w:eastAsia="zh-CN"/>
              </w:rPr>
              <w:t>8</w:t>
            </w:r>
          </w:p>
        </w:tc>
        <w:tc>
          <w:tcPr>
            <w:tcW w:w="1967" w:type="dxa"/>
            <w:vAlign w:val="center"/>
          </w:tcPr>
          <w:p w14:paraId="7C4FA6F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0"/>
              </w:rPr>
            </w:pPr>
            <w:r>
              <w:rPr>
                <w:rFonts w:ascii="Times New Roman" w:hAnsi="Times New Roman" w:eastAsia="方正仿宋_GBK" w:cs="Times New Roman"/>
                <w:kern w:val="0"/>
                <w:sz w:val="24"/>
                <w:szCs w:val="24"/>
              </w:rPr>
              <w:t>枇杷山</w:t>
            </w:r>
            <w:r>
              <w:rPr>
                <w:rFonts w:ascii="Times New Roman" w:hAnsi="Times New Roman" w:eastAsia="方正仿宋_GBK" w:cs="Times New Roman"/>
                <w:kern w:val="0"/>
                <w:sz w:val="24"/>
                <w:szCs w:val="24"/>
                <w:lang w:eastAsia="zh-CN"/>
              </w:rPr>
              <w:t>片区</w:t>
            </w:r>
            <w:r>
              <w:rPr>
                <w:rFonts w:ascii="Times New Roman" w:hAnsi="Times New Roman" w:eastAsia="方正仿宋_GBK" w:cs="Times New Roman"/>
                <w:kern w:val="0"/>
                <w:sz w:val="24"/>
                <w:szCs w:val="24"/>
              </w:rPr>
              <w:t>城市更新项目</w:t>
            </w:r>
          </w:p>
        </w:tc>
        <w:tc>
          <w:tcPr>
            <w:tcW w:w="6959" w:type="dxa"/>
            <w:vAlign w:val="center"/>
          </w:tcPr>
          <w:p w14:paraId="4C9CEFAC">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0"/>
              </w:rPr>
            </w:pPr>
            <w:r>
              <w:rPr>
                <w:rFonts w:ascii="Times New Roman" w:hAnsi="Times New Roman" w:eastAsia="方正仿宋_GBK" w:cs="Times New Roman"/>
                <w:kern w:val="0"/>
                <w:sz w:val="22"/>
                <w:szCs w:val="22"/>
              </w:rPr>
              <w:t>项目位于泛枇杷山片区核心地带，打造文旅、康养、教育、居住融合的城市更新示范区。项目规划形成</w:t>
            </w:r>
            <w:r>
              <w:rPr>
                <w:rFonts w:hint="eastAsia" w:ascii="Times New Roman" w:hAnsi="Times New Roman" w:eastAsia="方正仿宋_GBK" w:cs="Times New Roman"/>
                <w:kern w:val="0"/>
                <w:sz w:val="22"/>
                <w:szCs w:val="22"/>
                <w:lang w:eastAsia="zh-CN"/>
              </w:rPr>
              <w:t>“</w:t>
            </w:r>
            <w:r>
              <w:rPr>
                <w:rFonts w:ascii="Times New Roman" w:hAnsi="Times New Roman" w:eastAsia="方正仿宋_GBK" w:cs="Times New Roman"/>
                <w:kern w:val="0"/>
                <w:sz w:val="22"/>
                <w:szCs w:val="22"/>
              </w:rPr>
              <w:t>一环三街九亮点</w:t>
            </w:r>
            <w:r>
              <w:rPr>
                <w:rFonts w:hint="eastAsia" w:ascii="Times New Roman" w:hAnsi="Times New Roman" w:eastAsia="方正仿宋_GBK" w:cs="Times New Roman"/>
                <w:kern w:val="0"/>
                <w:sz w:val="22"/>
                <w:szCs w:val="22"/>
                <w:lang w:eastAsia="zh-CN"/>
              </w:rPr>
              <w:t>”</w:t>
            </w:r>
            <w:r>
              <w:rPr>
                <w:rFonts w:ascii="Times New Roman" w:hAnsi="Times New Roman" w:eastAsia="方正仿宋_GBK" w:cs="Times New Roman"/>
                <w:kern w:val="0"/>
                <w:sz w:val="22"/>
                <w:szCs w:val="22"/>
              </w:rPr>
              <w:t>结构，包含民生类改造约3.96万㎡、安全类改造及发展类项目共约11万㎡，其中一厂影视园、考古研究院、康养产业及基金岛为核心板块。</w:t>
            </w:r>
          </w:p>
        </w:tc>
        <w:tc>
          <w:tcPr>
            <w:tcW w:w="2083" w:type="dxa"/>
            <w:vAlign w:val="center"/>
          </w:tcPr>
          <w:p w14:paraId="4796E61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0"/>
              </w:rPr>
            </w:pPr>
            <w:r>
              <w:rPr>
                <w:rFonts w:ascii="Times New Roman" w:hAnsi="Times New Roman" w:eastAsia="方正仿宋_GBK" w:cs="Times New Roman"/>
                <w:kern w:val="0"/>
                <w:sz w:val="24"/>
                <w:szCs w:val="24"/>
              </w:rPr>
              <w:t>2027年完成前期策划</w:t>
            </w:r>
          </w:p>
        </w:tc>
        <w:tc>
          <w:tcPr>
            <w:tcW w:w="1989" w:type="dxa"/>
            <w:vAlign w:val="center"/>
          </w:tcPr>
          <w:p w14:paraId="57CA28B1">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历史</w:t>
            </w:r>
            <w:r>
              <w:rPr>
                <w:rFonts w:hint="eastAsia" w:ascii="Times New Roman" w:hAnsi="Times New Roman" w:eastAsia="方正仿宋_GBK" w:cs="Times New Roman"/>
                <w:kern w:val="0"/>
                <w:sz w:val="24"/>
                <w:szCs w:val="24"/>
                <w:lang w:eastAsia="zh-CN"/>
              </w:rPr>
              <w:t>文化</w:t>
            </w:r>
            <w:r>
              <w:rPr>
                <w:rFonts w:ascii="Times New Roman" w:hAnsi="Times New Roman" w:eastAsia="方正仿宋_GBK" w:cs="Times New Roman"/>
                <w:kern w:val="0"/>
                <w:sz w:val="24"/>
                <w:szCs w:val="24"/>
              </w:rPr>
              <w:t>街区</w:t>
            </w:r>
          </w:p>
          <w:p w14:paraId="51EBED5A">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4"/>
              </w:rPr>
              <w:t>管委会</w:t>
            </w:r>
          </w:p>
        </w:tc>
      </w:tr>
      <w:tr w14:paraId="2AFD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ACFC55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0"/>
              </w:rPr>
            </w:pPr>
            <w:r>
              <w:rPr>
                <w:rFonts w:hint="eastAsia" w:ascii="Times New Roman" w:hAnsi="Times New Roman" w:cs="Times New Roman"/>
                <w:sz w:val="24"/>
                <w:szCs w:val="24"/>
                <w:lang w:val="en-US" w:eastAsia="zh-CN"/>
              </w:rPr>
              <w:t>19</w:t>
            </w:r>
          </w:p>
        </w:tc>
        <w:tc>
          <w:tcPr>
            <w:tcW w:w="1967" w:type="dxa"/>
            <w:vAlign w:val="center"/>
          </w:tcPr>
          <w:p w14:paraId="042FBDC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0"/>
              </w:rPr>
            </w:pPr>
            <w:r>
              <w:rPr>
                <w:rFonts w:ascii="Times New Roman" w:hAnsi="Times New Roman" w:eastAsia="方正仿宋_GBK" w:cs="Times New Roman"/>
                <w:sz w:val="24"/>
                <w:szCs w:val="24"/>
              </w:rPr>
              <w:t>捍卫路城市更新项目</w:t>
            </w:r>
          </w:p>
        </w:tc>
        <w:tc>
          <w:tcPr>
            <w:tcW w:w="6959" w:type="dxa"/>
            <w:vAlign w:val="center"/>
          </w:tcPr>
          <w:p w14:paraId="26F5974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16" w:lineRule="exact"/>
              <w:jc w:val="both"/>
              <w:textAlignment w:val="auto"/>
              <w:rPr>
                <w:rFonts w:ascii="Times New Roman" w:hAnsi="Times New Roman" w:eastAsia="方正仿宋_GBK" w:cs="Times New Roman"/>
                <w:szCs w:val="24"/>
              </w:rPr>
            </w:pPr>
            <w:r>
              <w:rPr>
                <w:rFonts w:ascii="Times New Roman" w:hAnsi="Times New Roman" w:eastAsia="方正仿宋_GBK" w:cs="Times New Roman"/>
                <w:kern w:val="0"/>
                <w:sz w:val="22"/>
                <w:szCs w:val="22"/>
                <w:lang w:val="en-US" w:eastAsia="zh-CN" w:bidi="ar-SA"/>
              </w:rPr>
              <w:t>捍卫路城市更新项目位于渝中区核心生活片区，依托良好的区位和教育医疗资源，主要目标是改善老旧居住环境、完善生活配套、激活片区活力。项目以</w:t>
            </w:r>
            <w:r>
              <w:rPr>
                <w:rFonts w:hint="eastAsia" w:ascii="Times New Roman" w:hAnsi="Times New Roman" w:eastAsia="方正仿宋_GBK" w:cs="Times New Roman"/>
                <w:kern w:val="0"/>
                <w:sz w:val="22"/>
                <w:szCs w:val="22"/>
                <w:lang w:val="en-US" w:eastAsia="zh-CN" w:bidi="ar-SA"/>
              </w:rPr>
              <w:t>“</w:t>
            </w:r>
            <w:r>
              <w:rPr>
                <w:rFonts w:ascii="Times New Roman" w:hAnsi="Times New Roman" w:eastAsia="方正仿宋_GBK" w:cs="Times New Roman"/>
                <w:kern w:val="0"/>
                <w:sz w:val="22"/>
                <w:szCs w:val="22"/>
                <w:lang w:val="en-US" w:eastAsia="zh-CN" w:bidi="ar-SA"/>
              </w:rPr>
              <w:t>教育+生活+文创</w:t>
            </w:r>
            <w:r>
              <w:rPr>
                <w:rFonts w:hint="eastAsia" w:ascii="Times New Roman" w:hAnsi="Times New Roman" w:eastAsia="方正仿宋_GBK" w:cs="Times New Roman"/>
                <w:kern w:val="0"/>
                <w:sz w:val="22"/>
                <w:szCs w:val="22"/>
                <w:lang w:val="en-US" w:eastAsia="zh-CN" w:bidi="ar-SA"/>
              </w:rPr>
              <w:t>”</w:t>
            </w:r>
            <w:r>
              <w:rPr>
                <w:rFonts w:ascii="Times New Roman" w:hAnsi="Times New Roman" w:eastAsia="方正仿宋_GBK" w:cs="Times New Roman"/>
                <w:kern w:val="0"/>
                <w:sz w:val="22"/>
                <w:szCs w:val="22"/>
                <w:lang w:val="en-US" w:eastAsia="zh-CN" w:bidi="ar-SA"/>
              </w:rPr>
              <w:t>为主题导向，采取</w:t>
            </w:r>
            <w:r>
              <w:rPr>
                <w:rFonts w:hint="eastAsia" w:ascii="Times New Roman" w:hAnsi="Times New Roman" w:eastAsia="方正仿宋_GBK" w:cs="Times New Roman"/>
                <w:kern w:val="0"/>
                <w:sz w:val="22"/>
                <w:szCs w:val="22"/>
                <w:lang w:val="en-US" w:eastAsia="zh-CN" w:bidi="ar-SA"/>
              </w:rPr>
              <w:t>“</w:t>
            </w:r>
            <w:r>
              <w:rPr>
                <w:rFonts w:ascii="Times New Roman" w:hAnsi="Times New Roman" w:eastAsia="方正仿宋_GBK" w:cs="Times New Roman"/>
                <w:kern w:val="0"/>
                <w:sz w:val="22"/>
                <w:szCs w:val="22"/>
                <w:lang w:val="en-US" w:eastAsia="zh-CN" w:bidi="ar-SA"/>
              </w:rPr>
              <w:t>保留修缮、功能植入、品质提升</w:t>
            </w:r>
            <w:r>
              <w:rPr>
                <w:rFonts w:hint="eastAsia" w:ascii="Times New Roman" w:hAnsi="Times New Roman" w:eastAsia="方正仿宋_GBK" w:cs="Times New Roman"/>
                <w:kern w:val="0"/>
                <w:sz w:val="22"/>
                <w:szCs w:val="22"/>
                <w:lang w:val="en-US" w:eastAsia="zh-CN" w:bidi="ar-SA"/>
              </w:rPr>
              <w:t>”</w:t>
            </w:r>
            <w:r>
              <w:rPr>
                <w:rFonts w:ascii="Times New Roman" w:hAnsi="Times New Roman" w:eastAsia="方正仿宋_GBK" w:cs="Times New Roman"/>
                <w:kern w:val="0"/>
                <w:sz w:val="22"/>
                <w:szCs w:val="22"/>
                <w:lang w:val="en-US" w:eastAsia="zh-CN" w:bidi="ar-SA"/>
              </w:rPr>
              <w:t>相结合的更新方式，打造宜居宜学的生活社区。</w:t>
            </w:r>
          </w:p>
        </w:tc>
        <w:tc>
          <w:tcPr>
            <w:tcW w:w="2083" w:type="dxa"/>
            <w:vAlign w:val="center"/>
          </w:tcPr>
          <w:p w14:paraId="4024429F">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0"/>
              </w:rPr>
            </w:pPr>
            <w:r>
              <w:rPr>
                <w:rFonts w:ascii="Times New Roman" w:hAnsi="Times New Roman" w:eastAsia="方正仿宋_GBK" w:cs="Times New Roman"/>
                <w:kern w:val="0"/>
                <w:sz w:val="24"/>
                <w:szCs w:val="24"/>
              </w:rPr>
              <w:t>2027年开工</w:t>
            </w:r>
          </w:p>
        </w:tc>
        <w:tc>
          <w:tcPr>
            <w:tcW w:w="1989" w:type="dxa"/>
            <w:vAlign w:val="center"/>
          </w:tcPr>
          <w:p w14:paraId="65071A6B">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历史</w:t>
            </w:r>
            <w:r>
              <w:rPr>
                <w:rFonts w:hint="eastAsia" w:ascii="Times New Roman" w:hAnsi="Times New Roman" w:eastAsia="方正仿宋_GBK" w:cs="Times New Roman"/>
                <w:kern w:val="0"/>
                <w:sz w:val="24"/>
                <w:szCs w:val="24"/>
                <w:lang w:eastAsia="zh-CN"/>
              </w:rPr>
              <w:t>文化</w:t>
            </w:r>
            <w:r>
              <w:rPr>
                <w:rFonts w:ascii="Times New Roman" w:hAnsi="Times New Roman" w:eastAsia="方正仿宋_GBK" w:cs="Times New Roman"/>
                <w:kern w:val="0"/>
                <w:sz w:val="24"/>
                <w:szCs w:val="24"/>
              </w:rPr>
              <w:t>街区</w:t>
            </w:r>
          </w:p>
          <w:p w14:paraId="4FF73DE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4"/>
              </w:rPr>
              <w:t>管委会</w:t>
            </w:r>
          </w:p>
        </w:tc>
      </w:tr>
      <w:tr w14:paraId="3F69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AAF0C9E">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0</w:t>
            </w:r>
          </w:p>
        </w:tc>
        <w:tc>
          <w:tcPr>
            <w:tcW w:w="1967" w:type="dxa"/>
            <w:vAlign w:val="center"/>
          </w:tcPr>
          <w:p w14:paraId="3C7A45F7">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大溪沟水厂</w:t>
            </w:r>
            <w:r>
              <w:rPr>
                <w:rFonts w:hint="eastAsia" w:ascii="Times New Roman" w:hAnsi="Times New Roman" w:eastAsia="方正仿宋_GBK" w:cs="Times New Roman"/>
                <w:sz w:val="24"/>
                <w:szCs w:val="24"/>
                <w:lang w:eastAsia="zh-CN"/>
              </w:rPr>
              <w:t>改扩建</w:t>
            </w:r>
            <w:r>
              <w:rPr>
                <w:rFonts w:ascii="Times New Roman" w:hAnsi="Times New Roman" w:eastAsia="方正仿宋_GBK" w:cs="Times New Roman"/>
                <w:sz w:val="24"/>
                <w:szCs w:val="24"/>
              </w:rPr>
              <w:t>项目</w:t>
            </w:r>
          </w:p>
        </w:tc>
        <w:tc>
          <w:tcPr>
            <w:tcW w:w="6959" w:type="dxa"/>
            <w:vAlign w:val="center"/>
          </w:tcPr>
          <w:p w14:paraId="0185DDEE">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扩建并改造水厂，改扩建规模8万m3/d。改造内容包括：取水泵房、预沉池、高密度沉淀池 、砂滤池、清水池、送水泵房等取水制水单元的土建与设备，厂区管网、智慧管控等内容。</w:t>
            </w:r>
          </w:p>
        </w:tc>
        <w:tc>
          <w:tcPr>
            <w:tcW w:w="2083" w:type="dxa"/>
            <w:vAlign w:val="center"/>
          </w:tcPr>
          <w:p w14:paraId="7E5082FE">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2027年开工</w:t>
            </w:r>
          </w:p>
        </w:tc>
        <w:tc>
          <w:tcPr>
            <w:tcW w:w="1989" w:type="dxa"/>
            <w:vAlign w:val="center"/>
          </w:tcPr>
          <w:p w14:paraId="019A84A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重庆市自来水公司</w:t>
            </w:r>
          </w:p>
        </w:tc>
      </w:tr>
      <w:tr w14:paraId="7B2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316FA4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1</w:t>
            </w:r>
          </w:p>
        </w:tc>
        <w:tc>
          <w:tcPr>
            <w:tcW w:w="1967" w:type="dxa"/>
            <w:vAlign w:val="center"/>
          </w:tcPr>
          <w:p w14:paraId="033B6D63">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环贰厂人文生态走廊项目</w:t>
            </w:r>
          </w:p>
        </w:tc>
        <w:tc>
          <w:tcPr>
            <w:tcW w:w="6959" w:type="dxa"/>
          </w:tcPr>
          <w:p w14:paraId="1284EAE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实施地块开发、现有产业楼宇改造、老旧小区更新、立体交通打造、产业园区建设、陪读陪护房和民宿打造、美食街区培育、文物活化利用、市政设施完善、公园绿地提升等。</w:t>
            </w:r>
          </w:p>
        </w:tc>
        <w:tc>
          <w:tcPr>
            <w:tcW w:w="2083" w:type="dxa"/>
            <w:vAlign w:val="center"/>
          </w:tcPr>
          <w:p w14:paraId="159AB281">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2027年开工</w:t>
            </w:r>
          </w:p>
        </w:tc>
        <w:tc>
          <w:tcPr>
            <w:tcW w:w="1989" w:type="dxa"/>
            <w:vAlign w:val="center"/>
          </w:tcPr>
          <w:p w14:paraId="5D39521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历史文化街区</w:t>
            </w:r>
          </w:p>
          <w:p w14:paraId="4D53DE6A">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管委会</w:t>
            </w:r>
          </w:p>
        </w:tc>
      </w:tr>
      <w:tr w14:paraId="5895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76" w:type="dxa"/>
            <w:vAlign w:val="center"/>
          </w:tcPr>
          <w:p w14:paraId="606AD0F5">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2</w:t>
            </w:r>
          </w:p>
        </w:tc>
        <w:tc>
          <w:tcPr>
            <w:tcW w:w="1967" w:type="dxa"/>
            <w:vAlign w:val="center"/>
          </w:tcPr>
          <w:p w14:paraId="0C98F6FC">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新都巷地块更新改造</w:t>
            </w:r>
          </w:p>
        </w:tc>
        <w:tc>
          <w:tcPr>
            <w:tcW w:w="6959" w:type="dxa"/>
            <w:vAlign w:val="center"/>
          </w:tcPr>
          <w:p w14:paraId="6D657E9F">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建设用地面积约1.1公顷</w:t>
            </w:r>
            <w:r>
              <w:rPr>
                <w:rFonts w:hint="eastAsia"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rPr>
              <w:t>以体育和健康产业等配套业态为主。</w:t>
            </w:r>
          </w:p>
        </w:tc>
        <w:tc>
          <w:tcPr>
            <w:tcW w:w="2083" w:type="dxa"/>
            <w:vAlign w:val="center"/>
          </w:tcPr>
          <w:p w14:paraId="0CE8A5EB">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kern w:val="0"/>
                <w:sz w:val="24"/>
                <w:szCs w:val="24"/>
              </w:rPr>
              <w:t>2027年完成前期策划</w:t>
            </w:r>
          </w:p>
        </w:tc>
        <w:tc>
          <w:tcPr>
            <w:tcW w:w="1989" w:type="dxa"/>
            <w:vAlign w:val="center"/>
          </w:tcPr>
          <w:p w14:paraId="1F3CF4A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70A0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72A2CDC">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3</w:t>
            </w:r>
          </w:p>
        </w:tc>
        <w:tc>
          <w:tcPr>
            <w:tcW w:w="1967" w:type="dxa"/>
            <w:vAlign w:val="center"/>
          </w:tcPr>
          <w:p w14:paraId="703EB054">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重庆村城市更新项目</w:t>
            </w:r>
          </w:p>
        </w:tc>
        <w:tc>
          <w:tcPr>
            <w:tcW w:w="6959" w:type="dxa"/>
            <w:vAlign w:val="center"/>
          </w:tcPr>
          <w:p w14:paraId="67A866A1">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围绕重庆村体育IP优势，提出三大弹性产业发展方向。</w:t>
            </w:r>
          </w:p>
        </w:tc>
        <w:tc>
          <w:tcPr>
            <w:tcW w:w="2083" w:type="dxa"/>
            <w:vAlign w:val="center"/>
          </w:tcPr>
          <w:p w14:paraId="0091039D">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kern w:val="0"/>
                <w:sz w:val="24"/>
                <w:szCs w:val="24"/>
              </w:rPr>
              <w:t>2027年完成前期策划</w:t>
            </w:r>
          </w:p>
        </w:tc>
        <w:tc>
          <w:tcPr>
            <w:tcW w:w="1989" w:type="dxa"/>
            <w:vAlign w:val="center"/>
          </w:tcPr>
          <w:p w14:paraId="731BE3DF">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14:paraId="19E7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3DA4B3E">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24</w:t>
            </w:r>
          </w:p>
        </w:tc>
        <w:tc>
          <w:tcPr>
            <w:tcW w:w="1967" w:type="dxa"/>
            <w:vAlign w:val="center"/>
          </w:tcPr>
          <w:p w14:paraId="49DF741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“一点四区”周边区域功能品质提升项目</w:t>
            </w:r>
          </w:p>
        </w:tc>
        <w:tc>
          <w:tcPr>
            <w:tcW w:w="6959" w:type="dxa"/>
            <w:vAlign w:val="center"/>
          </w:tcPr>
          <w:p w14:paraId="3DC979DB">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hint="eastAsia" w:ascii="Times New Roman" w:hAnsi="Times New Roman" w:eastAsia="方正仿宋_GBK" w:cs="Times New Roman"/>
                <w:bCs/>
                <w:sz w:val="24"/>
                <w:szCs w:val="24"/>
                <w:lang w:eastAsia="zh-CN"/>
              </w:rPr>
            </w:pPr>
            <w:r>
              <w:rPr>
                <w:rFonts w:hint="eastAsia" w:ascii="Times New Roman" w:hAnsi="Times New Roman" w:eastAsia="方正仿宋_GBK" w:cs="Times New Roman"/>
                <w:bCs/>
                <w:sz w:val="24"/>
                <w:szCs w:val="24"/>
                <w:lang w:eastAsia="zh-CN"/>
              </w:rPr>
              <w:t>围绕轨道交通站点和商业商务区、产业园区、校区、院区（医院），开展区域功能品质提升，通过资源赋能促进城市更新落地。</w:t>
            </w:r>
          </w:p>
        </w:tc>
        <w:tc>
          <w:tcPr>
            <w:tcW w:w="2083" w:type="dxa"/>
            <w:vAlign w:val="center"/>
          </w:tcPr>
          <w:p w14:paraId="1EF634AE">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2027年完成前期策划</w:t>
            </w:r>
          </w:p>
        </w:tc>
        <w:tc>
          <w:tcPr>
            <w:tcW w:w="1989" w:type="dxa"/>
            <w:vAlign w:val="center"/>
          </w:tcPr>
          <w:p w14:paraId="422A326C">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14:paraId="7A38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785" w:type="dxa"/>
            <w:gridSpan w:val="4"/>
            <w:vAlign w:val="center"/>
          </w:tcPr>
          <w:p w14:paraId="0DAA7CC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left"/>
              <w:textAlignment w:val="auto"/>
              <w:rPr>
                <w:rFonts w:ascii="Times New Roman" w:hAnsi="Times New Roman" w:eastAsia="方正黑体_GBK" w:cs="Times New Roman"/>
                <w:sz w:val="24"/>
                <w:szCs w:val="24"/>
              </w:rPr>
            </w:pPr>
            <w:r>
              <w:rPr>
                <w:rFonts w:ascii="Times New Roman" w:hAnsi="Times New Roman" w:eastAsia="方正黑体_GBK" w:cs="Times New Roman"/>
                <w:sz w:val="24"/>
                <w:szCs w:val="24"/>
              </w:rPr>
              <w:t>三、推进老旧小区改造提升</w:t>
            </w:r>
          </w:p>
        </w:tc>
        <w:tc>
          <w:tcPr>
            <w:tcW w:w="1989" w:type="dxa"/>
            <w:vAlign w:val="center"/>
          </w:tcPr>
          <w:p w14:paraId="177324CC">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left"/>
              <w:textAlignment w:val="auto"/>
              <w:rPr>
                <w:rFonts w:ascii="Times New Roman" w:hAnsi="Times New Roman" w:eastAsia="方正黑体_GBK" w:cs="Times New Roman"/>
                <w:sz w:val="24"/>
                <w:szCs w:val="24"/>
              </w:rPr>
            </w:pPr>
          </w:p>
        </w:tc>
      </w:tr>
      <w:tr w14:paraId="6541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0A38580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eastAsia="zh-CN"/>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5</w:t>
            </w:r>
          </w:p>
        </w:tc>
        <w:tc>
          <w:tcPr>
            <w:tcW w:w="1967" w:type="dxa"/>
            <w:vAlign w:val="center"/>
          </w:tcPr>
          <w:p w14:paraId="743279C1">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推进老旧小区改造</w:t>
            </w:r>
          </w:p>
        </w:tc>
        <w:tc>
          <w:tcPr>
            <w:tcW w:w="6959" w:type="dxa"/>
            <w:vAlign w:val="center"/>
          </w:tcPr>
          <w:p w14:paraId="2583110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全力打好2000年以前老旧小区100万平方米改造收官战；持续推动2001—2010年有需求的老旧小区开展改造。</w:t>
            </w:r>
          </w:p>
        </w:tc>
        <w:tc>
          <w:tcPr>
            <w:tcW w:w="2083" w:type="dxa"/>
            <w:vAlign w:val="center"/>
          </w:tcPr>
          <w:p w14:paraId="66445FD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持续推进</w:t>
            </w:r>
          </w:p>
        </w:tc>
        <w:tc>
          <w:tcPr>
            <w:tcW w:w="1989" w:type="dxa"/>
            <w:vAlign w:val="center"/>
          </w:tcPr>
          <w:p w14:paraId="62C76973">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rPr>
              <w:t>区住建委、各街道</w:t>
            </w:r>
            <w:r>
              <w:rPr>
                <w:rFonts w:ascii="Times New Roman" w:hAnsi="Times New Roman" w:eastAsia="方正仿宋_GBK" w:cs="Times New Roman"/>
                <w:sz w:val="24"/>
                <w:szCs w:val="24"/>
              </w:rPr>
              <w:t>办事处</w:t>
            </w:r>
          </w:p>
        </w:tc>
      </w:tr>
      <w:tr w14:paraId="4679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774" w:type="dxa"/>
            <w:gridSpan w:val="5"/>
            <w:vAlign w:val="center"/>
          </w:tcPr>
          <w:p w14:paraId="402470E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left"/>
              <w:textAlignment w:val="auto"/>
              <w:rPr>
                <w:rFonts w:ascii="Times New Roman" w:hAnsi="Times New Roman" w:eastAsia="方正黑体_GBK" w:cs="Times New Roman"/>
                <w:sz w:val="24"/>
                <w:szCs w:val="24"/>
              </w:rPr>
            </w:pPr>
            <w:r>
              <w:rPr>
                <w:rFonts w:ascii="Times New Roman" w:hAnsi="Times New Roman" w:eastAsia="方正黑体_GBK" w:cs="Times New Roman"/>
                <w:sz w:val="24"/>
                <w:szCs w:val="24"/>
              </w:rPr>
              <w:t>四、老旧街区更新改造</w:t>
            </w:r>
          </w:p>
        </w:tc>
      </w:tr>
      <w:tr w14:paraId="28E9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EFE572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6</w:t>
            </w:r>
          </w:p>
        </w:tc>
        <w:tc>
          <w:tcPr>
            <w:tcW w:w="1967" w:type="dxa"/>
            <w:vAlign w:val="center"/>
          </w:tcPr>
          <w:p w14:paraId="0ADBA83D">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贰厂焕新提升</w:t>
            </w:r>
          </w:p>
        </w:tc>
        <w:tc>
          <w:tcPr>
            <w:tcW w:w="6959" w:type="dxa"/>
            <w:vAlign w:val="center"/>
          </w:tcPr>
          <w:p w14:paraId="39B942D7">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围绕片区</w:t>
            </w:r>
            <w:r>
              <w:rPr>
                <w:rFonts w:hint="eastAsia"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历史风貌保护、文化价值再造、空间功能重构、景观环境提升</w:t>
            </w:r>
            <w:r>
              <w:rPr>
                <w:rFonts w:hint="eastAsia"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四大目标，重点实施</w:t>
            </w:r>
            <w:r>
              <w:rPr>
                <w:rFonts w:hint="eastAsia"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5类18项</w:t>
            </w:r>
            <w:r>
              <w:rPr>
                <w:rFonts w:hint="eastAsia"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工程任务，涵盖外立面整治、消防设施完善、景观绿化提升、标识系统优化、灯光照明更新等内容。</w:t>
            </w:r>
          </w:p>
        </w:tc>
        <w:tc>
          <w:tcPr>
            <w:tcW w:w="2083" w:type="dxa"/>
            <w:vAlign w:val="center"/>
          </w:tcPr>
          <w:p w14:paraId="4E8055B5">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2026年完工</w:t>
            </w:r>
          </w:p>
        </w:tc>
        <w:tc>
          <w:tcPr>
            <w:tcW w:w="1989" w:type="dxa"/>
            <w:vAlign w:val="center"/>
          </w:tcPr>
          <w:p w14:paraId="29CA678F">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历史</w:t>
            </w:r>
            <w:r>
              <w:rPr>
                <w:rFonts w:hint="eastAsia" w:ascii="Times New Roman" w:hAnsi="Times New Roman" w:eastAsia="方正仿宋_GBK" w:cs="Times New Roman"/>
                <w:color w:val="000000"/>
                <w:kern w:val="0"/>
                <w:sz w:val="24"/>
                <w:szCs w:val="24"/>
                <w:lang w:eastAsia="zh-CN"/>
              </w:rPr>
              <w:t>文化</w:t>
            </w:r>
            <w:r>
              <w:rPr>
                <w:rFonts w:ascii="Times New Roman" w:hAnsi="Times New Roman" w:eastAsia="方正仿宋_GBK" w:cs="Times New Roman"/>
                <w:color w:val="000000"/>
                <w:kern w:val="0"/>
                <w:sz w:val="24"/>
                <w:szCs w:val="24"/>
              </w:rPr>
              <w:t>街区</w:t>
            </w:r>
          </w:p>
          <w:p w14:paraId="0BEC060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管委会</w:t>
            </w:r>
          </w:p>
        </w:tc>
      </w:tr>
      <w:tr w14:paraId="6238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640CDAC">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7</w:t>
            </w:r>
          </w:p>
        </w:tc>
        <w:tc>
          <w:tcPr>
            <w:tcW w:w="1967" w:type="dxa"/>
            <w:vAlign w:val="center"/>
          </w:tcPr>
          <w:p w14:paraId="72CBFB90">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中兴路收藏品市场整体提升</w:t>
            </w:r>
          </w:p>
        </w:tc>
        <w:tc>
          <w:tcPr>
            <w:tcW w:w="6959" w:type="dxa"/>
            <w:vAlign w:val="center"/>
          </w:tcPr>
          <w:p w14:paraId="7897366C">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位于渝中区中兴路75号，经营建筑面积10870.6㎡。市场共四层，分别经营二手家电、古玩、邮票、老旧家具等，业主单位重庆渝地远见城市运营管理有限公司计划招引文旅消费、品质餐饮、休闲娱乐、教育培训等业态，整体提升运营品质。</w:t>
            </w:r>
          </w:p>
        </w:tc>
        <w:tc>
          <w:tcPr>
            <w:tcW w:w="2083" w:type="dxa"/>
            <w:vAlign w:val="center"/>
          </w:tcPr>
          <w:p w14:paraId="0C75D68F">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2027年完工</w:t>
            </w:r>
          </w:p>
        </w:tc>
        <w:tc>
          <w:tcPr>
            <w:tcW w:w="1989" w:type="dxa"/>
            <w:vAlign w:val="center"/>
          </w:tcPr>
          <w:p w14:paraId="3DB23CCB">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历史</w:t>
            </w:r>
            <w:r>
              <w:rPr>
                <w:rFonts w:hint="eastAsia" w:ascii="Times New Roman" w:hAnsi="Times New Roman" w:eastAsia="方正仿宋_GBK" w:cs="Times New Roman"/>
                <w:color w:val="000000"/>
                <w:kern w:val="0"/>
                <w:sz w:val="24"/>
                <w:szCs w:val="24"/>
                <w:lang w:eastAsia="zh-CN"/>
              </w:rPr>
              <w:t>文化</w:t>
            </w:r>
            <w:r>
              <w:rPr>
                <w:rFonts w:ascii="Times New Roman" w:hAnsi="Times New Roman" w:eastAsia="方正仿宋_GBK" w:cs="Times New Roman"/>
                <w:color w:val="000000"/>
                <w:kern w:val="0"/>
                <w:sz w:val="24"/>
                <w:szCs w:val="24"/>
              </w:rPr>
              <w:t>街区</w:t>
            </w:r>
          </w:p>
          <w:p w14:paraId="0B0FC4E2">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管委会</w:t>
            </w:r>
          </w:p>
        </w:tc>
      </w:tr>
      <w:tr w14:paraId="77F9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EB6406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8</w:t>
            </w:r>
          </w:p>
        </w:tc>
        <w:tc>
          <w:tcPr>
            <w:tcW w:w="1967" w:type="dxa"/>
            <w:vAlign w:val="center"/>
          </w:tcPr>
          <w:p w14:paraId="0E7389FD">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七牌坊片区老旧小区公共空间改造提升项目</w:t>
            </w:r>
          </w:p>
        </w:tc>
        <w:tc>
          <w:tcPr>
            <w:tcW w:w="6959" w:type="dxa"/>
            <w:vAlign w:val="center"/>
          </w:tcPr>
          <w:p w14:paraId="58DA03A4">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挖掘七牌坊特色文化，建设集商业、休闲、娱乐、生活健身为一体的文创特色街区，提升街景品质，打造创意空间，承接时代天街外溢客流，激活后街经济。</w:t>
            </w:r>
          </w:p>
        </w:tc>
        <w:tc>
          <w:tcPr>
            <w:tcW w:w="2083" w:type="dxa"/>
            <w:vAlign w:val="center"/>
          </w:tcPr>
          <w:p w14:paraId="29BFF289">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2026年完工</w:t>
            </w:r>
          </w:p>
        </w:tc>
        <w:tc>
          <w:tcPr>
            <w:tcW w:w="1989" w:type="dxa"/>
            <w:vAlign w:val="center"/>
          </w:tcPr>
          <w:p w14:paraId="74B887B1">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Times New Roman" w:hAnsi="Times New Roman" w:eastAsia="方正仿宋_GBK" w:cs="Times New Roman"/>
                <w:sz w:val="24"/>
                <w:szCs w:val="24"/>
                <w:lang w:eastAsia="zh-CN"/>
              </w:rPr>
            </w:pPr>
            <w:r>
              <w:rPr>
                <w:rFonts w:ascii="Times New Roman" w:hAnsi="Times New Roman" w:eastAsia="方正仿宋_GBK" w:cs="Times New Roman"/>
                <w:sz w:val="24"/>
                <w:szCs w:val="24"/>
              </w:rPr>
              <w:t>大坪街道</w:t>
            </w:r>
            <w:r>
              <w:rPr>
                <w:rFonts w:hint="eastAsia" w:ascii="Times New Roman" w:hAnsi="Times New Roman" w:eastAsia="方正仿宋_GBK" w:cs="Times New Roman"/>
                <w:sz w:val="24"/>
                <w:szCs w:val="24"/>
                <w:lang w:eastAsia="zh-CN"/>
              </w:rPr>
              <w:t>办事处</w:t>
            </w:r>
          </w:p>
        </w:tc>
      </w:tr>
      <w:tr w14:paraId="777C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360B87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29</w:t>
            </w:r>
          </w:p>
        </w:tc>
        <w:tc>
          <w:tcPr>
            <w:tcW w:w="1967" w:type="dxa"/>
            <w:vAlign w:val="center"/>
          </w:tcPr>
          <w:p w14:paraId="70A53ED4">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Style w:val="12"/>
                <w:rFonts w:ascii="Times New Roman" w:hAnsi="Times New Roman" w:eastAsia="方正仿宋_GBK" w:cs="Times New Roman"/>
                <w:sz w:val="24"/>
                <w:szCs w:val="24"/>
              </w:rPr>
              <w:t>时代天街超级购物中心提质扩能项目</w:t>
            </w:r>
          </w:p>
        </w:tc>
        <w:tc>
          <w:tcPr>
            <w:tcW w:w="6959" w:type="dxa"/>
            <w:vAlign w:val="center"/>
          </w:tcPr>
          <w:p w14:paraId="2341BD41">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color w:val="000000"/>
                <w:kern w:val="0"/>
                <w:sz w:val="24"/>
                <w:szCs w:val="24"/>
              </w:rPr>
              <w:t>改造茶亭南路长约1000米的公共空间及八县办地块增添临时配套建筑，改造内容包括绿化、地面铺装、雨污分流、照明设施等内容。打造休闲、娱乐、生活、健身为一体的文化街区，提升街景绿化、街区色彩，重塑文化空间，打造有历史文脉的特色街区。龙湖时代天街微风广场迭代焕新，对微风广场进行整体改造。</w:t>
            </w:r>
          </w:p>
        </w:tc>
        <w:tc>
          <w:tcPr>
            <w:tcW w:w="2083" w:type="dxa"/>
            <w:vAlign w:val="center"/>
          </w:tcPr>
          <w:p w14:paraId="5A8F1D27">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2027年完工</w:t>
            </w:r>
          </w:p>
        </w:tc>
        <w:tc>
          <w:tcPr>
            <w:tcW w:w="1989" w:type="dxa"/>
            <w:vAlign w:val="center"/>
          </w:tcPr>
          <w:p w14:paraId="40362893">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时代天街商圈</w:t>
            </w:r>
          </w:p>
          <w:p w14:paraId="40665D0E">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管委会</w:t>
            </w:r>
          </w:p>
        </w:tc>
      </w:tr>
      <w:tr w14:paraId="0516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774" w:type="dxa"/>
            <w:gridSpan w:val="5"/>
            <w:vAlign w:val="center"/>
          </w:tcPr>
          <w:p w14:paraId="22CE2F7C">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left"/>
              <w:textAlignment w:val="auto"/>
              <w:rPr>
                <w:rFonts w:ascii="Times New Roman" w:hAnsi="Times New Roman" w:eastAsia="方正仿宋_GBK" w:cs="Times New Roman"/>
                <w:sz w:val="24"/>
                <w:szCs w:val="24"/>
              </w:rPr>
            </w:pPr>
            <w:r>
              <w:rPr>
                <w:rFonts w:ascii="Times New Roman" w:hAnsi="Times New Roman" w:eastAsia="方正黑体_GBK" w:cs="Times New Roman"/>
                <w:sz w:val="24"/>
                <w:szCs w:val="24"/>
              </w:rPr>
              <w:t>五、加强既有建筑改造利用</w:t>
            </w:r>
          </w:p>
        </w:tc>
      </w:tr>
      <w:tr w14:paraId="75E8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1115069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0</w:t>
            </w:r>
          </w:p>
        </w:tc>
        <w:tc>
          <w:tcPr>
            <w:tcW w:w="1967" w:type="dxa"/>
            <w:vAlign w:val="center"/>
          </w:tcPr>
          <w:p w14:paraId="22F3B199">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实施C、D级危房改造</w:t>
            </w:r>
          </w:p>
        </w:tc>
        <w:tc>
          <w:tcPr>
            <w:tcW w:w="6959" w:type="dxa"/>
            <w:vAlign w:val="center"/>
          </w:tcPr>
          <w:p w14:paraId="46638BE6">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通过原房改造、修缮加固、拆除新建等方式实施力争改造完成1340户，切实消除房屋安全隐患。探索原拆原建、自主更新模式实施危旧房改造</w:t>
            </w:r>
          </w:p>
        </w:tc>
        <w:tc>
          <w:tcPr>
            <w:tcW w:w="2083" w:type="dxa"/>
            <w:vAlign w:val="center"/>
          </w:tcPr>
          <w:p w14:paraId="202AA67B">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持续推进</w:t>
            </w:r>
          </w:p>
        </w:tc>
        <w:tc>
          <w:tcPr>
            <w:tcW w:w="1989" w:type="dxa"/>
            <w:vAlign w:val="center"/>
          </w:tcPr>
          <w:p w14:paraId="7704D9B0">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区住建委、各街道</w:t>
            </w:r>
            <w:r>
              <w:rPr>
                <w:rFonts w:ascii="Times New Roman" w:hAnsi="Times New Roman" w:eastAsia="方正仿宋_GBK" w:cs="Times New Roman"/>
                <w:sz w:val="24"/>
                <w:szCs w:val="24"/>
              </w:rPr>
              <w:t>办事处</w:t>
            </w:r>
          </w:p>
        </w:tc>
      </w:tr>
      <w:tr w14:paraId="710C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5F3E06CC">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1</w:t>
            </w:r>
          </w:p>
        </w:tc>
        <w:tc>
          <w:tcPr>
            <w:tcW w:w="1967" w:type="dxa"/>
            <w:vAlign w:val="center"/>
          </w:tcPr>
          <w:p w14:paraId="36B3C250">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盘活利用闲置商办楼宇</w:t>
            </w:r>
          </w:p>
        </w:tc>
        <w:tc>
          <w:tcPr>
            <w:tcW w:w="6959" w:type="dxa"/>
            <w:vAlign w:val="center"/>
          </w:tcPr>
          <w:p w14:paraId="1E147914">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hint="eastAsia" w:ascii="Times New Roman" w:hAnsi="Times New Roman" w:eastAsia="方正仿宋_GBK" w:cs="Times New Roman"/>
                <w:bCs/>
                <w:sz w:val="24"/>
                <w:szCs w:val="24"/>
                <w:lang w:eastAsia="zh-CN"/>
              </w:rPr>
            </w:pPr>
            <w:r>
              <w:rPr>
                <w:rFonts w:ascii="Times New Roman" w:hAnsi="Times New Roman" w:eastAsia="方正仿宋_GBK" w:cs="Times New Roman"/>
                <w:bCs/>
                <w:sz w:val="24"/>
                <w:szCs w:val="24"/>
              </w:rPr>
              <w:t>对君亭Pagoda酒店二期项目、重百大楼等商业楼宇提档升级</w:t>
            </w:r>
            <w:r>
              <w:rPr>
                <w:rFonts w:hint="eastAsia" w:ascii="Times New Roman" w:hAnsi="Times New Roman" w:eastAsia="方正仿宋_GBK" w:cs="Times New Roman"/>
                <w:bCs/>
                <w:sz w:val="24"/>
                <w:szCs w:val="24"/>
                <w:lang w:eastAsia="zh-CN"/>
              </w:rPr>
              <w:t>。</w:t>
            </w:r>
          </w:p>
        </w:tc>
        <w:tc>
          <w:tcPr>
            <w:tcW w:w="2083" w:type="dxa"/>
            <w:vAlign w:val="center"/>
          </w:tcPr>
          <w:p w14:paraId="74386606">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持续推进</w:t>
            </w:r>
          </w:p>
        </w:tc>
        <w:tc>
          <w:tcPr>
            <w:tcW w:w="1989" w:type="dxa"/>
            <w:vAlign w:val="center"/>
          </w:tcPr>
          <w:p w14:paraId="63D7E027">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区发改委</w:t>
            </w:r>
          </w:p>
        </w:tc>
      </w:tr>
      <w:tr w14:paraId="63B3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774" w:type="dxa"/>
            <w:gridSpan w:val="5"/>
            <w:vAlign w:val="center"/>
          </w:tcPr>
          <w:p w14:paraId="0F3486B1">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left"/>
              <w:textAlignment w:val="auto"/>
              <w:rPr>
                <w:rFonts w:ascii="Times New Roman" w:hAnsi="Times New Roman" w:eastAsia="方正黑体_GBK" w:cs="Times New Roman"/>
                <w:sz w:val="24"/>
                <w:szCs w:val="20"/>
              </w:rPr>
            </w:pPr>
            <w:r>
              <w:rPr>
                <w:rFonts w:ascii="Times New Roman" w:hAnsi="Times New Roman" w:eastAsia="方正黑体_GBK" w:cs="Times New Roman"/>
                <w:sz w:val="24"/>
                <w:szCs w:val="24"/>
              </w:rPr>
              <w:t>六、</w:t>
            </w:r>
            <w:r>
              <w:rPr>
                <w:rFonts w:ascii="Times New Roman" w:hAnsi="Times New Roman" w:eastAsia="方正黑体_GBK" w:cs="Times New Roman"/>
                <w:color w:val="000000"/>
                <w:sz w:val="24"/>
                <w:szCs w:val="24"/>
              </w:rPr>
              <w:t>开展现代社区建设</w:t>
            </w:r>
          </w:p>
        </w:tc>
      </w:tr>
      <w:tr w14:paraId="3E83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31F26D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2</w:t>
            </w:r>
          </w:p>
        </w:tc>
        <w:tc>
          <w:tcPr>
            <w:tcW w:w="1967" w:type="dxa"/>
            <w:vAlign w:val="center"/>
          </w:tcPr>
          <w:p w14:paraId="5FFE4E5D">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创建现代社区</w:t>
            </w:r>
          </w:p>
        </w:tc>
        <w:tc>
          <w:tcPr>
            <w:tcW w:w="6959" w:type="dxa"/>
            <w:vAlign w:val="center"/>
          </w:tcPr>
          <w:p w14:paraId="05293DD4">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打造重庆天地、民乐村首批现代社区建设样板，推进十八梯社区、曾家岩社区、人和街社区等5个现代社区创建。</w:t>
            </w:r>
          </w:p>
        </w:tc>
        <w:tc>
          <w:tcPr>
            <w:tcW w:w="2083" w:type="dxa"/>
            <w:vAlign w:val="center"/>
          </w:tcPr>
          <w:p w14:paraId="7B45954B">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2027年完成</w:t>
            </w:r>
          </w:p>
        </w:tc>
        <w:tc>
          <w:tcPr>
            <w:tcW w:w="1989" w:type="dxa"/>
            <w:vAlign w:val="center"/>
          </w:tcPr>
          <w:p w14:paraId="796F90B7">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区住建委、各街道</w:t>
            </w:r>
            <w:r>
              <w:rPr>
                <w:rFonts w:ascii="Times New Roman" w:hAnsi="Times New Roman" w:eastAsia="方正仿宋_GBK" w:cs="Times New Roman"/>
                <w:sz w:val="24"/>
                <w:szCs w:val="24"/>
              </w:rPr>
              <w:t>办事处</w:t>
            </w:r>
          </w:p>
        </w:tc>
      </w:tr>
      <w:tr w14:paraId="5AEB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05E7E22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3</w:t>
            </w:r>
          </w:p>
        </w:tc>
        <w:tc>
          <w:tcPr>
            <w:tcW w:w="1967" w:type="dxa"/>
            <w:vAlign w:val="center"/>
          </w:tcPr>
          <w:p w14:paraId="695FF40C">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15分钟高品质生活服务圈</w:t>
            </w:r>
          </w:p>
        </w:tc>
        <w:tc>
          <w:tcPr>
            <w:tcW w:w="6959" w:type="dxa"/>
            <w:vAlign w:val="center"/>
          </w:tcPr>
          <w:p w14:paraId="1C558C0D">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rPr>
              <w:t>构建公共服务多元供给格局，打造11个15分钟高品质生活服务圈。</w:t>
            </w:r>
          </w:p>
        </w:tc>
        <w:tc>
          <w:tcPr>
            <w:tcW w:w="2083" w:type="dxa"/>
            <w:vAlign w:val="center"/>
          </w:tcPr>
          <w:p w14:paraId="20F6767A">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2027年完成</w:t>
            </w:r>
          </w:p>
        </w:tc>
        <w:tc>
          <w:tcPr>
            <w:tcW w:w="1989" w:type="dxa"/>
            <w:vAlign w:val="center"/>
          </w:tcPr>
          <w:p w14:paraId="0CE1550D">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区发改委</w:t>
            </w:r>
          </w:p>
        </w:tc>
      </w:tr>
      <w:tr w14:paraId="7F93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76" w:type="dxa"/>
            <w:vAlign w:val="center"/>
          </w:tcPr>
          <w:p w14:paraId="1C6789A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4</w:t>
            </w:r>
          </w:p>
        </w:tc>
        <w:tc>
          <w:tcPr>
            <w:tcW w:w="1967" w:type="dxa"/>
            <w:vAlign w:val="center"/>
          </w:tcPr>
          <w:p w14:paraId="19010A5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养老服务设施项目</w:t>
            </w:r>
          </w:p>
        </w:tc>
        <w:tc>
          <w:tcPr>
            <w:tcW w:w="6959" w:type="dxa"/>
            <w:vAlign w:val="center"/>
          </w:tcPr>
          <w:p w14:paraId="14D8EF2D">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改造或新建南纪门养老服务中心装修改造工程、红岩村社区养老食堂等一批养老服务设施。</w:t>
            </w:r>
          </w:p>
        </w:tc>
        <w:tc>
          <w:tcPr>
            <w:tcW w:w="2083" w:type="dxa"/>
            <w:vAlign w:val="center"/>
          </w:tcPr>
          <w:p w14:paraId="59B65D0F">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bCs/>
                <w:sz w:val="24"/>
                <w:szCs w:val="24"/>
              </w:rPr>
              <w:t>持续推进</w:t>
            </w:r>
          </w:p>
        </w:tc>
        <w:tc>
          <w:tcPr>
            <w:tcW w:w="1989" w:type="dxa"/>
            <w:vAlign w:val="center"/>
          </w:tcPr>
          <w:p w14:paraId="0E4419D1">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区民政局</w:t>
            </w:r>
          </w:p>
        </w:tc>
      </w:tr>
      <w:tr w14:paraId="29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785" w:type="dxa"/>
            <w:gridSpan w:val="4"/>
            <w:vAlign w:val="center"/>
          </w:tcPr>
          <w:p w14:paraId="31DCF8B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left"/>
              <w:rPr>
                <w:rFonts w:ascii="Times New Roman" w:hAnsi="Times New Roman" w:eastAsia="方正仿宋_GBK" w:cs="Times New Roman"/>
                <w:sz w:val="24"/>
                <w:szCs w:val="24"/>
              </w:rPr>
            </w:pPr>
            <w:r>
              <w:rPr>
                <w:rFonts w:ascii="Times New Roman" w:hAnsi="Times New Roman" w:eastAsia="方正黑体_GBK" w:cs="Times New Roman"/>
                <w:color w:val="000000"/>
                <w:sz w:val="24"/>
                <w:szCs w:val="24"/>
              </w:rPr>
              <w:t>七、加强城市基础设施建设改造</w:t>
            </w:r>
          </w:p>
        </w:tc>
        <w:tc>
          <w:tcPr>
            <w:tcW w:w="1989" w:type="dxa"/>
            <w:vAlign w:val="center"/>
          </w:tcPr>
          <w:p w14:paraId="3C6B76E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left"/>
              <w:rPr>
                <w:rFonts w:ascii="Times New Roman" w:hAnsi="Times New Roman" w:eastAsia="方正黑体_GBK" w:cs="Times New Roman"/>
                <w:sz w:val="24"/>
                <w:szCs w:val="24"/>
              </w:rPr>
            </w:pPr>
          </w:p>
        </w:tc>
      </w:tr>
      <w:tr w14:paraId="5EA2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5A905325">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5</w:t>
            </w:r>
          </w:p>
        </w:tc>
        <w:tc>
          <w:tcPr>
            <w:tcW w:w="1967" w:type="dxa"/>
            <w:vAlign w:val="center"/>
          </w:tcPr>
          <w:p w14:paraId="3693317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轨道18号线北延伸段</w:t>
            </w:r>
          </w:p>
        </w:tc>
        <w:tc>
          <w:tcPr>
            <w:tcW w:w="6959" w:type="dxa"/>
            <w:vAlign w:val="center"/>
          </w:tcPr>
          <w:p w14:paraId="7679896C">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center"/>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全线设车站8座，大坪西站、黄沙溪站、菜袁路站、重庆站、七星岗站、十八梯站、凯旋路站、小什字站，线路全长10.6公里</w:t>
            </w:r>
            <w:r>
              <w:rPr>
                <w:rFonts w:hint="eastAsia" w:ascii="Times New Roman" w:hAnsi="Times New Roman" w:eastAsia="方正仿宋_GBK" w:cs="Times New Roman"/>
                <w:kern w:val="0"/>
                <w:sz w:val="24"/>
                <w:szCs w:val="24"/>
                <w:lang w:eastAsia="zh-CN"/>
              </w:rPr>
              <w:t>。</w:t>
            </w:r>
          </w:p>
        </w:tc>
        <w:tc>
          <w:tcPr>
            <w:tcW w:w="2083" w:type="dxa"/>
            <w:vAlign w:val="center"/>
          </w:tcPr>
          <w:p w14:paraId="6F129070">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2027年完工</w:t>
            </w:r>
          </w:p>
        </w:tc>
        <w:tc>
          <w:tcPr>
            <w:tcW w:w="1989" w:type="dxa"/>
            <w:vAlign w:val="center"/>
          </w:tcPr>
          <w:p w14:paraId="4240EA0D">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市轨道集团</w:t>
            </w:r>
            <w:r>
              <w:rPr>
                <w:rFonts w:ascii="Times New Roman" w:hAnsi="Times New Roman" w:eastAsia="方正仿宋_GBK" w:cs="Times New Roman"/>
                <w:kern w:val="0"/>
                <w:sz w:val="24"/>
                <w:szCs w:val="24"/>
              </w:rPr>
              <w:br w:type="textWrapping"/>
            </w:r>
            <w:r>
              <w:rPr>
                <w:rFonts w:ascii="Times New Roman" w:hAnsi="Times New Roman" w:eastAsia="方正仿宋_GBK" w:cs="Times New Roman"/>
                <w:kern w:val="0"/>
                <w:sz w:val="24"/>
                <w:szCs w:val="24"/>
              </w:rPr>
              <w:t>（区住建委）</w:t>
            </w:r>
          </w:p>
        </w:tc>
      </w:tr>
      <w:tr w14:paraId="5C91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C80BC38">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6</w:t>
            </w:r>
          </w:p>
        </w:tc>
        <w:tc>
          <w:tcPr>
            <w:tcW w:w="1967" w:type="dxa"/>
            <w:vAlign w:val="center"/>
          </w:tcPr>
          <w:p w14:paraId="7A3A408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sz w:val="24"/>
                <w:szCs w:val="24"/>
              </w:rPr>
            </w:pPr>
            <w:r>
              <w:rPr>
                <w:rFonts w:ascii="Times New Roman" w:hAnsi="Times New Roman" w:eastAsia="方正仿宋_GBK" w:cs="Times New Roman"/>
                <w:bCs/>
                <w:kern w:val="0"/>
                <w:sz w:val="24"/>
                <w:szCs w:val="24"/>
              </w:rPr>
              <w:t>27号线建设</w:t>
            </w:r>
          </w:p>
        </w:tc>
        <w:tc>
          <w:tcPr>
            <w:tcW w:w="6959" w:type="dxa"/>
            <w:vAlign w:val="center"/>
          </w:tcPr>
          <w:p w14:paraId="10491D68">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center"/>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渝中段线路长度约7.6公里，设重医站（原大坪西站）、重庆站，共2站2区间</w:t>
            </w:r>
            <w:r>
              <w:rPr>
                <w:rFonts w:hint="eastAsia" w:ascii="Times New Roman" w:hAnsi="Times New Roman" w:eastAsia="方正仿宋_GBK" w:cs="Times New Roman"/>
                <w:kern w:val="0"/>
                <w:sz w:val="24"/>
                <w:szCs w:val="24"/>
                <w:lang w:eastAsia="zh-CN"/>
              </w:rPr>
              <w:t>。</w:t>
            </w:r>
          </w:p>
        </w:tc>
        <w:tc>
          <w:tcPr>
            <w:tcW w:w="2083" w:type="dxa"/>
            <w:vAlign w:val="center"/>
          </w:tcPr>
          <w:p w14:paraId="680FBC3C">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2027年完工</w:t>
            </w:r>
          </w:p>
        </w:tc>
        <w:tc>
          <w:tcPr>
            <w:tcW w:w="1989" w:type="dxa"/>
            <w:vAlign w:val="center"/>
          </w:tcPr>
          <w:p w14:paraId="1C030D7D">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重铁集团</w:t>
            </w:r>
            <w:r>
              <w:rPr>
                <w:rFonts w:ascii="Times New Roman" w:hAnsi="Times New Roman" w:eastAsia="方正仿宋_GBK" w:cs="Times New Roman"/>
                <w:kern w:val="0"/>
                <w:sz w:val="24"/>
                <w:szCs w:val="24"/>
              </w:rPr>
              <w:br w:type="textWrapping"/>
            </w:r>
            <w:r>
              <w:rPr>
                <w:rFonts w:ascii="Times New Roman" w:hAnsi="Times New Roman" w:eastAsia="方正仿宋_GBK" w:cs="Times New Roman"/>
                <w:kern w:val="0"/>
                <w:sz w:val="24"/>
                <w:szCs w:val="24"/>
              </w:rPr>
              <w:t>（区住建委）</w:t>
            </w:r>
          </w:p>
        </w:tc>
      </w:tr>
      <w:tr w14:paraId="3D2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AFC39B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7</w:t>
            </w:r>
          </w:p>
        </w:tc>
        <w:tc>
          <w:tcPr>
            <w:tcW w:w="1967" w:type="dxa"/>
            <w:vAlign w:val="center"/>
          </w:tcPr>
          <w:p w14:paraId="2F11B3C8">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bCs/>
                <w:kern w:val="0"/>
                <w:sz w:val="24"/>
                <w:szCs w:val="24"/>
              </w:rPr>
            </w:pPr>
            <w:r>
              <w:rPr>
                <w:rFonts w:ascii="Times New Roman" w:hAnsi="Times New Roman" w:eastAsia="方正仿宋_GBK" w:cs="Times New Roman"/>
                <w:bCs/>
                <w:kern w:val="0"/>
                <w:sz w:val="24"/>
                <w:szCs w:val="24"/>
              </w:rPr>
              <w:t>轨道交通李子坝车站更新改造</w:t>
            </w:r>
          </w:p>
        </w:tc>
        <w:tc>
          <w:tcPr>
            <w:tcW w:w="6959" w:type="dxa"/>
            <w:vAlign w:val="center"/>
          </w:tcPr>
          <w:p w14:paraId="345BC623">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center"/>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对李子坝车站站台和站厅进行局部拓宽、增加无障碍电扶梯、卫生间适老化升级改造</w:t>
            </w:r>
            <w:r>
              <w:rPr>
                <w:rFonts w:hint="eastAsia" w:ascii="Times New Roman" w:hAnsi="Times New Roman" w:eastAsia="方正仿宋_GBK" w:cs="Times New Roman"/>
                <w:kern w:val="0"/>
                <w:sz w:val="24"/>
                <w:szCs w:val="24"/>
                <w:lang w:eastAsia="zh-CN"/>
              </w:rPr>
              <w:t>。</w:t>
            </w:r>
          </w:p>
        </w:tc>
        <w:tc>
          <w:tcPr>
            <w:tcW w:w="2083" w:type="dxa"/>
            <w:vAlign w:val="center"/>
          </w:tcPr>
          <w:p w14:paraId="064847B6">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2027年完工</w:t>
            </w:r>
          </w:p>
        </w:tc>
        <w:tc>
          <w:tcPr>
            <w:tcW w:w="1989" w:type="dxa"/>
            <w:vAlign w:val="center"/>
          </w:tcPr>
          <w:p w14:paraId="365555C3">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市轨道集团</w:t>
            </w:r>
          </w:p>
          <w:p w14:paraId="0673E51F">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4C5F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21699B6">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8</w:t>
            </w:r>
          </w:p>
        </w:tc>
        <w:tc>
          <w:tcPr>
            <w:tcW w:w="1967" w:type="dxa"/>
            <w:vAlign w:val="center"/>
          </w:tcPr>
          <w:p w14:paraId="4B146A4F">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渝中半岛老旧</w:t>
            </w:r>
            <w:r>
              <w:rPr>
                <w:rFonts w:hint="eastAsia" w:ascii="Times New Roman" w:hAnsi="Times New Roman" w:eastAsia="方正仿宋_GBK" w:cs="Times New Roman"/>
                <w:kern w:val="0"/>
                <w:sz w:val="24"/>
                <w:szCs w:val="24"/>
                <w:lang w:eastAsia="zh-CN"/>
              </w:rPr>
              <w:t>污</w:t>
            </w:r>
            <w:r>
              <w:rPr>
                <w:rFonts w:ascii="Times New Roman" w:hAnsi="Times New Roman" w:eastAsia="方正仿宋_GBK" w:cs="Times New Roman"/>
                <w:kern w:val="0"/>
                <w:sz w:val="24"/>
                <w:szCs w:val="24"/>
              </w:rPr>
              <w:t>水管网更新换代工程</w:t>
            </w:r>
          </w:p>
        </w:tc>
        <w:tc>
          <w:tcPr>
            <w:tcW w:w="6959" w:type="dxa"/>
            <w:vAlign w:val="center"/>
          </w:tcPr>
          <w:p w14:paraId="75AB60A3">
            <w:pPr>
              <w:keepNext w:val="0"/>
              <w:keepLines w:val="0"/>
              <w:pageBreakBefore w:val="0"/>
              <w:widowControl w:val="0"/>
              <w:kinsoku/>
              <w:wordWrap/>
              <w:overflowPunct/>
              <w:topLinePunct w:val="0"/>
              <w:autoSpaceDE/>
              <w:autoSpaceDN/>
              <w:bidi w:val="0"/>
              <w:spacing w:beforeAutospacing="0" w:afterAutospacing="0" w:line="316" w:lineRule="exact"/>
              <w:jc w:val="both"/>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对渝中半岛约16km的缺陷排水管网进行修复。</w:t>
            </w:r>
          </w:p>
        </w:tc>
        <w:tc>
          <w:tcPr>
            <w:tcW w:w="2083" w:type="dxa"/>
            <w:vAlign w:val="center"/>
          </w:tcPr>
          <w:p w14:paraId="0A2B4524">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kern w:val="0"/>
                <w:sz w:val="24"/>
                <w:szCs w:val="24"/>
              </w:rPr>
              <w:t>2027年完工</w:t>
            </w:r>
          </w:p>
        </w:tc>
        <w:tc>
          <w:tcPr>
            <w:tcW w:w="1989" w:type="dxa"/>
            <w:vAlign w:val="center"/>
          </w:tcPr>
          <w:p w14:paraId="0411A769">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62B8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E4D4DD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39</w:t>
            </w:r>
          </w:p>
        </w:tc>
        <w:tc>
          <w:tcPr>
            <w:tcW w:w="1967" w:type="dxa"/>
            <w:vAlign w:val="center"/>
          </w:tcPr>
          <w:p w14:paraId="1D4C6131">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渝中半岛解放碑片区雨水通道改造项目</w:t>
            </w:r>
          </w:p>
        </w:tc>
        <w:tc>
          <w:tcPr>
            <w:tcW w:w="6959" w:type="dxa"/>
            <w:vAlign w:val="center"/>
          </w:tcPr>
          <w:p w14:paraId="6F5A073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建设内容为解放碑片区新建雨水管网7.73公里，包含北区路、双钢路、捍卫路、华一路、新德村、临江路、民生路、中山一路、金汤街、中华路、五一路、新华路等12条道路。</w:t>
            </w:r>
          </w:p>
        </w:tc>
        <w:tc>
          <w:tcPr>
            <w:tcW w:w="2083" w:type="dxa"/>
            <w:vAlign w:val="center"/>
          </w:tcPr>
          <w:p w14:paraId="52CBDCAA">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75FB999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5B18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60A10735">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0</w:t>
            </w:r>
          </w:p>
        </w:tc>
        <w:tc>
          <w:tcPr>
            <w:tcW w:w="1967" w:type="dxa"/>
            <w:vAlign w:val="center"/>
          </w:tcPr>
          <w:p w14:paraId="610C8F79">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渝中半岛上清寺片区雨水通道改造项目</w:t>
            </w:r>
          </w:p>
        </w:tc>
        <w:tc>
          <w:tcPr>
            <w:tcW w:w="6959" w:type="dxa"/>
            <w:vAlign w:val="center"/>
          </w:tcPr>
          <w:p w14:paraId="25B5B848">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建设内容为上清寺片区新建雨水管网7.24公里，包含上清寺路、中山二路、中山三路、中山四路、人民路、人和街、枣子岚垭正街、华福巷等8条道路。</w:t>
            </w:r>
          </w:p>
        </w:tc>
        <w:tc>
          <w:tcPr>
            <w:tcW w:w="2083" w:type="dxa"/>
            <w:vAlign w:val="center"/>
          </w:tcPr>
          <w:p w14:paraId="3188CF3B">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1DA4461B">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7182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311F47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1</w:t>
            </w:r>
          </w:p>
        </w:tc>
        <w:tc>
          <w:tcPr>
            <w:tcW w:w="1967" w:type="dxa"/>
            <w:vAlign w:val="center"/>
          </w:tcPr>
          <w:p w14:paraId="69FCA5D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渝中半岛长江沿线流域雨水通道改造项目</w:t>
            </w:r>
          </w:p>
        </w:tc>
        <w:tc>
          <w:tcPr>
            <w:tcW w:w="6959" w:type="dxa"/>
            <w:vAlign w:val="center"/>
          </w:tcPr>
          <w:p w14:paraId="3DCEB29C">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建设内容为半岛下半城片区新建雨水管网8.6公里，包含新华路、巴县衙门、民生路、和平路、中兴路、公园路、中山三路、民权路、新民街、金汤街、磁器街、琵琶山正街，琵琶山后街，石板坡正街等14条道路。</w:t>
            </w:r>
          </w:p>
        </w:tc>
        <w:tc>
          <w:tcPr>
            <w:tcW w:w="2083" w:type="dxa"/>
            <w:vAlign w:val="center"/>
          </w:tcPr>
          <w:p w14:paraId="3A9829E5">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744180BF">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51CC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76" w:type="dxa"/>
            <w:vAlign w:val="center"/>
          </w:tcPr>
          <w:p w14:paraId="6309369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2</w:t>
            </w:r>
          </w:p>
        </w:tc>
        <w:tc>
          <w:tcPr>
            <w:tcW w:w="1967" w:type="dxa"/>
            <w:vAlign w:val="center"/>
          </w:tcPr>
          <w:p w14:paraId="0FD727DB">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渝中区南区路片区老旧人防排危改造</w:t>
            </w:r>
          </w:p>
        </w:tc>
        <w:tc>
          <w:tcPr>
            <w:tcW w:w="6959" w:type="dxa"/>
            <w:vAlign w:val="center"/>
          </w:tcPr>
          <w:p w14:paraId="2AC4734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对南区路片区约1.4万平方米老旧人防进行排危改造，改造后人防工程总规模约2万平方米。</w:t>
            </w:r>
          </w:p>
        </w:tc>
        <w:tc>
          <w:tcPr>
            <w:tcW w:w="2083" w:type="dxa"/>
            <w:vAlign w:val="center"/>
          </w:tcPr>
          <w:p w14:paraId="40818527">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2026年完工</w:t>
            </w:r>
          </w:p>
        </w:tc>
        <w:tc>
          <w:tcPr>
            <w:tcW w:w="1989" w:type="dxa"/>
            <w:vAlign w:val="center"/>
          </w:tcPr>
          <w:p w14:paraId="61BFD1ED">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w:t>
            </w:r>
            <w:r>
              <w:rPr>
                <w:rFonts w:hint="eastAsia" w:ascii="Times New Roman" w:hAnsi="Times New Roman" w:eastAsia="方正仿宋_GBK" w:cs="Times New Roman"/>
                <w:kern w:val="0"/>
                <w:sz w:val="24"/>
                <w:szCs w:val="24"/>
                <w:lang w:eastAsia="zh-CN"/>
              </w:rPr>
              <w:t>国动</w:t>
            </w:r>
            <w:r>
              <w:rPr>
                <w:rFonts w:ascii="Times New Roman" w:hAnsi="Times New Roman" w:eastAsia="方正仿宋_GBK" w:cs="Times New Roman"/>
                <w:kern w:val="0"/>
                <w:sz w:val="24"/>
                <w:szCs w:val="24"/>
              </w:rPr>
              <w:t>办</w:t>
            </w:r>
          </w:p>
        </w:tc>
      </w:tr>
      <w:tr w14:paraId="0CF2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EDD6FC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3</w:t>
            </w:r>
          </w:p>
        </w:tc>
        <w:tc>
          <w:tcPr>
            <w:tcW w:w="1967" w:type="dxa"/>
            <w:vAlign w:val="center"/>
          </w:tcPr>
          <w:p w14:paraId="5289567F">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bCs/>
                <w:kern w:val="0"/>
                <w:sz w:val="24"/>
                <w:szCs w:val="24"/>
              </w:rPr>
            </w:pPr>
            <w:r>
              <w:rPr>
                <w:rFonts w:ascii="Times New Roman" w:hAnsi="Times New Roman" w:eastAsia="方正仿宋_GBK" w:cs="Times New Roman"/>
                <w:bCs/>
                <w:kern w:val="0"/>
                <w:sz w:val="24"/>
                <w:szCs w:val="24"/>
              </w:rPr>
              <w:t>黄花园片区老旧小区配套基础设施建设工程</w:t>
            </w:r>
          </w:p>
        </w:tc>
        <w:tc>
          <w:tcPr>
            <w:tcW w:w="6959" w:type="dxa"/>
            <w:vAlign w:val="center"/>
          </w:tcPr>
          <w:p w14:paraId="2CFDF594">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新建小区外与城市主干网衔接道440米（双钢路社区与嘉滨路及北区路连接道）。</w:t>
            </w:r>
          </w:p>
        </w:tc>
        <w:tc>
          <w:tcPr>
            <w:tcW w:w="2083" w:type="dxa"/>
            <w:vAlign w:val="center"/>
          </w:tcPr>
          <w:p w14:paraId="2331F6A1">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bCs/>
                <w:sz w:val="24"/>
                <w:szCs w:val="24"/>
              </w:rPr>
              <w:t>2027年完工</w:t>
            </w:r>
          </w:p>
        </w:tc>
        <w:tc>
          <w:tcPr>
            <w:tcW w:w="1989" w:type="dxa"/>
            <w:vAlign w:val="center"/>
          </w:tcPr>
          <w:p w14:paraId="68256B75">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00BF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FED3019">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4</w:t>
            </w:r>
          </w:p>
        </w:tc>
        <w:tc>
          <w:tcPr>
            <w:tcW w:w="1967" w:type="dxa"/>
            <w:vAlign w:val="center"/>
          </w:tcPr>
          <w:p w14:paraId="7C20466D">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bCs/>
                <w:kern w:val="0"/>
                <w:sz w:val="24"/>
                <w:szCs w:val="24"/>
              </w:rPr>
            </w:pPr>
            <w:r>
              <w:rPr>
                <w:rFonts w:ascii="Times New Roman" w:hAnsi="Times New Roman" w:eastAsia="方正仿宋_GBK" w:cs="Times New Roman"/>
                <w:bCs/>
                <w:kern w:val="0"/>
                <w:sz w:val="24"/>
                <w:szCs w:val="24"/>
              </w:rPr>
              <w:t>七星岗轨道配套设施建设</w:t>
            </w:r>
          </w:p>
        </w:tc>
        <w:tc>
          <w:tcPr>
            <w:tcW w:w="6959" w:type="dxa"/>
            <w:vAlign w:val="center"/>
          </w:tcPr>
          <w:p w14:paraId="5838C1F1">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利用轨道七星岗站闲置地块作为轨道配套设施用地，占地面积约3000平方米，建筑面积约6000平方米，利用地块地下空间配建具备充电功能的新能源公交停车场，优化主干道路幅及开口并串联罗宾森项目停车库，增加公共文体空间和配套商业空间，缓解片区停车难问题</w:t>
            </w:r>
            <w:r>
              <w:rPr>
                <w:rFonts w:hint="eastAsia" w:ascii="Times New Roman" w:hAnsi="Times New Roman" w:eastAsia="方正仿宋_GBK" w:cs="Times New Roman"/>
                <w:kern w:val="0"/>
                <w:sz w:val="24"/>
                <w:szCs w:val="24"/>
                <w:lang w:eastAsia="zh-CN"/>
              </w:rPr>
              <w:t>。</w:t>
            </w:r>
          </w:p>
        </w:tc>
        <w:tc>
          <w:tcPr>
            <w:tcW w:w="2083" w:type="dxa"/>
            <w:vAlign w:val="center"/>
          </w:tcPr>
          <w:p w14:paraId="00686D58">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bCs/>
                <w:sz w:val="24"/>
                <w:szCs w:val="24"/>
              </w:rPr>
              <w:t>2027年开工</w:t>
            </w:r>
          </w:p>
        </w:tc>
        <w:tc>
          <w:tcPr>
            <w:tcW w:w="1989" w:type="dxa"/>
            <w:vAlign w:val="center"/>
          </w:tcPr>
          <w:p w14:paraId="2AD213B0">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市轨道交通集团</w:t>
            </w:r>
          </w:p>
          <w:p w14:paraId="797FC5E4">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102D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2EE356B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5</w:t>
            </w:r>
          </w:p>
        </w:tc>
        <w:tc>
          <w:tcPr>
            <w:tcW w:w="1967" w:type="dxa"/>
            <w:vAlign w:val="center"/>
          </w:tcPr>
          <w:p w14:paraId="5C83B9BD">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bCs/>
                <w:kern w:val="0"/>
                <w:sz w:val="24"/>
                <w:szCs w:val="24"/>
              </w:rPr>
              <w:t>轨道26号线</w:t>
            </w:r>
          </w:p>
        </w:tc>
        <w:tc>
          <w:tcPr>
            <w:tcW w:w="6959" w:type="dxa"/>
            <w:vAlign w:val="center"/>
          </w:tcPr>
          <w:p w14:paraId="049BC289">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hint="eastAsia" w:ascii="Times New Roman" w:hAnsi="Times New Roman" w:eastAsia="方正仿宋_GBK" w:cs="Times New Roman"/>
                <w:sz w:val="24"/>
                <w:szCs w:val="24"/>
                <w:lang w:eastAsia="zh-CN"/>
              </w:rPr>
            </w:pPr>
            <w:r>
              <w:rPr>
                <w:rFonts w:ascii="Times New Roman" w:hAnsi="Times New Roman" w:eastAsia="方正仿宋_GBK" w:cs="Times New Roman"/>
                <w:kern w:val="0"/>
                <w:sz w:val="24"/>
                <w:szCs w:val="24"/>
              </w:rPr>
              <w:t>全线长约41.9公里，起于沙坪坝区重庆西站，止于江北机场T3航站楼站。渝中区内线路长度8.1公里，均为地下线，设站三座。重点工程为嘉陵江过江隧道</w:t>
            </w:r>
            <w:r>
              <w:rPr>
                <w:rFonts w:hint="eastAsia" w:ascii="Times New Roman" w:hAnsi="Times New Roman" w:eastAsia="方正仿宋_GBK" w:cs="Times New Roman"/>
                <w:kern w:val="0"/>
                <w:sz w:val="24"/>
                <w:szCs w:val="24"/>
                <w:lang w:eastAsia="zh-CN"/>
              </w:rPr>
              <w:t>。</w:t>
            </w:r>
          </w:p>
        </w:tc>
        <w:tc>
          <w:tcPr>
            <w:tcW w:w="2083" w:type="dxa"/>
            <w:vAlign w:val="center"/>
          </w:tcPr>
          <w:p w14:paraId="1B2DD501">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bCs/>
                <w:sz w:val="24"/>
                <w:szCs w:val="24"/>
              </w:rPr>
              <w:t>2027年完成前期策划</w:t>
            </w:r>
          </w:p>
        </w:tc>
        <w:tc>
          <w:tcPr>
            <w:tcW w:w="1989" w:type="dxa"/>
            <w:vAlign w:val="center"/>
          </w:tcPr>
          <w:p w14:paraId="26418283">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区住建委</w:t>
            </w:r>
          </w:p>
        </w:tc>
      </w:tr>
      <w:tr w14:paraId="547E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76" w:type="dxa"/>
            <w:vAlign w:val="center"/>
          </w:tcPr>
          <w:p w14:paraId="622B18D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6</w:t>
            </w:r>
          </w:p>
        </w:tc>
        <w:tc>
          <w:tcPr>
            <w:tcW w:w="1967" w:type="dxa"/>
            <w:vAlign w:val="center"/>
          </w:tcPr>
          <w:p w14:paraId="55336AFF">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地下交通设施建设</w:t>
            </w:r>
          </w:p>
        </w:tc>
        <w:tc>
          <w:tcPr>
            <w:tcW w:w="6959" w:type="dxa"/>
            <w:vAlign w:val="center"/>
          </w:tcPr>
          <w:p w14:paraId="54AF421A">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推动重医附一院地下通道、时代天街地下空间等一批地下交通设施改造建设。</w:t>
            </w:r>
          </w:p>
        </w:tc>
        <w:tc>
          <w:tcPr>
            <w:tcW w:w="2083" w:type="dxa"/>
            <w:vAlign w:val="center"/>
          </w:tcPr>
          <w:p w14:paraId="25A6573D">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持续推进</w:t>
            </w:r>
          </w:p>
        </w:tc>
        <w:tc>
          <w:tcPr>
            <w:tcW w:w="1989" w:type="dxa"/>
            <w:vAlign w:val="center"/>
          </w:tcPr>
          <w:p w14:paraId="5737BC22">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7F19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76" w:type="dxa"/>
            <w:vAlign w:val="center"/>
          </w:tcPr>
          <w:p w14:paraId="7A866609">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7</w:t>
            </w:r>
          </w:p>
        </w:tc>
        <w:tc>
          <w:tcPr>
            <w:tcW w:w="1967" w:type="dxa"/>
            <w:vAlign w:val="center"/>
          </w:tcPr>
          <w:p w14:paraId="5BE5ED22">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道路建设项目</w:t>
            </w:r>
          </w:p>
        </w:tc>
        <w:tc>
          <w:tcPr>
            <w:tcW w:w="6959" w:type="dxa"/>
            <w:vAlign w:val="center"/>
          </w:tcPr>
          <w:p w14:paraId="2AC53030">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推动红云路、卡福厂老旧小区配套道路、黄花园配套道路、上肖家湾道路、重庆长滨道路下穿工程、站北路及东西侧立交等6条道路建设。</w:t>
            </w:r>
          </w:p>
        </w:tc>
        <w:tc>
          <w:tcPr>
            <w:tcW w:w="2083" w:type="dxa"/>
            <w:vAlign w:val="center"/>
          </w:tcPr>
          <w:p w14:paraId="1F4DB066">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2027年完工四条道路</w:t>
            </w:r>
          </w:p>
        </w:tc>
        <w:tc>
          <w:tcPr>
            <w:tcW w:w="1989" w:type="dxa"/>
            <w:vAlign w:val="center"/>
          </w:tcPr>
          <w:p w14:paraId="3FDD776B">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0CA2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76" w:type="dxa"/>
            <w:vAlign w:val="center"/>
          </w:tcPr>
          <w:p w14:paraId="4C1DE6E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8</w:t>
            </w:r>
          </w:p>
        </w:tc>
        <w:tc>
          <w:tcPr>
            <w:tcW w:w="1967" w:type="dxa"/>
            <w:vAlign w:val="center"/>
          </w:tcPr>
          <w:p w14:paraId="5603E0D9">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停车场增补共享</w:t>
            </w:r>
          </w:p>
        </w:tc>
        <w:tc>
          <w:tcPr>
            <w:tcW w:w="6959" w:type="dxa"/>
            <w:vAlign w:val="center"/>
          </w:tcPr>
          <w:p w14:paraId="27676833">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盘活边角闲置空间，打造一批小微停车场，推动医院、商圈、景区等高需求场所与周边停车资源共享，促进停车资源全天错峰高效利用。</w:t>
            </w:r>
          </w:p>
        </w:tc>
        <w:tc>
          <w:tcPr>
            <w:tcW w:w="2083" w:type="dxa"/>
            <w:vAlign w:val="center"/>
          </w:tcPr>
          <w:p w14:paraId="0F62F8C5">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持续推进</w:t>
            </w:r>
          </w:p>
        </w:tc>
        <w:tc>
          <w:tcPr>
            <w:tcW w:w="1989" w:type="dxa"/>
            <w:vAlign w:val="center"/>
          </w:tcPr>
          <w:p w14:paraId="5B48C980">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区城管局</w:t>
            </w:r>
          </w:p>
        </w:tc>
      </w:tr>
      <w:tr w14:paraId="72D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F3A12D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49</w:t>
            </w:r>
          </w:p>
        </w:tc>
        <w:tc>
          <w:tcPr>
            <w:tcW w:w="1967" w:type="dxa"/>
            <w:vAlign w:val="center"/>
          </w:tcPr>
          <w:p w14:paraId="58B30198">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小型消防站建设</w:t>
            </w:r>
          </w:p>
        </w:tc>
        <w:tc>
          <w:tcPr>
            <w:tcW w:w="6959" w:type="dxa"/>
            <w:vAlign w:val="center"/>
          </w:tcPr>
          <w:p w14:paraId="4A8438A4">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hint="eastAsia" w:ascii="Times New Roman" w:hAnsi="Times New Roman" w:eastAsia="方正仿宋_GBK" w:cs="Times New Roman"/>
                <w:sz w:val="24"/>
                <w:szCs w:val="24"/>
                <w:highlight w:val="yellow"/>
                <w:lang w:eastAsia="zh-CN"/>
              </w:rPr>
            </w:pPr>
            <w:r>
              <w:rPr>
                <w:rFonts w:ascii="Times New Roman" w:hAnsi="Times New Roman" w:eastAsia="方正仿宋_GBK" w:cs="Times New Roman"/>
                <w:color w:val="000000"/>
                <w:kern w:val="0"/>
                <w:sz w:val="24"/>
                <w:szCs w:val="24"/>
              </w:rPr>
              <w:t>建设十八梯、洪崖洞、陆海国际、龙湖时代天街、解放碑区域小型消防站</w:t>
            </w:r>
            <w:r>
              <w:rPr>
                <w:rFonts w:hint="eastAsia" w:ascii="Times New Roman" w:hAnsi="Times New Roman" w:eastAsia="方正仿宋_GBK" w:cs="Times New Roman"/>
                <w:color w:val="000000"/>
                <w:kern w:val="0"/>
                <w:sz w:val="24"/>
                <w:szCs w:val="24"/>
                <w:lang w:eastAsia="zh-CN"/>
              </w:rPr>
              <w:t>。</w:t>
            </w:r>
          </w:p>
        </w:tc>
        <w:tc>
          <w:tcPr>
            <w:tcW w:w="2083" w:type="dxa"/>
            <w:vAlign w:val="center"/>
          </w:tcPr>
          <w:p w14:paraId="76421240">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持续推进</w:t>
            </w:r>
          </w:p>
        </w:tc>
        <w:tc>
          <w:tcPr>
            <w:tcW w:w="1989" w:type="dxa"/>
            <w:vAlign w:val="center"/>
          </w:tcPr>
          <w:p w14:paraId="3F6CFEA2">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center"/>
              <w:rPr>
                <w:rFonts w:hint="eastAsia" w:ascii="Times New Roman" w:hAnsi="Times New Roman" w:eastAsia="方正仿宋_GBK" w:cs="Times New Roman"/>
                <w:sz w:val="24"/>
                <w:szCs w:val="24"/>
                <w:highlight w:val="yellow"/>
                <w:lang w:eastAsia="zh-CN"/>
              </w:rPr>
            </w:pPr>
            <w:r>
              <w:rPr>
                <w:rFonts w:ascii="Times New Roman" w:hAnsi="Times New Roman" w:eastAsia="方正仿宋_GBK" w:cs="Times New Roman"/>
                <w:spacing w:val="0"/>
                <w:kern w:val="0"/>
                <w:sz w:val="24"/>
                <w:szCs w:val="24"/>
              </w:rPr>
              <w:t>区消防</w:t>
            </w:r>
            <w:r>
              <w:rPr>
                <w:rFonts w:hint="eastAsia" w:ascii="Times New Roman" w:hAnsi="Times New Roman" w:eastAsia="方正仿宋_GBK" w:cs="Times New Roman"/>
                <w:spacing w:val="0"/>
                <w:kern w:val="0"/>
                <w:sz w:val="24"/>
                <w:szCs w:val="24"/>
                <w:lang w:eastAsia="zh-CN"/>
              </w:rPr>
              <w:t>救援局</w:t>
            </w:r>
          </w:p>
        </w:tc>
      </w:tr>
      <w:tr w14:paraId="3A7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785" w:type="dxa"/>
            <w:gridSpan w:val="4"/>
            <w:vAlign w:val="center"/>
          </w:tcPr>
          <w:p w14:paraId="1ED8BF48">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left"/>
              <w:rPr>
                <w:rFonts w:ascii="Times New Roman" w:hAnsi="Times New Roman" w:eastAsia="方正仿宋_GBK" w:cs="Times New Roman"/>
                <w:sz w:val="24"/>
                <w:szCs w:val="24"/>
              </w:rPr>
            </w:pPr>
            <w:r>
              <w:rPr>
                <w:rFonts w:ascii="Times New Roman" w:hAnsi="Times New Roman" w:eastAsia="方正黑体_GBK" w:cs="Times New Roman"/>
                <w:sz w:val="24"/>
                <w:szCs w:val="24"/>
              </w:rPr>
              <w:t>八、</w:t>
            </w:r>
            <w:r>
              <w:rPr>
                <w:rFonts w:ascii="Times New Roman" w:hAnsi="Times New Roman" w:eastAsia="方正黑体_GBK" w:cs="Times New Roman"/>
                <w:color w:val="000000"/>
                <w:sz w:val="24"/>
                <w:szCs w:val="24"/>
              </w:rPr>
              <w:t>实施绿色空间更新提质</w:t>
            </w:r>
          </w:p>
        </w:tc>
        <w:tc>
          <w:tcPr>
            <w:tcW w:w="1989" w:type="dxa"/>
            <w:vAlign w:val="center"/>
          </w:tcPr>
          <w:p w14:paraId="1BBCF8C5">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left"/>
              <w:rPr>
                <w:rFonts w:ascii="Times New Roman" w:hAnsi="Times New Roman" w:eastAsia="方正黑体_GBK" w:cs="Times New Roman"/>
                <w:sz w:val="24"/>
                <w:szCs w:val="24"/>
              </w:rPr>
            </w:pPr>
          </w:p>
        </w:tc>
      </w:tr>
      <w:tr w14:paraId="7581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76" w:type="dxa"/>
            <w:vAlign w:val="center"/>
          </w:tcPr>
          <w:p w14:paraId="677A2EA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0</w:t>
            </w:r>
          </w:p>
        </w:tc>
        <w:tc>
          <w:tcPr>
            <w:tcW w:w="1967" w:type="dxa"/>
            <w:vAlign w:val="center"/>
          </w:tcPr>
          <w:p w14:paraId="6C787E5D">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山城公园品牌建设</w:t>
            </w:r>
          </w:p>
        </w:tc>
        <w:tc>
          <w:tcPr>
            <w:tcW w:w="6959" w:type="dxa"/>
            <w:vAlign w:val="center"/>
          </w:tcPr>
          <w:p w14:paraId="08DE6751">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推动枇杷山公园等公园绿地更新改造，打造一批小微公园绿地。</w:t>
            </w:r>
          </w:p>
        </w:tc>
        <w:tc>
          <w:tcPr>
            <w:tcW w:w="2083" w:type="dxa"/>
            <w:vAlign w:val="center"/>
          </w:tcPr>
          <w:p w14:paraId="2EF67EEA">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持续推进</w:t>
            </w:r>
          </w:p>
        </w:tc>
        <w:tc>
          <w:tcPr>
            <w:tcW w:w="1989" w:type="dxa"/>
            <w:vAlign w:val="center"/>
          </w:tcPr>
          <w:p w14:paraId="6BA88D38">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区城管局</w:t>
            </w:r>
          </w:p>
        </w:tc>
      </w:tr>
      <w:tr w14:paraId="50BD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774" w:type="dxa"/>
            <w:gridSpan w:val="5"/>
            <w:vAlign w:val="center"/>
          </w:tcPr>
          <w:p w14:paraId="3F50FA66">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left"/>
              <w:textAlignment w:val="auto"/>
              <w:rPr>
                <w:rFonts w:ascii="Times New Roman" w:hAnsi="Times New Roman" w:eastAsia="方正黑体_GBK" w:cs="Times New Roman"/>
                <w:sz w:val="24"/>
                <w:szCs w:val="20"/>
              </w:rPr>
            </w:pPr>
            <w:r>
              <w:rPr>
                <w:rFonts w:ascii="Times New Roman" w:hAnsi="Times New Roman" w:eastAsia="方正黑体_GBK" w:cs="Times New Roman"/>
                <w:sz w:val="24"/>
                <w:szCs w:val="24"/>
              </w:rPr>
              <w:t>九、</w:t>
            </w:r>
            <w:r>
              <w:rPr>
                <w:rFonts w:ascii="Times New Roman" w:hAnsi="Times New Roman" w:eastAsia="方正黑体_GBK" w:cs="Times New Roman"/>
                <w:color w:val="000000"/>
                <w:sz w:val="24"/>
                <w:szCs w:val="24"/>
              </w:rPr>
              <w:t>修复城市生态系统</w:t>
            </w:r>
          </w:p>
        </w:tc>
      </w:tr>
      <w:tr w14:paraId="431D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5C4EE8B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exac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51</w:t>
            </w:r>
          </w:p>
        </w:tc>
        <w:tc>
          <w:tcPr>
            <w:tcW w:w="1967" w:type="dxa"/>
            <w:vAlign w:val="center"/>
          </w:tcPr>
          <w:p w14:paraId="02E9D1DB">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两江四岸</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治理提升嘉陵江岸线贯通工程</w:t>
            </w:r>
          </w:p>
        </w:tc>
        <w:tc>
          <w:tcPr>
            <w:tcW w:w="6959" w:type="dxa"/>
            <w:vAlign w:val="center"/>
          </w:tcPr>
          <w:p w14:paraId="78EA69A6">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auto"/>
              <w:rPr>
                <w:rFonts w:ascii="Times New Roman" w:hAnsi="Times New Roman" w:eastAsia="方正仿宋_GBK" w:cs="Times New Roman"/>
                <w:sz w:val="24"/>
                <w:szCs w:val="24"/>
              </w:rPr>
            </w:pPr>
            <w:r>
              <w:rPr>
                <w:rStyle w:val="13"/>
                <w:rFonts w:ascii="Times New Roman" w:hAnsi="Times New Roman" w:cs="Times New Roman"/>
                <w:color w:val="auto"/>
                <w:sz w:val="24"/>
                <w:szCs w:val="24"/>
              </w:rPr>
              <w:t>包括消落带修复、慢行系统贯通、景观提升等。</w:t>
            </w:r>
          </w:p>
        </w:tc>
        <w:tc>
          <w:tcPr>
            <w:tcW w:w="2083" w:type="dxa"/>
            <w:vAlign w:val="center"/>
          </w:tcPr>
          <w:p w14:paraId="57F9D20A">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2026年完工</w:t>
            </w:r>
          </w:p>
        </w:tc>
        <w:tc>
          <w:tcPr>
            <w:tcW w:w="1989" w:type="dxa"/>
            <w:vAlign w:val="center"/>
          </w:tcPr>
          <w:p w14:paraId="0AC6D098">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69FC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785" w:type="dxa"/>
            <w:gridSpan w:val="4"/>
            <w:vAlign w:val="center"/>
          </w:tcPr>
          <w:p w14:paraId="6EFE46A7">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left"/>
              <w:textAlignment w:val="auto"/>
              <w:rPr>
                <w:rFonts w:ascii="Times New Roman" w:hAnsi="Times New Roman" w:eastAsia="方正仿宋_GBK" w:cs="Times New Roman"/>
                <w:sz w:val="24"/>
                <w:szCs w:val="24"/>
              </w:rPr>
            </w:pPr>
            <w:r>
              <w:rPr>
                <w:rFonts w:ascii="Times New Roman" w:hAnsi="Times New Roman" w:eastAsia="方正黑体_GBK" w:cs="Times New Roman"/>
                <w:sz w:val="24"/>
                <w:szCs w:val="24"/>
              </w:rPr>
              <w:t>十、</w:t>
            </w:r>
            <w:r>
              <w:rPr>
                <w:rFonts w:ascii="Times New Roman" w:hAnsi="Times New Roman" w:eastAsia="方正黑体_GBK" w:cs="Times New Roman"/>
                <w:color w:val="000000"/>
                <w:sz w:val="24"/>
                <w:szCs w:val="24"/>
              </w:rPr>
              <w:t>强化城市历史文化保护利用</w:t>
            </w:r>
          </w:p>
        </w:tc>
        <w:tc>
          <w:tcPr>
            <w:tcW w:w="1989" w:type="dxa"/>
            <w:vAlign w:val="center"/>
          </w:tcPr>
          <w:p w14:paraId="5F5BFEA5">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left"/>
              <w:textAlignment w:val="auto"/>
              <w:rPr>
                <w:rFonts w:ascii="Times New Roman" w:hAnsi="Times New Roman" w:eastAsia="方正黑体_GBK" w:cs="Times New Roman"/>
                <w:sz w:val="24"/>
                <w:szCs w:val="24"/>
              </w:rPr>
            </w:pPr>
          </w:p>
        </w:tc>
      </w:tr>
      <w:tr w14:paraId="3E0A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06B8EDB6">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2</w:t>
            </w:r>
          </w:p>
        </w:tc>
        <w:tc>
          <w:tcPr>
            <w:tcW w:w="1967" w:type="dxa"/>
            <w:vAlign w:val="center"/>
          </w:tcPr>
          <w:p w14:paraId="6220BC9A">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山城巷传统风貌区二期项目</w:t>
            </w:r>
          </w:p>
        </w:tc>
        <w:tc>
          <w:tcPr>
            <w:tcW w:w="6959" w:type="dxa"/>
            <w:vAlign w:val="center"/>
          </w:tcPr>
          <w:p w14:paraId="706B8A35">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项目占地面积约0.23公顷，建筑面积1300平方米，拟对征收后的危旧建筑进行修复、加固改造和环境整治等，结合山城巷已开放区域功能业态，完善片区配套，引入新业态。</w:t>
            </w:r>
          </w:p>
        </w:tc>
        <w:tc>
          <w:tcPr>
            <w:tcW w:w="2083" w:type="dxa"/>
            <w:vAlign w:val="center"/>
          </w:tcPr>
          <w:p w14:paraId="4A67C945">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color w:val="000000"/>
                <w:kern w:val="0"/>
                <w:sz w:val="24"/>
                <w:szCs w:val="24"/>
              </w:rPr>
            </w:pPr>
            <w:r>
              <w:rPr>
                <w:rFonts w:ascii="Times New Roman" w:hAnsi="Times New Roman" w:eastAsia="方正仿宋_GBK" w:cs="Times New Roman"/>
                <w:bCs/>
                <w:sz w:val="24"/>
                <w:szCs w:val="24"/>
              </w:rPr>
              <w:t>2026年完工</w:t>
            </w:r>
          </w:p>
        </w:tc>
        <w:tc>
          <w:tcPr>
            <w:tcW w:w="1989" w:type="dxa"/>
            <w:vAlign w:val="center"/>
          </w:tcPr>
          <w:p w14:paraId="768099EC">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历史</w:t>
            </w:r>
            <w:r>
              <w:rPr>
                <w:rFonts w:hint="eastAsia" w:ascii="Times New Roman" w:hAnsi="Times New Roman" w:eastAsia="方正仿宋_GBK" w:cs="Times New Roman"/>
                <w:sz w:val="24"/>
                <w:szCs w:val="24"/>
                <w:lang w:eastAsia="zh-CN"/>
              </w:rPr>
              <w:t>文化</w:t>
            </w:r>
            <w:r>
              <w:rPr>
                <w:rFonts w:ascii="Times New Roman" w:hAnsi="Times New Roman" w:eastAsia="方正仿宋_GBK" w:cs="Times New Roman"/>
                <w:sz w:val="24"/>
                <w:szCs w:val="24"/>
              </w:rPr>
              <w:t>街区</w:t>
            </w:r>
          </w:p>
          <w:p w14:paraId="2664B1F4">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管委会</w:t>
            </w:r>
          </w:p>
        </w:tc>
      </w:tr>
      <w:tr w14:paraId="1FCC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3F2E3150">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3</w:t>
            </w:r>
          </w:p>
        </w:tc>
        <w:tc>
          <w:tcPr>
            <w:tcW w:w="1967" w:type="dxa"/>
            <w:vAlign w:val="center"/>
          </w:tcPr>
          <w:p w14:paraId="03F9D339">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十八梯整体提升</w:t>
            </w:r>
          </w:p>
        </w:tc>
        <w:tc>
          <w:tcPr>
            <w:tcW w:w="6959" w:type="dxa"/>
            <w:vAlign w:val="center"/>
          </w:tcPr>
          <w:p w14:paraId="38AE2AD6">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损坏的步道梯道更换、管网箱涵维修、绿植及节点景观打造、门楣店招整改等。</w:t>
            </w:r>
          </w:p>
        </w:tc>
        <w:tc>
          <w:tcPr>
            <w:tcW w:w="2083" w:type="dxa"/>
            <w:vAlign w:val="center"/>
          </w:tcPr>
          <w:p w14:paraId="230EEF21">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color w:val="000000"/>
                <w:kern w:val="0"/>
                <w:sz w:val="24"/>
                <w:szCs w:val="24"/>
              </w:rPr>
            </w:pPr>
            <w:r>
              <w:rPr>
                <w:rFonts w:ascii="Times New Roman" w:hAnsi="Times New Roman" w:eastAsia="方正仿宋_GBK" w:cs="Times New Roman"/>
                <w:bCs/>
                <w:sz w:val="24"/>
                <w:szCs w:val="24"/>
              </w:rPr>
              <w:t>2026年完工</w:t>
            </w:r>
          </w:p>
        </w:tc>
        <w:tc>
          <w:tcPr>
            <w:tcW w:w="1989" w:type="dxa"/>
            <w:vAlign w:val="center"/>
          </w:tcPr>
          <w:p w14:paraId="76C4C8E3">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历史</w:t>
            </w:r>
            <w:r>
              <w:rPr>
                <w:rFonts w:hint="eastAsia" w:ascii="Times New Roman" w:hAnsi="Times New Roman" w:eastAsia="方正仿宋_GBK" w:cs="Times New Roman"/>
                <w:sz w:val="24"/>
                <w:szCs w:val="24"/>
                <w:lang w:eastAsia="zh-CN"/>
              </w:rPr>
              <w:t>文化</w:t>
            </w:r>
            <w:r>
              <w:rPr>
                <w:rFonts w:ascii="Times New Roman" w:hAnsi="Times New Roman" w:eastAsia="方正仿宋_GBK" w:cs="Times New Roman"/>
                <w:sz w:val="24"/>
                <w:szCs w:val="24"/>
              </w:rPr>
              <w:t>街区</w:t>
            </w:r>
          </w:p>
          <w:p w14:paraId="2CEADB4E">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管委会</w:t>
            </w:r>
          </w:p>
        </w:tc>
      </w:tr>
      <w:tr w14:paraId="79AB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69329BBB">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4</w:t>
            </w:r>
          </w:p>
        </w:tc>
        <w:tc>
          <w:tcPr>
            <w:tcW w:w="1967" w:type="dxa"/>
            <w:vAlign w:val="center"/>
          </w:tcPr>
          <w:p w14:paraId="0A00DB01">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白象街传统风貌区整体提升项目</w:t>
            </w:r>
          </w:p>
        </w:tc>
        <w:tc>
          <w:tcPr>
            <w:tcW w:w="6959" w:type="dxa"/>
            <w:vAlign w:val="center"/>
          </w:tcPr>
          <w:p w14:paraId="618AAC26">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整体提升白象街传统风貌区文物保护利用、产业业态引导、街区风貌形象等。</w:t>
            </w:r>
          </w:p>
        </w:tc>
        <w:tc>
          <w:tcPr>
            <w:tcW w:w="2083" w:type="dxa"/>
            <w:vAlign w:val="center"/>
          </w:tcPr>
          <w:p w14:paraId="6C656F1D">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color w:val="000000"/>
                <w:kern w:val="0"/>
                <w:sz w:val="24"/>
                <w:szCs w:val="24"/>
              </w:rPr>
            </w:pPr>
            <w:r>
              <w:rPr>
                <w:rFonts w:ascii="Times New Roman" w:hAnsi="Times New Roman" w:eastAsia="方正仿宋_GBK" w:cs="Times New Roman"/>
                <w:bCs/>
                <w:sz w:val="24"/>
                <w:szCs w:val="24"/>
              </w:rPr>
              <w:t>2026年完工</w:t>
            </w:r>
          </w:p>
        </w:tc>
        <w:tc>
          <w:tcPr>
            <w:tcW w:w="1989" w:type="dxa"/>
            <w:vAlign w:val="center"/>
          </w:tcPr>
          <w:p w14:paraId="2A756A7C">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历史</w:t>
            </w:r>
            <w:r>
              <w:rPr>
                <w:rFonts w:hint="eastAsia" w:ascii="Times New Roman" w:hAnsi="Times New Roman" w:eastAsia="方正仿宋_GBK" w:cs="Times New Roman"/>
                <w:sz w:val="24"/>
                <w:szCs w:val="24"/>
                <w:lang w:eastAsia="zh-CN"/>
              </w:rPr>
              <w:t>文化</w:t>
            </w:r>
            <w:r>
              <w:rPr>
                <w:rFonts w:ascii="Times New Roman" w:hAnsi="Times New Roman" w:eastAsia="方正仿宋_GBK" w:cs="Times New Roman"/>
                <w:sz w:val="24"/>
                <w:szCs w:val="24"/>
              </w:rPr>
              <w:t>街区</w:t>
            </w:r>
          </w:p>
          <w:p w14:paraId="39D082C2">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管委会</w:t>
            </w:r>
          </w:p>
        </w:tc>
      </w:tr>
      <w:tr w14:paraId="1BAE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324FF50A">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5</w:t>
            </w:r>
          </w:p>
        </w:tc>
        <w:tc>
          <w:tcPr>
            <w:tcW w:w="1967" w:type="dxa"/>
            <w:vAlign w:val="center"/>
          </w:tcPr>
          <w:p w14:paraId="6262AA02">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枇杷山老街区项目（D区）</w:t>
            </w:r>
          </w:p>
        </w:tc>
        <w:tc>
          <w:tcPr>
            <w:tcW w:w="6959" w:type="dxa"/>
            <w:vAlign w:val="center"/>
          </w:tcPr>
          <w:p w14:paraId="62C099B3">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lang w:eastAsia="zh-CN"/>
              </w:rPr>
            </w:pPr>
            <w:r>
              <w:rPr>
                <w:rStyle w:val="13"/>
                <w:rFonts w:ascii="Times New Roman" w:hAnsi="Times New Roman" w:eastAsia="方正仿宋_GBK" w:cs="Times New Roman"/>
                <w:color w:val="auto"/>
                <w:sz w:val="24"/>
                <w:szCs w:val="24"/>
              </w:rPr>
              <w:t>项目位于枇杷山公园，建筑面积约5000平方米。建设内容包括边坡支护、地下车库、新建风貌建筑、环境景观改造等</w:t>
            </w:r>
            <w:r>
              <w:rPr>
                <w:rStyle w:val="13"/>
                <w:rFonts w:ascii="Times New Roman" w:hAnsi="Times New Roman" w:eastAsia="方正仿宋_GBK" w:cs="Times New Roman"/>
                <w:color w:val="auto"/>
                <w:sz w:val="24"/>
                <w:szCs w:val="24"/>
                <w:lang w:eastAsia="zh-CN"/>
              </w:rPr>
              <w:t>。</w:t>
            </w:r>
          </w:p>
        </w:tc>
        <w:tc>
          <w:tcPr>
            <w:tcW w:w="2083" w:type="dxa"/>
            <w:vAlign w:val="center"/>
          </w:tcPr>
          <w:p w14:paraId="27733ACE">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持续推进</w:t>
            </w:r>
          </w:p>
        </w:tc>
        <w:tc>
          <w:tcPr>
            <w:tcW w:w="1989" w:type="dxa"/>
            <w:vAlign w:val="center"/>
          </w:tcPr>
          <w:p w14:paraId="78725F60">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324D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76" w:type="dxa"/>
            <w:vAlign w:val="center"/>
          </w:tcPr>
          <w:p w14:paraId="31E12BF4">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6</w:t>
            </w:r>
          </w:p>
        </w:tc>
        <w:tc>
          <w:tcPr>
            <w:tcW w:w="1967" w:type="dxa"/>
            <w:vAlign w:val="center"/>
          </w:tcPr>
          <w:p w14:paraId="70BCA675">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Style w:val="12"/>
                <w:rFonts w:ascii="Times New Roman" w:hAnsi="Times New Roman" w:eastAsia="方正仿宋_GBK" w:cs="Times New Roman"/>
                <w:sz w:val="24"/>
                <w:szCs w:val="24"/>
              </w:rPr>
              <w:t>李子坝历史文化</w:t>
            </w:r>
            <w:r>
              <w:rPr>
                <w:rStyle w:val="12"/>
                <w:rFonts w:ascii="Times New Roman" w:hAnsi="Times New Roman" w:eastAsia="方正仿宋_GBK" w:cs="Times New Roman"/>
                <w:spacing w:val="-11"/>
                <w:sz w:val="24"/>
                <w:szCs w:val="24"/>
              </w:rPr>
              <w:t>街区（大公报片区）</w:t>
            </w:r>
          </w:p>
        </w:tc>
        <w:tc>
          <w:tcPr>
            <w:tcW w:w="6959" w:type="dxa"/>
            <w:vAlign w:val="center"/>
          </w:tcPr>
          <w:p w14:paraId="6FC21F0D">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Style w:val="12"/>
                <w:rFonts w:ascii="Times New Roman" w:hAnsi="Times New Roman" w:eastAsia="方正仿宋_GBK" w:cs="Times New Roman"/>
                <w:sz w:val="24"/>
                <w:szCs w:val="24"/>
              </w:rPr>
              <w:t>项目占地面积约1.1公顷，规划计容建筑面积约1.3万平方米，将结合历史文化街区特色，打造集生态休闲、文化体验、娱乐餐饮、商务办公为一体的城市复合型产业园区。</w:t>
            </w:r>
          </w:p>
        </w:tc>
        <w:tc>
          <w:tcPr>
            <w:tcW w:w="2083" w:type="dxa"/>
            <w:vAlign w:val="center"/>
          </w:tcPr>
          <w:p w14:paraId="7BC9324F">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color w:val="000000"/>
                <w:sz w:val="24"/>
                <w:szCs w:val="24"/>
              </w:rPr>
            </w:pPr>
            <w:r>
              <w:rPr>
                <w:rFonts w:ascii="Times New Roman" w:hAnsi="Times New Roman" w:eastAsia="方正仿宋_GBK" w:cs="Times New Roman"/>
                <w:bCs/>
                <w:sz w:val="24"/>
                <w:szCs w:val="24"/>
              </w:rPr>
              <w:t>2027年完工</w:t>
            </w:r>
          </w:p>
        </w:tc>
        <w:tc>
          <w:tcPr>
            <w:tcW w:w="1989" w:type="dxa"/>
            <w:vAlign w:val="center"/>
          </w:tcPr>
          <w:p w14:paraId="4756D8BF">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2C01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12BF6029">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7</w:t>
            </w:r>
          </w:p>
        </w:tc>
        <w:tc>
          <w:tcPr>
            <w:tcW w:w="1967" w:type="dxa"/>
            <w:vAlign w:val="center"/>
          </w:tcPr>
          <w:p w14:paraId="1A95C8F3">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罗汉寺周边环境品质提升工程</w:t>
            </w:r>
          </w:p>
        </w:tc>
        <w:tc>
          <w:tcPr>
            <w:tcW w:w="6959" w:type="dxa"/>
            <w:vAlign w:val="center"/>
          </w:tcPr>
          <w:p w14:paraId="2C33F374">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lang w:eastAsia="zh-CN"/>
              </w:rPr>
            </w:pPr>
            <w:r>
              <w:rPr>
                <w:rStyle w:val="13"/>
                <w:rFonts w:ascii="Times New Roman" w:hAnsi="Times New Roman" w:eastAsia="方正仿宋_GBK" w:cs="Times New Roman"/>
                <w:color w:val="auto"/>
                <w:sz w:val="24"/>
                <w:szCs w:val="24"/>
              </w:rPr>
              <w:t>历史建筑修缮，建筑面积约950平方米，修缮改造现有建筑和提升周边环境品质</w:t>
            </w:r>
            <w:r>
              <w:rPr>
                <w:rStyle w:val="13"/>
                <w:rFonts w:ascii="Times New Roman" w:hAnsi="Times New Roman" w:eastAsia="方正仿宋_GBK" w:cs="Times New Roman"/>
                <w:color w:val="auto"/>
                <w:sz w:val="24"/>
                <w:szCs w:val="24"/>
                <w:lang w:eastAsia="zh-CN"/>
              </w:rPr>
              <w:t>。</w:t>
            </w:r>
          </w:p>
        </w:tc>
        <w:tc>
          <w:tcPr>
            <w:tcW w:w="2083" w:type="dxa"/>
            <w:vAlign w:val="center"/>
          </w:tcPr>
          <w:p w14:paraId="23334206">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3BC6CDFC">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6F22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21721F4B">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8</w:t>
            </w:r>
          </w:p>
        </w:tc>
        <w:tc>
          <w:tcPr>
            <w:tcW w:w="1967" w:type="dxa"/>
            <w:vAlign w:val="center"/>
          </w:tcPr>
          <w:p w14:paraId="08099F9A">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老鼓楼衙署遗址公园工程</w:t>
            </w:r>
          </w:p>
        </w:tc>
        <w:tc>
          <w:tcPr>
            <w:tcW w:w="6959" w:type="dxa"/>
            <w:vAlign w:val="center"/>
          </w:tcPr>
          <w:p w14:paraId="547CF060">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lang w:eastAsia="zh-CN"/>
              </w:rPr>
            </w:pPr>
            <w:r>
              <w:rPr>
                <w:rStyle w:val="13"/>
                <w:rFonts w:ascii="Times New Roman" w:hAnsi="Times New Roman" w:eastAsia="方正仿宋_GBK" w:cs="Times New Roman"/>
                <w:color w:val="auto"/>
                <w:sz w:val="24"/>
                <w:szCs w:val="24"/>
              </w:rPr>
              <w:t>利用老鼓楼衙署遗址公园及遗址进行陈列布展，建设老鼓楼衙署遗址博物馆。项目总面积约8100㎡</w:t>
            </w:r>
            <w:r>
              <w:rPr>
                <w:rStyle w:val="13"/>
                <w:rFonts w:ascii="Times New Roman" w:hAnsi="Times New Roman" w:eastAsia="方正仿宋_GBK" w:cs="Times New Roman"/>
                <w:color w:val="auto"/>
                <w:sz w:val="24"/>
                <w:szCs w:val="24"/>
                <w:lang w:eastAsia="zh-CN"/>
              </w:rPr>
              <w:t>。</w:t>
            </w:r>
          </w:p>
        </w:tc>
        <w:tc>
          <w:tcPr>
            <w:tcW w:w="2083" w:type="dxa"/>
            <w:vAlign w:val="center"/>
          </w:tcPr>
          <w:p w14:paraId="62901859">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759F6BCB">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rPr>
              <w:t>区文化旅游委</w:t>
            </w:r>
          </w:p>
        </w:tc>
      </w:tr>
      <w:tr w14:paraId="0CBF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4A2F1A38">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59</w:t>
            </w:r>
          </w:p>
        </w:tc>
        <w:tc>
          <w:tcPr>
            <w:tcW w:w="1967" w:type="dxa"/>
            <w:vAlign w:val="center"/>
          </w:tcPr>
          <w:p w14:paraId="0AFA3C43">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重庆古城墙排危加固修复工程</w:t>
            </w:r>
          </w:p>
        </w:tc>
        <w:tc>
          <w:tcPr>
            <w:tcW w:w="6959" w:type="dxa"/>
            <w:vAlign w:val="center"/>
          </w:tcPr>
          <w:p w14:paraId="64F038ED">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Style w:val="13"/>
                <w:rFonts w:ascii="Times New Roman" w:hAnsi="Times New Roman" w:eastAsia="方正仿宋_GBK" w:cs="Times New Roman"/>
                <w:color w:val="auto"/>
                <w:sz w:val="24"/>
                <w:szCs w:val="24"/>
              </w:rPr>
              <w:t>一期（文保类）对人和门城墙变形移位大、整体外鼓、塌陷的墙体进行拆除重砌；对顶部顺砌条石外倾幅度较大的进行丁砌归安；拆除变形、开裂，影响文物及行人安全的砖围墙，修复石栏杆。二期（非文保类）翠微门、太安门、储奇门、金紫门、凤凰门、南纪门、金汤门、定远门、临江门、洪崖门、千厮门、西水门共12处城墙，全长3476米，总隐患数量60处，隐患段总长1865米。排危加固包括12处城墙1865米的隐患段进行排危加固。</w:t>
            </w:r>
          </w:p>
        </w:tc>
        <w:tc>
          <w:tcPr>
            <w:tcW w:w="2083" w:type="dxa"/>
            <w:vAlign w:val="center"/>
          </w:tcPr>
          <w:p w14:paraId="183773EC">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2AC3FC36">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44B0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7D34D5FB">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0</w:t>
            </w:r>
          </w:p>
        </w:tc>
        <w:tc>
          <w:tcPr>
            <w:tcW w:w="1967" w:type="dxa"/>
            <w:vAlign w:val="center"/>
          </w:tcPr>
          <w:p w14:paraId="332324C3">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东升楼更新改造</w:t>
            </w:r>
          </w:p>
        </w:tc>
        <w:tc>
          <w:tcPr>
            <w:tcW w:w="6959" w:type="dxa"/>
            <w:vAlign w:val="center"/>
          </w:tcPr>
          <w:p w14:paraId="404D4B36">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lang w:eastAsia="zh-CN"/>
              </w:rPr>
            </w:pPr>
            <w:r>
              <w:rPr>
                <w:rStyle w:val="13"/>
                <w:rFonts w:ascii="Times New Roman" w:hAnsi="Times New Roman" w:eastAsia="方正仿宋_GBK" w:cs="Times New Roman"/>
                <w:color w:val="auto"/>
                <w:sz w:val="24"/>
                <w:szCs w:val="24"/>
              </w:rPr>
              <w:t>拟建历史风貌建筑</w:t>
            </w:r>
            <w:r>
              <w:rPr>
                <w:rStyle w:val="13"/>
                <w:rFonts w:ascii="Times New Roman" w:hAnsi="Times New Roman" w:eastAsia="方正仿宋_GBK" w:cs="Times New Roman"/>
                <w:color w:val="auto"/>
                <w:sz w:val="24"/>
                <w:szCs w:val="24"/>
                <w:lang w:eastAsia="zh-CN"/>
              </w:rPr>
              <w:t>、实施</w:t>
            </w:r>
            <w:r>
              <w:rPr>
                <w:rStyle w:val="13"/>
                <w:rFonts w:ascii="Times New Roman" w:hAnsi="Times New Roman" w:eastAsia="方正仿宋_GBK" w:cs="Times New Roman"/>
                <w:color w:val="auto"/>
                <w:sz w:val="24"/>
                <w:szCs w:val="24"/>
              </w:rPr>
              <w:t>环境整治等</w:t>
            </w:r>
            <w:r>
              <w:rPr>
                <w:rStyle w:val="13"/>
                <w:rFonts w:ascii="Times New Roman" w:hAnsi="Times New Roman" w:eastAsia="方正仿宋_GBK" w:cs="Times New Roman"/>
                <w:color w:val="auto"/>
                <w:sz w:val="24"/>
                <w:szCs w:val="24"/>
                <w:lang w:eastAsia="zh-CN"/>
              </w:rPr>
              <w:t>。</w:t>
            </w:r>
          </w:p>
        </w:tc>
        <w:tc>
          <w:tcPr>
            <w:tcW w:w="2083" w:type="dxa"/>
            <w:vAlign w:val="center"/>
          </w:tcPr>
          <w:p w14:paraId="7BA52525">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持续推进</w:t>
            </w:r>
          </w:p>
        </w:tc>
        <w:tc>
          <w:tcPr>
            <w:tcW w:w="1989" w:type="dxa"/>
            <w:vAlign w:val="center"/>
          </w:tcPr>
          <w:p w14:paraId="3431FC68">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68C3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7D69553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1</w:t>
            </w:r>
          </w:p>
        </w:tc>
        <w:tc>
          <w:tcPr>
            <w:tcW w:w="1967" w:type="dxa"/>
            <w:vAlign w:val="center"/>
          </w:tcPr>
          <w:p w14:paraId="648C4A97">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中华路72/74号房屋改造工程</w:t>
            </w:r>
          </w:p>
        </w:tc>
        <w:tc>
          <w:tcPr>
            <w:tcW w:w="6959" w:type="dxa"/>
            <w:vAlign w:val="center"/>
          </w:tcPr>
          <w:p w14:paraId="49F21376">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both"/>
              <w:textAlignment w:val="center"/>
              <w:rPr>
                <w:rFonts w:hint="eastAsia" w:ascii="Times New Roman" w:hAnsi="Times New Roman" w:eastAsia="方正仿宋_GBK" w:cs="Times New Roman"/>
                <w:sz w:val="24"/>
                <w:szCs w:val="24"/>
                <w:lang w:eastAsia="zh-CN"/>
              </w:rPr>
            </w:pPr>
            <w:r>
              <w:rPr>
                <w:rStyle w:val="13"/>
                <w:rFonts w:ascii="Times New Roman" w:hAnsi="Times New Roman" w:cs="Times New Roman"/>
                <w:color w:val="auto"/>
                <w:sz w:val="24"/>
                <w:szCs w:val="24"/>
              </w:rPr>
              <w:t>建筑面积约4000平方米，对现有建筑修缮加固和环境整治等</w:t>
            </w:r>
            <w:r>
              <w:rPr>
                <w:rStyle w:val="13"/>
                <w:rFonts w:hint="eastAsia" w:ascii="Times New Roman" w:hAnsi="Times New Roman" w:eastAsia="方正仿宋_GBK" w:cs="Times New Roman"/>
                <w:color w:val="auto"/>
                <w:sz w:val="24"/>
                <w:szCs w:val="24"/>
                <w:lang w:eastAsia="zh-CN"/>
              </w:rPr>
              <w:t>。</w:t>
            </w:r>
          </w:p>
        </w:tc>
        <w:tc>
          <w:tcPr>
            <w:tcW w:w="2083" w:type="dxa"/>
            <w:vAlign w:val="center"/>
          </w:tcPr>
          <w:p w14:paraId="7C19D4ED">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2027年主体完工</w:t>
            </w:r>
          </w:p>
        </w:tc>
        <w:tc>
          <w:tcPr>
            <w:tcW w:w="1989" w:type="dxa"/>
            <w:vAlign w:val="center"/>
          </w:tcPr>
          <w:p w14:paraId="6BC4D8D3">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7475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06AB99D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2</w:t>
            </w:r>
          </w:p>
        </w:tc>
        <w:tc>
          <w:tcPr>
            <w:tcW w:w="1967" w:type="dxa"/>
            <w:vAlign w:val="center"/>
          </w:tcPr>
          <w:p w14:paraId="62BB8C89">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红岩村片区老旧房屋更新</w:t>
            </w:r>
          </w:p>
        </w:tc>
        <w:tc>
          <w:tcPr>
            <w:tcW w:w="6959" w:type="dxa"/>
            <w:vAlign w:val="center"/>
          </w:tcPr>
          <w:p w14:paraId="118FF023">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对红岩革命纪念馆片区老旧街区配套基础设施进行提升改造，对红岩革命纪念馆周边博森电气厂、电科院等老旧厂区配套基础设施进行提升改造，完善片区及周边区域配套道路、绿化、消防、安防等基础设施等配套基础设施与便民设施。</w:t>
            </w:r>
          </w:p>
        </w:tc>
        <w:tc>
          <w:tcPr>
            <w:tcW w:w="2083" w:type="dxa"/>
            <w:vAlign w:val="center"/>
          </w:tcPr>
          <w:p w14:paraId="777A4C03">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0DEF141E">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center"/>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化龙桥街道办事处</w:t>
            </w:r>
          </w:p>
        </w:tc>
      </w:tr>
      <w:tr w14:paraId="42AF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76" w:type="dxa"/>
            <w:vAlign w:val="center"/>
          </w:tcPr>
          <w:p w14:paraId="3CEEC8C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3</w:t>
            </w:r>
          </w:p>
        </w:tc>
        <w:tc>
          <w:tcPr>
            <w:tcW w:w="1967" w:type="dxa"/>
            <w:vAlign w:val="center"/>
          </w:tcPr>
          <w:p w14:paraId="01CFC066">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both"/>
              <w:rPr>
                <w:rFonts w:ascii="Times New Roman" w:hAnsi="Times New Roman" w:eastAsia="方正仿宋_GBK" w:cs="Times New Roman"/>
                <w:sz w:val="24"/>
                <w:szCs w:val="24"/>
                <w:highlight w:val="yellow"/>
              </w:rPr>
            </w:pPr>
            <w:r>
              <w:rPr>
                <w:rFonts w:ascii="Times New Roman" w:hAnsi="Times New Roman" w:eastAsia="方正仿宋_GBK" w:cs="Times New Roman"/>
                <w:kern w:val="0"/>
                <w:sz w:val="24"/>
                <w:szCs w:val="24"/>
              </w:rPr>
              <w:t>聚兴诚银行旧址附属楼危旧房屋基础设施更新改造项目</w:t>
            </w:r>
          </w:p>
        </w:tc>
        <w:tc>
          <w:tcPr>
            <w:tcW w:w="6959" w:type="dxa"/>
            <w:vAlign w:val="center"/>
          </w:tcPr>
          <w:p w14:paraId="58AEB440">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both"/>
              <w:textAlignment w:val="center"/>
              <w:rPr>
                <w:rFonts w:ascii="Times New Roman" w:hAnsi="Times New Roman" w:eastAsia="方正仿宋_GBK" w:cs="Times New Roman"/>
                <w:sz w:val="24"/>
                <w:szCs w:val="24"/>
                <w:highlight w:val="yellow"/>
              </w:rPr>
            </w:pPr>
            <w:r>
              <w:rPr>
                <w:rFonts w:ascii="Times New Roman" w:hAnsi="Times New Roman" w:eastAsia="方正仿宋_GBK" w:cs="Times New Roman"/>
                <w:kern w:val="0"/>
                <w:sz w:val="24"/>
                <w:szCs w:val="24"/>
              </w:rPr>
              <w:t>解放东</w:t>
            </w:r>
            <w:r>
              <w:rPr>
                <w:rFonts w:ascii="Times New Roman" w:hAnsi="Times New Roman" w:eastAsia="方正仿宋_GBK" w:cs="Times New Roman"/>
                <w:bCs/>
                <w:sz w:val="24"/>
                <w:szCs w:val="24"/>
              </w:rPr>
              <w:t>路112</w:t>
            </w:r>
            <w:r>
              <w:rPr>
                <w:rFonts w:ascii="Times New Roman" w:hAnsi="Times New Roman" w:eastAsia="方正仿宋_GBK" w:cs="Times New Roman"/>
                <w:kern w:val="0"/>
                <w:sz w:val="24"/>
                <w:szCs w:val="24"/>
              </w:rPr>
              <w:t>号聚兴诚银行旧址附属厨师培训楼（C级危房）、附属后</w:t>
            </w:r>
            <w:r>
              <w:rPr>
                <w:rFonts w:ascii="Times New Roman" w:hAnsi="Times New Roman" w:eastAsia="方正仿宋_GBK" w:cs="Times New Roman"/>
                <w:bCs/>
                <w:sz w:val="24"/>
                <w:szCs w:val="24"/>
              </w:rPr>
              <w:t>楼（D级危房），建筑面积约1428平方</w:t>
            </w:r>
            <w:r>
              <w:rPr>
                <w:rFonts w:ascii="Times New Roman" w:hAnsi="Times New Roman" w:eastAsia="方正仿宋_GBK" w:cs="Times New Roman"/>
                <w:kern w:val="0"/>
                <w:sz w:val="24"/>
                <w:szCs w:val="24"/>
              </w:rPr>
              <w:t>米。改造老旧房基础设施，进行消防系统改造升级，增设消防管道、配置消防水箱；加装电梯；整体更换老旧电线等；危房加固等</w:t>
            </w:r>
          </w:p>
        </w:tc>
        <w:tc>
          <w:tcPr>
            <w:tcW w:w="2083" w:type="dxa"/>
            <w:vAlign w:val="center"/>
          </w:tcPr>
          <w:p w14:paraId="57CB8FF1">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center"/>
              <w:textAlignment w:val="center"/>
              <w:rPr>
                <w:rFonts w:ascii="Times New Roman" w:hAnsi="Times New Roman" w:eastAsia="方正仿宋_GBK" w:cs="Times New Roman"/>
                <w:bCs/>
                <w:kern w:val="0"/>
                <w:sz w:val="24"/>
                <w:szCs w:val="24"/>
              </w:rPr>
            </w:pPr>
            <w:r>
              <w:rPr>
                <w:rFonts w:ascii="Times New Roman" w:hAnsi="Times New Roman" w:eastAsia="方正仿宋_GBK" w:cs="Times New Roman"/>
                <w:bCs/>
                <w:sz w:val="24"/>
                <w:szCs w:val="24"/>
              </w:rPr>
              <w:t>2027年开工</w:t>
            </w:r>
          </w:p>
        </w:tc>
        <w:tc>
          <w:tcPr>
            <w:tcW w:w="1989" w:type="dxa"/>
            <w:vAlign w:val="center"/>
          </w:tcPr>
          <w:p w14:paraId="3A1078F7">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center"/>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w:t>
            </w:r>
          </w:p>
        </w:tc>
      </w:tr>
      <w:tr w14:paraId="08CE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76" w:type="dxa"/>
            <w:vAlign w:val="center"/>
          </w:tcPr>
          <w:p w14:paraId="140E55D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4</w:t>
            </w:r>
          </w:p>
        </w:tc>
        <w:tc>
          <w:tcPr>
            <w:tcW w:w="1967" w:type="dxa"/>
            <w:vAlign w:val="center"/>
          </w:tcPr>
          <w:p w14:paraId="58CA4888">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领事巷片区城市更新项目</w:t>
            </w:r>
          </w:p>
        </w:tc>
        <w:tc>
          <w:tcPr>
            <w:tcW w:w="6959" w:type="dxa"/>
            <w:vAlign w:val="center"/>
          </w:tcPr>
          <w:p w14:paraId="7E7AF0CA">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both"/>
              <w:textAlignment w:val="center"/>
              <w:rPr>
                <w:rStyle w:val="13"/>
                <w:rFonts w:ascii="Times New Roman" w:hAnsi="Times New Roman" w:cs="Times New Roman"/>
                <w:color w:val="auto"/>
                <w:sz w:val="24"/>
                <w:szCs w:val="24"/>
              </w:rPr>
            </w:pPr>
            <w:r>
              <w:rPr>
                <w:rStyle w:val="13"/>
                <w:rFonts w:ascii="Times New Roman" w:hAnsi="Times New Roman" w:cs="Times New Roman"/>
                <w:color w:val="auto"/>
                <w:sz w:val="24"/>
                <w:szCs w:val="24"/>
              </w:rPr>
              <w:t>联动山城巷传统风貌区、通远门、打枪坝水厂等历史资源，推动成片更新。</w:t>
            </w:r>
          </w:p>
        </w:tc>
        <w:tc>
          <w:tcPr>
            <w:tcW w:w="2083" w:type="dxa"/>
            <w:vAlign w:val="center"/>
          </w:tcPr>
          <w:p w14:paraId="1AA9F5E4">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center"/>
              <w:textAlignment w:val="center"/>
              <w:rPr>
                <w:rStyle w:val="13"/>
                <w:rFonts w:ascii="Times New Roman" w:hAnsi="Times New Roman"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51809A36">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14:paraId="0779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785" w:type="dxa"/>
            <w:gridSpan w:val="4"/>
            <w:vAlign w:val="center"/>
          </w:tcPr>
          <w:p w14:paraId="4D90D483">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left"/>
              <w:rPr>
                <w:rFonts w:hint="eastAsia" w:ascii="Times New Roman" w:hAnsi="Times New Roman" w:eastAsia="方正黑体_GBK" w:cs="Times New Roman"/>
                <w:sz w:val="24"/>
                <w:szCs w:val="24"/>
                <w:lang w:eastAsia="zh-CN"/>
              </w:rPr>
            </w:pPr>
            <w:r>
              <w:rPr>
                <w:rFonts w:ascii="Times New Roman" w:hAnsi="Times New Roman" w:eastAsia="方正黑体_GBK" w:cs="Times New Roman"/>
                <w:sz w:val="24"/>
                <w:szCs w:val="24"/>
              </w:rPr>
              <w:t>十、</w:t>
            </w:r>
            <w:r>
              <w:rPr>
                <w:rFonts w:ascii="Times New Roman" w:hAnsi="Times New Roman" w:eastAsia="方正黑体_GBK" w:cs="Times New Roman"/>
                <w:bCs/>
                <w:color w:val="000000"/>
                <w:sz w:val="24"/>
                <w:szCs w:val="24"/>
              </w:rPr>
              <w:t>推动城市</w:t>
            </w:r>
            <w:r>
              <w:rPr>
                <w:rFonts w:hint="eastAsia" w:ascii="Times New Roman" w:hAnsi="Times New Roman" w:eastAsia="方正黑体_GBK" w:cs="Times New Roman"/>
                <w:bCs/>
                <w:color w:val="000000"/>
                <w:sz w:val="24"/>
                <w:szCs w:val="24"/>
                <w:lang w:eastAsia="zh-CN"/>
              </w:rPr>
              <w:t>“</w:t>
            </w:r>
            <w:r>
              <w:rPr>
                <w:rFonts w:ascii="Times New Roman" w:hAnsi="Times New Roman" w:eastAsia="方正黑体_GBK" w:cs="Times New Roman"/>
                <w:bCs/>
                <w:color w:val="000000"/>
                <w:sz w:val="24"/>
                <w:szCs w:val="24"/>
              </w:rPr>
              <w:t>数字更新</w:t>
            </w:r>
            <w:r>
              <w:rPr>
                <w:rFonts w:hint="eastAsia" w:ascii="Times New Roman" w:hAnsi="Times New Roman" w:eastAsia="方正黑体_GBK" w:cs="Times New Roman"/>
                <w:bCs/>
                <w:color w:val="000000"/>
                <w:sz w:val="24"/>
                <w:szCs w:val="24"/>
                <w:lang w:eastAsia="zh-CN"/>
              </w:rPr>
              <w:t>”</w:t>
            </w:r>
          </w:p>
        </w:tc>
        <w:tc>
          <w:tcPr>
            <w:tcW w:w="1989" w:type="dxa"/>
            <w:vAlign w:val="center"/>
          </w:tcPr>
          <w:p w14:paraId="67C4B64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left"/>
              <w:rPr>
                <w:rFonts w:ascii="Times New Roman" w:hAnsi="Times New Roman" w:eastAsia="方正黑体_GBK" w:cs="Times New Roman"/>
                <w:sz w:val="24"/>
                <w:szCs w:val="24"/>
              </w:rPr>
            </w:pPr>
          </w:p>
        </w:tc>
      </w:tr>
      <w:tr w14:paraId="013A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76" w:type="dxa"/>
            <w:vAlign w:val="center"/>
          </w:tcPr>
          <w:p w14:paraId="17095A8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5</w:t>
            </w:r>
          </w:p>
        </w:tc>
        <w:tc>
          <w:tcPr>
            <w:tcW w:w="1967" w:type="dxa"/>
            <w:vAlign w:val="center"/>
          </w:tcPr>
          <w:p w14:paraId="5A37CDD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解放碑步行街数字化提升项目</w:t>
            </w:r>
          </w:p>
        </w:tc>
        <w:tc>
          <w:tcPr>
            <w:tcW w:w="6959" w:type="dxa"/>
            <w:vAlign w:val="center"/>
          </w:tcPr>
          <w:p w14:paraId="6F3FE67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整体推动解放碑步行街数字化、智能化等改造。</w:t>
            </w:r>
          </w:p>
        </w:tc>
        <w:tc>
          <w:tcPr>
            <w:tcW w:w="2083" w:type="dxa"/>
            <w:vAlign w:val="center"/>
          </w:tcPr>
          <w:p w14:paraId="2695E3DC">
            <w:pPr>
              <w:keepNext w:val="0"/>
              <w:keepLines w:val="0"/>
              <w:pageBreakBefore w:val="0"/>
              <w:widowControl/>
              <w:kinsoku/>
              <w:wordWrap/>
              <w:overflowPunct/>
              <w:topLinePunct w:val="0"/>
              <w:autoSpaceDE/>
              <w:autoSpaceDN/>
              <w:bidi w:val="0"/>
              <w:adjustRightInd w:val="0"/>
              <w:snapToGrid w:val="0"/>
              <w:spacing w:beforeAutospacing="0" w:afterAutospacing="0" w:line="0" w:lineRule="atLeas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609CBF2A">
            <w:pPr>
              <w:keepNext w:val="0"/>
              <w:keepLines w:val="0"/>
              <w:pageBreakBefore w:val="0"/>
              <w:widowControl w:val="0"/>
              <w:kinsoku/>
              <w:wordWrap/>
              <w:overflowPunct/>
              <w:topLinePunct w:val="0"/>
              <w:autoSpaceDE/>
              <w:autoSpaceDN/>
              <w:bidi w:val="0"/>
              <w:spacing w:beforeAutospacing="0" w:afterAutospacing="0" w:line="0" w:lineRule="atLeast"/>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bCs/>
                <w:spacing w:val="-17"/>
                <w:sz w:val="24"/>
                <w:szCs w:val="24"/>
                <w:lang w:eastAsia="zh-CN"/>
              </w:rPr>
              <w:t>解放碑</w:t>
            </w:r>
            <w:r>
              <w:rPr>
                <w:rFonts w:ascii="Times New Roman" w:hAnsi="Times New Roman" w:eastAsia="方正仿宋_GBK" w:cs="Times New Roman"/>
                <w:bCs/>
                <w:spacing w:val="-17"/>
                <w:sz w:val="24"/>
                <w:szCs w:val="24"/>
              </w:rPr>
              <w:t>CBD管</w:t>
            </w:r>
            <w:r>
              <w:rPr>
                <w:rFonts w:ascii="Times New Roman" w:hAnsi="Times New Roman" w:eastAsia="方正仿宋_GBK" w:cs="Times New Roman"/>
                <w:color w:val="000000"/>
                <w:spacing w:val="-17"/>
                <w:sz w:val="24"/>
                <w:szCs w:val="24"/>
              </w:rPr>
              <w:t>委会</w:t>
            </w:r>
          </w:p>
        </w:tc>
      </w:tr>
      <w:tr w14:paraId="2C4A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76" w:type="dxa"/>
            <w:vAlign w:val="center"/>
          </w:tcPr>
          <w:p w14:paraId="351A1F4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6</w:t>
            </w:r>
          </w:p>
        </w:tc>
        <w:tc>
          <w:tcPr>
            <w:tcW w:w="1967" w:type="dxa"/>
            <w:vAlign w:val="center"/>
          </w:tcPr>
          <w:p w14:paraId="45119509">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基层治理指挥中</w:t>
            </w:r>
            <w:r>
              <w:rPr>
                <w:rFonts w:ascii="Times New Roman" w:hAnsi="Times New Roman" w:eastAsia="方正仿宋_GBK" w:cs="Times New Roman"/>
                <w:color w:val="000000"/>
                <w:spacing w:val="-11"/>
                <w:sz w:val="24"/>
                <w:szCs w:val="24"/>
              </w:rPr>
              <w:t>心数字化改造项目</w:t>
            </w:r>
          </w:p>
        </w:tc>
        <w:tc>
          <w:tcPr>
            <w:tcW w:w="6959" w:type="dxa"/>
            <w:vAlign w:val="center"/>
          </w:tcPr>
          <w:p w14:paraId="61384C9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依托街道141一体化基层智治平台，升级智能监控与预警系统升级，在街道重点区域部署高清摄像头，并搭载智能分析算法，构建风险预警模型。</w:t>
            </w:r>
          </w:p>
        </w:tc>
        <w:tc>
          <w:tcPr>
            <w:tcW w:w="2083" w:type="dxa"/>
            <w:vAlign w:val="center"/>
          </w:tcPr>
          <w:p w14:paraId="077F78CF">
            <w:pPr>
              <w:keepNext w:val="0"/>
              <w:keepLines w:val="0"/>
              <w:pageBreakBefore w:val="0"/>
              <w:widowControl/>
              <w:kinsoku/>
              <w:wordWrap/>
              <w:overflowPunct/>
              <w:topLinePunct w:val="0"/>
              <w:autoSpaceDE/>
              <w:autoSpaceDN/>
              <w:bidi w:val="0"/>
              <w:adjustRightInd w:val="0"/>
              <w:snapToGrid w:val="0"/>
              <w:spacing w:beforeAutospacing="0" w:afterAutospacing="0" w:line="0" w:lineRule="atLeas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219ACB6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方正仿宋_GBK" w:cs="Times New Roman"/>
                <w:color w:val="000000"/>
                <w:sz w:val="24"/>
                <w:szCs w:val="24"/>
                <w:lang w:eastAsia="zh-CN"/>
              </w:rPr>
            </w:pPr>
            <w:r>
              <w:rPr>
                <w:rFonts w:ascii="Times New Roman" w:hAnsi="Times New Roman" w:eastAsia="方正仿宋_GBK" w:cs="Times New Roman"/>
                <w:color w:val="000000"/>
                <w:spacing w:val="-6"/>
                <w:sz w:val="24"/>
                <w:szCs w:val="24"/>
              </w:rPr>
              <w:t>各街道</w:t>
            </w:r>
            <w:r>
              <w:rPr>
                <w:rFonts w:hint="eastAsia" w:ascii="Times New Roman" w:hAnsi="Times New Roman" w:eastAsia="方正仿宋_GBK" w:cs="Times New Roman"/>
                <w:color w:val="000000"/>
                <w:spacing w:val="-6"/>
                <w:sz w:val="24"/>
                <w:szCs w:val="24"/>
                <w:lang w:eastAsia="zh-CN"/>
              </w:rPr>
              <w:t>办事处</w:t>
            </w:r>
          </w:p>
        </w:tc>
      </w:tr>
      <w:tr w14:paraId="7D73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76" w:type="dxa"/>
            <w:vAlign w:val="center"/>
          </w:tcPr>
          <w:p w14:paraId="63B102B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7</w:t>
            </w:r>
          </w:p>
        </w:tc>
        <w:tc>
          <w:tcPr>
            <w:tcW w:w="1967" w:type="dxa"/>
            <w:vAlign w:val="center"/>
          </w:tcPr>
          <w:p w14:paraId="002FA28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渝中区文图两馆提档升级项目</w:t>
            </w:r>
          </w:p>
        </w:tc>
        <w:tc>
          <w:tcPr>
            <w:tcW w:w="6959" w:type="dxa"/>
            <w:vAlign w:val="center"/>
          </w:tcPr>
          <w:p w14:paraId="743BF26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改造文化馆、图书馆，扩展虚拟空间，建立文图两馆数字体验区，打造图书馆智慧化服务系统和文化馆数字化系统。</w:t>
            </w:r>
          </w:p>
        </w:tc>
        <w:tc>
          <w:tcPr>
            <w:tcW w:w="2083" w:type="dxa"/>
            <w:vAlign w:val="center"/>
          </w:tcPr>
          <w:p w14:paraId="002D4781">
            <w:pPr>
              <w:keepNext w:val="0"/>
              <w:keepLines w:val="0"/>
              <w:pageBreakBefore w:val="0"/>
              <w:widowControl/>
              <w:kinsoku/>
              <w:wordWrap/>
              <w:overflowPunct/>
              <w:topLinePunct w:val="0"/>
              <w:autoSpaceDE/>
              <w:autoSpaceDN/>
              <w:bidi w:val="0"/>
              <w:adjustRightInd w:val="0"/>
              <w:snapToGrid w:val="0"/>
              <w:spacing w:beforeAutospacing="0" w:afterAutospacing="0" w:line="0" w:lineRule="atLeas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59B6547E">
            <w:pPr>
              <w:keepNext w:val="0"/>
              <w:keepLines w:val="0"/>
              <w:pageBreakBefore w:val="0"/>
              <w:widowControl w:val="0"/>
              <w:kinsoku/>
              <w:wordWrap/>
              <w:overflowPunct/>
              <w:topLinePunct w:val="0"/>
              <w:autoSpaceDE/>
              <w:autoSpaceDN/>
              <w:bidi w:val="0"/>
              <w:spacing w:beforeAutospacing="0" w:afterAutospacing="0" w:line="0" w:lineRule="atLeast"/>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pacing w:val="-6"/>
                <w:sz w:val="24"/>
                <w:szCs w:val="24"/>
                <w:lang w:eastAsia="zh-CN"/>
              </w:rPr>
              <w:t>区文化旅游委</w:t>
            </w:r>
          </w:p>
        </w:tc>
      </w:tr>
    </w:tbl>
    <w:p w14:paraId="0BF5DDBD">
      <w:pPr>
        <w:rPr>
          <w:rFonts w:eastAsia="方正小标宋_GBK"/>
          <w:sz w:val="44"/>
          <w:szCs w:val="44"/>
        </w:rPr>
      </w:pPr>
      <w:r>
        <w:rPr>
          <w:rFonts w:eastAsia="方正小标宋_GBK"/>
          <w:sz w:val="44"/>
          <w:szCs w:val="44"/>
        </w:rPr>
        <w:br w:type="page"/>
      </w:r>
    </w:p>
    <w:p w14:paraId="1C5FBF5C">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lang w:eastAsia="zh-CN"/>
        </w:rPr>
        <w:t>附件</w:t>
      </w:r>
      <w:r>
        <w:rPr>
          <w:rFonts w:ascii="Times New Roman" w:hAnsi="Times New Roman" w:eastAsia="方正黑体_GBK" w:cs="Times New Roman"/>
          <w:sz w:val="32"/>
          <w:szCs w:val="32"/>
          <w:lang w:val="en-US" w:eastAsia="zh-CN"/>
        </w:rPr>
        <w:t>2</w:t>
      </w:r>
    </w:p>
    <w:p w14:paraId="5648B670">
      <w:pPr>
        <w:pStyle w:val="3"/>
        <w:keepNext w:val="0"/>
        <w:keepLines w:val="0"/>
        <w:pageBreakBefore w:val="0"/>
        <w:widowControl w:val="0"/>
        <w:kinsoku/>
        <w:wordWrap/>
        <w:overflowPunct w:val="0"/>
        <w:topLinePunct w:val="0"/>
        <w:autoSpaceDE/>
        <w:autoSpaceDN/>
        <w:bidi w:val="0"/>
        <w:adjustRightInd/>
        <w:snapToGrid/>
        <w:spacing w:line="620" w:lineRule="exact"/>
        <w:textAlignment w:val="auto"/>
        <w:rPr>
          <w:lang w:val="en-US" w:eastAsia="zh-CN"/>
        </w:rPr>
      </w:pPr>
    </w:p>
    <w:p w14:paraId="1F68E372">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eastAsia="方正小标宋_GBK"/>
          <w:sz w:val="44"/>
          <w:szCs w:val="44"/>
        </w:rPr>
      </w:pPr>
      <w:r>
        <w:rPr>
          <w:rFonts w:hint="eastAsia" w:ascii="Times New Roman" w:hAnsi="Times New Roman" w:eastAsia="方正小标宋_GBK" w:cs="Times New Roman"/>
          <w:sz w:val="44"/>
          <w:szCs w:val="44"/>
        </w:rPr>
        <w:t>渝中区可持续城市更新</w:t>
      </w:r>
      <w:r>
        <w:rPr>
          <w:rFonts w:eastAsia="方正小标宋_GBK"/>
          <w:sz w:val="44"/>
          <w:szCs w:val="44"/>
        </w:rPr>
        <w:t>重大政策清单</w:t>
      </w:r>
    </w:p>
    <w:p w14:paraId="296350CF">
      <w:pPr>
        <w:pStyle w:val="3"/>
        <w:keepNext w:val="0"/>
        <w:keepLines w:val="0"/>
        <w:pageBreakBefore w:val="0"/>
        <w:widowControl w:val="0"/>
        <w:kinsoku/>
        <w:wordWrap/>
        <w:overflowPunct w:val="0"/>
        <w:topLinePunct w:val="0"/>
        <w:autoSpaceDE/>
        <w:autoSpaceDN/>
        <w:bidi w:val="0"/>
        <w:adjustRightInd/>
        <w:snapToGrid/>
        <w:spacing w:line="620" w:lineRule="exact"/>
        <w:textAlignment w:val="auto"/>
      </w:pPr>
    </w:p>
    <w:tbl>
      <w:tblPr>
        <w:tblStyle w:val="8"/>
        <w:tblW w:w="14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925"/>
        <w:gridCol w:w="4235"/>
      </w:tblGrid>
      <w:tr w14:paraId="7FE8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trPr>
        <w:tc>
          <w:tcPr>
            <w:tcW w:w="993" w:type="dxa"/>
          </w:tcPr>
          <w:p w14:paraId="5CB689BB">
            <w:pPr>
              <w:snapToGrid w:val="0"/>
              <w:spacing w:line="240" w:lineRule="atLeast"/>
              <w:jc w:val="center"/>
              <w:rPr>
                <w:rFonts w:eastAsia="方正黑体_GBK"/>
                <w:sz w:val="24"/>
                <w:szCs w:val="24"/>
              </w:rPr>
            </w:pPr>
            <w:r>
              <w:rPr>
                <w:rFonts w:eastAsia="方正黑体_GBK"/>
                <w:sz w:val="24"/>
                <w:szCs w:val="24"/>
              </w:rPr>
              <w:t>序号</w:t>
            </w:r>
          </w:p>
        </w:tc>
        <w:tc>
          <w:tcPr>
            <w:tcW w:w="8925" w:type="dxa"/>
          </w:tcPr>
          <w:p w14:paraId="248ACB9C">
            <w:pPr>
              <w:snapToGrid w:val="0"/>
              <w:spacing w:line="240" w:lineRule="atLeast"/>
              <w:jc w:val="center"/>
              <w:rPr>
                <w:rFonts w:eastAsia="方正黑体_GBK"/>
                <w:sz w:val="24"/>
                <w:szCs w:val="24"/>
              </w:rPr>
            </w:pPr>
            <w:r>
              <w:rPr>
                <w:rFonts w:eastAsia="方正黑体_GBK"/>
                <w:sz w:val="24"/>
                <w:szCs w:val="24"/>
              </w:rPr>
              <w:t>政策内容</w:t>
            </w:r>
          </w:p>
        </w:tc>
        <w:tc>
          <w:tcPr>
            <w:tcW w:w="4235" w:type="dxa"/>
          </w:tcPr>
          <w:p w14:paraId="695AFE02">
            <w:pPr>
              <w:snapToGrid w:val="0"/>
              <w:spacing w:line="240" w:lineRule="atLeast"/>
              <w:jc w:val="center"/>
              <w:rPr>
                <w:rFonts w:eastAsia="方正黑体_GBK"/>
                <w:sz w:val="24"/>
                <w:szCs w:val="24"/>
              </w:rPr>
            </w:pPr>
            <w:r>
              <w:rPr>
                <w:rFonts w:eastAsia="方正黑体_GBK"/>
                <w:sz w:val="24"/>
                <w:szCs w:val="24"/>
              </w:rPr>
              <w:t>责任单位</w:t>
            </w:r>
          </w:p>
        </w:tc>
      </w:tr>
      <w:tr w14:paraId="0080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vAlign w:val="center"/>
          </w:tcPr>
          <w:p w14:paraId="17CE6C32">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w:t>
            </w:r>
          </w:p>
        </w:tc>
        <w:tc>
          <w:tcPr>
            <w:tcW w:w="8925" w:type="dxa"/>
            <w:vAlign w:val="center"/>
          </w:tcPr>
          <w:p w14:paraId="26E30AC9">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渝中区可持续城市更新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十五五</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规划</w:t>
            </w:r>
          </w:p>
        </w:tc>
        <w:tc>
          <w:tcPr>
            <w:tcW w:w="4235" w:type="dxa"/>
            <w:vAlign w:val="center"/>
          </w:tcPr>
          <w:p w14:paraId="6EF4150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47A2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vAlign w:val="center"/>
          </w:tcPr>
          <w:p w14:paraId="6622225A">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2</w:t>
            </w:r>
          </w:p>
        </w:tc>
        <w:tc>
          <w:tcPr>
            <w:tcW w:w="8925" w:type="dxa"/>
            <w:vAlign w:val="center"/>
          </w:tcPr>
          <w:p w14:paraId="266FA49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渝中区可持续城市更新三年行动计划</w:t>
            </w:r>
          </w:p>
        </w:tc>
        <w:tc>
          <w:tcPr>
            <w:tcW w:w="4235" w:type="dxa"/>
            <w:vAlign w:val="center"/>
          </w:tcPr>
          <w:p w14:paraId="4A146F47">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75A4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vAlign w:val="center"/>
          </w:tcPr>
          <w:p w14:paraId="674B52AE">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3</w:t>
            </w:r>
          </w:p>
        </w:tc>
        <w:tc>
          <w:tcPr>
            <w:tcW w:w="8925" w:type="dxa"/>
            <w:vAlign w:val="center"/>
          </w:tcPr>
          <w:p w14:paraId="28249065">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低效用地再开发政策路径研究</w:t>
            </w:r>
          </w:p>
        </w:tc>
        <w:tc>
          <w:tcPr>
            <w:tcW w:w="4235" w:type="dxa"/>
            <w:vAlign w:val="center"/>
          </w:tcPr>
          <w:p w14:paraId="388E863D">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区规资局</w:t>
            </w:r>
          </w:p>
        </w:tc>
      </w:tr>
      <w:tr w14:paraId="0E6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vAlign w:val="center"/>
          </w:tcPr>
          <w:p w14:paraId="00384093">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4</w:t>
            </w:r>
          </w:p>
        </w:tc>
        <w:tc>
          <w:tcPr>
            <w:tcW w:w="8925" w:type="dxa"/>
            <w:vAlign w:val="center"/>
          </w:tcPr>
          <w:p w14:paraId="07E414A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消防相关政</w:t>
            </w:r>
            <w:r>
              <w:rPr>
                <w:rFonts w:ascii="Times New Roman" w:hAnsi="Times New Roman" w:eastAsia="方正仿宋_GBK" w:cs="Times New Roman"/>
                <w:color w:val="000000"/>
                <w:sz w:val="24"/>
                <w:szCs w:val="24"/>
              </w:rPr>
              <w:t>策3.0版本</w:t>
            </w:r>
          </w:p>
        </w:tc>
        <w:tc>
          <w:tcPr>
            <w:tcW w:w="4235" w:type="dxa"/>
            <w:vAlign w:val="center"/>
          </w:tcPr>
          <w:p w14:paraId="0A71E59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区住建委、区消防救援局</w:t>
            </w:r>
          </w:p>
        </w:tc>
      </w:tr>
      <w:tr w14:paraId="2DA9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310C4192">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5</w:t>
            </w:r>
          </w:p>
        </w:tc>
        <w:tc>
          <w:tcPr>
            <w:tcW w:w="8925" w:type="dxa"/>
            <w:vAlign w:val="center"/>
          </w:tcPr>
          <w:p w14:paraId="492310C6">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老旧小区自主更新、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原拆原建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政策</w:t>
            </w:r>
          </w:p>
        </w:tc>
        <w:tc>
          <w:tcPr>
            <w:tcW w:w="4235" w:type="dxa"/>
            <w:vAlign w:val="center"/>
          </w:tcPr>
          <w:p w14:paraId="25B42B3C">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区住建委、区规资局</w:t>
            </w:r>
          </w:p>
        </w:tc>
      </w:tr>
      <w:tr w14:paraId="329D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3FDB5F6E">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6</w:t>
            </w:r>
          </w:p>
        </w:tc>
        <w:tc>
          <w:tcPr>
            <w:tcW w:w="8925" w:type="dxa"/>
            <w:vAlign w:val="center"/>
          </w:tcPr>
          <w:p w14:paraId="52B33404">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鼓励在城市更新（老旧小区改造）中发展保障性租赁住房的指导意见</w:t>
            </w:r>
          </w:p>
        </w:tc>
        <w:tc>
          <w:tcPr>
            <w:tcW w:w="4235" w:type="dxa"/>
            <w:vAlign w:val="center"/>
          </w:tcPr>
          <w:p w14:paraId="15543DE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3A1C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78E42CDD">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7</w:t>
            </w:r>
          </w:p>
        </w:tc>
        <w:tc>
          <w:tcPr>
            <w:tcW w:w="8925" w:type="dxa"/>
            <w:vAlign w:val="center"/>
          </w:tcPr>
          <w:p w14:paraId="0B05FE6D">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规范物业小区公共收益管理的指导意见</w:t>
            </w:r>
          </w:p>
        </w:tc>
        <w:tc>
          <w:tcPr>
            <w:tcW w:w="4235" w:type="dxa"/>
            <w:vAlign w:val="center"/>
          </w:tcPr>
          <w:p w14:paraId="7464B45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733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110817FC">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8</w:t>
            </w:r>
          </w:p>
        </w:tc>
        <w:tc>
          <w:tcPr>
            <w:tcW w:w="8925" w:type="dxa"/>
            <w:vAlign w:val="center"/>
          </w:tcPr>
          <w:p w14:paraId="625E00DA">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房屋使用全生命周期安全管理制度</w:t>
            </w:r>
          </w:p>
        </w:tc>
        <w:tc>
          <w:tcPr>
            <w:tcW w:w="4235" w:type="dxa"/>
            <w:vAlign w:val="center"/>
          </w:tcPr>
          <w:p w14:paraId="51B2181E">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68FF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55D32275">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9</w:t>
            </w:r>
          </w:p>
        </w:tc>
        <w:tc>
          <w:tcPr>
            <w:tcW w:w="8925" w:type="dxa"/>
            <w:vAlign w:val="center"/>
          </w:tcPr>
          <w:p w14:paraId="336EBD81">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城市地下管网建设改造实施方案</w:t>
            </w:r>
          </w:p>
        </w:tc>
        <w:tc>
          <w:tcPr>
            <w:tcW w:w="4235" w:type="dxa"/>
            <w:vAlign w:val="center"/>
          </w:tcPr>
          <w:p w14:paraId="4D35830C">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区住建委、区城管局、区经信委</w:t>
            </w:r>
          </w:p>
        </w:tc>
      </w:tr>
      <w:tr w14:paraId="07A9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069DBA37">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10</w:t>
            </w:r>
          </w:p>
        </w:tc>
        <w:tc>
          <w:tcPr>
            <w:tcW w:w="8925" w:type="dxa"/>
            <w:vAlign w:val="center"/>
          </w:tcPr>
          <w:p w14:paraId="79D26B4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城市更新中完善公共服务设施配套的工作指引</w:t>
            </w:r>
          </w:p>
        </w:tc>
        <w:tc>
          <w:tcPr>
            <w:tcW w:w="4235" w:type="dxa"/>
            <w:vAlign w:val="center"/>
          </w:tcPr>
          <w:p w14:paraId="38D44033">
            <w:pPr>
              <w:adjustRightInd w:val="0"/>
              <w:snapToGrid w:val="0"/>
              <w:spacing w:line="240" w:lineRule="atLeast"/>
              <w:jc w:val="center"/>
              <w:rPr>
                <w:rFonts w:hint="eastAsia" w:ascii="方正仿宋_GBK" w:eastAsia="方正仿宋_GBK" w:cs="Times New Roman"/>
                <w:color w:val="000000"/>
                <w:sz w:val="24"/>
                <w:szCs w:val="24"/>
                <w:lang w:eastAsia="zh-CN"/>
              </w:rPr>
            </w:pPr>
            <w:r>
              <w:rPr>
                <w:rFonts w:ascii="方正仿宋_GBK" w:eastAsia="方正仿宋_GBK" w:cs="Times New Roman"/>
                <w:color w:val="000000"/>
                <w:sz w:val="24"/>
                <w:szCs w:val="24"/>
              </w:rPr>
              <w:t>区民政局、区</w:t>
            </w:r>
            <w:r>
              <w:rPr>
                <w:rFonts w:hint="eastAsia" w:ascii="方正仿宋_GBK" w:eastAsia="方正仿宋_GBK" w:cs="Times New Roman"/>
                <w:color w:val="000000"/>
                <w:sz w:val="24"/>
                <w:szCs w:val="24"/>
                <w:lang w:eastAsia="zh-CN"/>
              </w:rPr>
              <w:t>卫健委</w:t>
            </w:r>
            <w:r>
              <w:rPr>
                <w:rFonts w:ascii="方正仿宋_GBK" w:eastAsia="方正仿宋_GBK" w:cs="Times New Roman"/>
                <w:color w:val="000000"/>
                <w:sz w:val="24"/>
                <w:szCs w:val="24"/>
              </w:rPr>
              <w:t>、区教委、</w:t>
            </w:r>
            <w:r>
              <w:rPr>
                <w:rFonts w:hint="eastAsia" w:ascii="方正仿宋_GBK" w:eastAsia="方正仿宋_GBK" w:cs="Times New Roman"/>
                <w:color w:val="000000"/>
                <w:sz w:val="24"/>
                <w:szCs w:val="24"/>
                <w:lang w:eastAsia="zh-CN"/>
              </w:rPr>
              <w:t>区文化旅游委</w:t>
            </w:r>
          </w:p>
        </w:tc>
      </w:tr>
      <w:tr w14:paraId="5EE5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709821FA">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11</w:t>
            </w:r>
          </w:p>
        </w:tc>
        <w:tc>
          <w:tcPr>
            <w:tcW w:w="8925" w:type="dxa"/>
            <w:vAlign w:val="center"/>
          </w:tcPr>
          <w:p w14:paraId="4A5CC235">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城市更新金融支持的若干举措</w:t>
            </w:r>
          </w:p>
        </w:tc>
        <w:tc>
          <w:tcPr>
            <w:tcW w:w="4235" w:type="dxa"/>
            <w:vAlign w:val="center"/>
          </w:tcPr>
          <w:p w14:paraId="2B3C100D">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区产业发展促进局</w:t>
            </w:r>
          </w:p>
        </w:tc>
      </w:tr>
      <w:tr w14:paraId="3545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05A7AD81">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12</w:t>
            </w:r>
          </w:p>
        </w:tc>
        <w:tc>
          <w:tcPr>
            <w:tcW w:w="8925" w:type="dxa"/>
            <w:vAlign w:val="center"/>
          </w:tcPr>
          <w:p w14:paraId="38066A60">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城市更新中的创新产业扶持政策</w:t>
            </w:r>
          </w:p>
        </w:tc>
        <w:tc>
          <w:tcPr>
            <w:tcW w:w="4235" w:type="dxa"/>
            <w:vAlign w:val="center"/>
          </w:tcPr>
          <w:p w14:paraId="78AD72CF">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pacing w:val="-6"/>
                <w:sz w:val="24"/>
                <w:szCs w:val="24"/>
              </w:rPr>
              <w:t>区发改委、区商务委、</w:t>
            </w:r>
            <w:r>
              <w:rPr>
                <w:rFonts w:hint="eastAsia" w:ascii="方正仿宋_GBK" w:eastAsia="方正仿宋_GBK" w:cs="Times New Roman"/>
                <w:color w:val="000000"/>
                <w:spacing w:val="-6"/>
                <w:sz w:val="24"/>
                <w:szCs w:val="24"/>
                <w:lang w:eastAsia="zh-CN"/>
              </w:rPr>
              <w:t>区文化旅游委</w:t>
            </w:r>
            <w:r>
              <w:rPr>
                <w:rFonts w:ascii="方正仿宋_GBK" w:eastAsia="方正仿宋_GBK" w:cs="Times New Roman"/>
                <w:color w:val="000000"/>
                <w:spacing w:val="-6"/>
                <w:sz w:val="24"/>
                <w:szCs w:val="24"/>
              </w:rPr>
              <w:t>等</w:t>
            </w:r>
          </w:p>
        </w:tc>
      </w:tr>
    </w:tbl>
    <w:p w14:paraId="3449EDFF"/>
    <w:p w14:paraId="44739DD8">
      <w:pPr>
        <w:spacing w:line="600" w:lineRule="exact"/>
        <w:jc w:val="center"/>
        <w:rPr>
          <w:rFonts w:eastAsia="方正小标宋_GBK"/>
          <w:sz w:val="44"/>
          <w:szCs w:val="44"/>
        </w:rPr>
        <w:sectPr>
          <w:pgSz w:w="16838" w:h="11906" w:orient="landscape"/>
          <w:pgMar w:top="1417" w:right="1417" w:bottom="1417" w:left="1417" w:header="851" w:footer="992" w:gutter="0"/>
          <w:cols w:space="720" w:num="1"/>
          <w:docGrid w:type="lines" w:linePitch="312" w:charSpace="0"/>
        </w:sectPr>
      </w:pPr>
    </w:p>
    <w:p w14:paraId="4AFEC157">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lang w:eastAsia="zh-CN"/>
        </w:rPr>
        <w:t>附件</w:t>
      </w:r>
      <w:r>
        <w:rPr>
          <w:rFonts w:ascii="Times New Roman" w:hAnsi="Times New Roman" w:eastAsia="方正黑体_GBK" w:cs="Times New Roman"/>
          <w:sz w:val="32"/>
          <w:szCs w:val="32"/>
          <w:lang w:val="en-US" w:eastAsia="zh-CN"/>
        </w:rPr>
        <w:t>3</w:t>
      </w:r>
    </w:p>
    <w:p w14:paraId="58C77AA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eastAsia="方正小标宋_GBK"/>
          <w:sz w:val="44"/>
          <w:szCs w:val="44"/>
        </w:rPr>
      </w:pPr>
    </w:p>
    <w:p w14:paraId="56A2F25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eastAsia="方正小标宋_GBK"/>
          <w:sz w:val="44"/>
          <w:szCs w:val="44"/>
        </w:rPr>
      </w:pPr>
      <w:r>
        <w:rPr>
          <w:rFonts w:hint="eastAsia" w:ascii="Times New Roman" w:hAnsi="Times New Roman" w:eastAsia="方正小标宋_GBK" w:cs="Times New Roman"/>
          <w:sz w:val="44"/>
          <w:szCs w:val="44"/>
        </w:rPr>
        <w:t>渝中区可持续城市更新</w:t>
      </w:r>
      <w:r>
        <w:rPr>
          <w:rFonts w:eastAsia="方正小标宋_GBK"/>
          <w:sz w:val="44"/>
          <w:szCs w:val="44"/>
        </w:rPr>
        <w:t>重大改革清单</w:t>
      </w:r>
    </w:p>
    <w:p w14:paraId="5B159E1F">
      <w:pPr>
        <w:keepNext w:val="0"/>
        <w:keepLines w:val="0"/>
        <w:pageBreakBefore w:val="0"/>
        <w:widowControl w:val="0"/>
        <w:kinsoku/>
        <w:wordWrap/>
        <w:overflowPunct/>
        <w:topLinePunct w:val="0"/>
        <w:autoSpaceDE/>
        <w:autoSpaceDN/>
        <w:bidi w:val="0"/>
        <w:adjustRightInd/>
        <w:snapToGrid/>
        <w:spacing w:line="620" w:lineRule="exact"/>
        <w:textAlignment w:val="auto"/>
      </w:pPr>
    </w:p>
    <w:tbl>
      <w:tblPr>
        <w:tblStyle w:val="8"/>
        <w:tblW w:w="13827"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35"/>
        <w:gridCol w:w="9169"/>
        <w:gridCol w:w="1680"/>
      </w:tblGrid>
      <w:tr w14:paraId="2DCA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943" w:type="dxa"/>
            <w:vAlign w:val="center"/>
          </w:tcPr>
          <w:p w14:paraId="255584E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eastAsia="方正黑体_GBK"/>
                <w:sz w:val="24"/>
                <w:szCs w:val="24"/>
              </w:rPr>
            </w:pPr>
            <w:r>
              <w:rPr>
                <w:rFonts w:eastAsia="方正黑体_GBK"/>
                <w:sz w:val="24"/>
                <w:szCs w:val="24"/>
              </w:rPr>
              <w:t>序号</w:t>
            </w:r>
          </w:p>
        </w:tc>
        <w:tc>
          <w:tcPr>
            <w:tcW w:w="2035" w:type="dxa"/>
            <w:vAlign w:val="center"/>
          </w:tcPr>
          <w:p w14:paraId="27FEC74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eastAsia="方正黑体_GBK"/>
                <w:sz w:val="24"/>
                <w:szCs w:val="24"/>
              </w:rPr>
            </w:pPr>
            <w:r>
              <w:rPr>
                <w:rFonts w:eastAsia="方正黑体_GBK"/>
                <w:sz w:val="24"/>
                <w:szCs w:val="24"/>
              </w:rPr>
              <w:t>改革事项</w:t>
            </w:r>
          </w:p>
        </w:tc>
        <w:tc>
          <w:tcPr>
            <w:tcW w:w="9169" w:type="dxa"/>
            <w:vAlign w:val="center"/>
          </w:tcPr>
          <w:p w14:paraId="1F39F232">
            <w:pPr>
              <w:keepNext w:val="0"/>
              <w:keepLines w:val="0"/>
              <w:pageBreakBefore w:val="0"/>
              <w:widowControl w:val="0"/>
              <w:tabs>
                <w:tab w:val="left" w:pos="495"/>
              </w:tabs>
              <w:kinsoku/>
              <w:wordWrap/>
              <w:overflowPunct/>
              <w:topLinePunct w:val="0"/>
              <w:autoSpaceDE/>
              <w:autoSpaceDN/>
              <w:bidi w:val="0"/>
              <w:adjustRightInd/>
              <w:snapToGrid w:val="0"/>
              <w:spacing w:line="380" w:lineRule="exact"/>
              <w:jc w:val="center"/>
              <w:textAlignment w:val="auto"/>
              <w:rPr>
                <w:rFonts w:eastAsia="方正黑体_GBK"/>
                <w:sz w:val="24"/>
                <w:szCs w:val="24"/>
              </w:rPr>
            </w:pPr>
            <w:r>
              <w:rPr>
                <w:rFonts w:eastAsia="方正黑体_GBK"/>
                <w:sz w:val="24"/>
                <w:szCs w:val="24"/>
              </w:rPr>
              <w:t>内容</w:t>
            </w:r>
          </w:p>
        </w:tc>
        <w:tc>
          <w:tcPr>
            <w:tcW w:w="1680" w:type="dxa"/>
            <w:vAlign w:val="center"/>
          </w:tcPr>
          <w:p w14:paraId="7C69A85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eastAsia="方正黑体_GBK"/>
                <w:sz w:val="24"/>
                <w:szCs w:val="24"/>
              </w:rPr>
            </w:pPr>
            <w:r>
              <w:rPr>
                <w:rFonts w:eastAsia="方正黑体_GBK"/>
                <w:sz w:val="24"/>
                <w:szCs w:val="24"/>
              </w:rPr>
              <w:t>责任单位</w:t>
            </w:r>
          </w:p>
        </w:tc>
      </w:tr>
      <w:tr w14:paraId="196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943" w:type="dxa"/>
            <w:vAlign w:val="center"/>
          </w:tcPr>
          <w:p w14:paraId="2B47977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imes New Roman" w:hAnsi="Times New Roman" w:cs="Times New Roman"/>
                <w:bCs/>
                <w:sz w:val="24"/>
                <w:szCs w:val="24"/>
              </w:rPr>
            </w:pPr>
            <w:r>
              <w:rPr>
                <w:rFonts w:ascii="Times New Roman" w:hAnsi="Times New Roman" w:cs="Times New Roman"/>
                <w:bCs/>
                <w:sz w:val="24"/>
                <w:szCs w:val="24"/>
              </w:rPr>
              <w:t>1</w:t>
            </w:r>
          </w:p>
        </w:tc>
        <w:tc>
          <w:tcPr>
            <w:tcW w:w="2035" w:type="dxa"/>
            <w:vAlign w:val="center"/>
          </w:tcPr>
          <w:p w14:paraId="3F58BF0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完善可持续城市更新模式</w:t>
            </w:r>
          </w:p>
        </w:tc>
        <w:tc>
          <w:tcPr>
            <w:tcW w:w="9169" w:type="dxa"/>
            <w:vAlign w:val="center"/>
          </w:tcPr>
          <w:p w14:paraId="1E62290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以片区规划为引领、项目谋划为重点、专业化运营为导向，提升存量资产价值，构建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规划—投资—改造—运营—增值</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的全周期模式。健全完善与城市更新相适应的规划、土地、金融、税费、产业、项目政策体系，推动构建当期投入可承受、远期成本可平衡、常态机制可匹配的可持续城市更新模式。</w:t>
            </w:r>
          </w:p>
        </w:tc>
        <w:tc>
          <w:tcPr>
            <w:tcW w:w="1680" w:type="dxa"/>
            <w:vAlign w:val="center"/>
          </w:tcPr>
          <w:p w14:paraId="6B7B0A1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6129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943" w:type="dxa"/>
            <w:vAlign w:val="center"/>
          </w:tcPr>
          <w:p w14:paraId="032386D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imes New Roman" w:hAnsi="Times New Roman" w:cs="Times New Roman"/>
                <w:bCs/>
                <w:sz w:val="24"/>
                <w:szCs w:val="24"/>
              </w:rPr>
            </w:pPr>
            <w:r>
              <w:rPr>
                <w:rFonts w:ascii="Times New Roman" w:hAnsi="Times New Roman" w:cs="Times New Roman"/>
                <w:bCs/>
                <w:sz w:val="24"/>
                <w:szCs w:val="24"/>
              </w:rPr>
              <w:t>2</w:t>
            </w:r>
          </w:p>
        </w:tc>
        <w:tc>
          <w:tcPr>
            <w:tcW w:w="2035" w:type="dxa"/>
            <w:vAlign w:val="center"/>
          </w:tcPr>
          <w:p w14:paraId="7C946F2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大综合一体化</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城市综合治理体制机制</w:t>
            </w:r>
          </w:p>
        </w:tc>
        <w:tc>
          <w:tcPr>
            <w:tcW w:w="9169" w:type="dxa"/>
            <w:vAlign w:val="center"/>
          </w:tcPr>
          <w:p w14:paraId="376663E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打造人工智能赋能城市规建运治综合场景，实现从规划建设到运营治理的全过程智控。迭代渝中区国土空间数据综合系统（GIS），构建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挂图作战</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智能体系。落实</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9+2</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中心城区一体化治理，在风险防控、缓堵促畅等领域先行突破，构建区级统筹、横向协同、纵向贯通的城市综合治理新格局。深化行政执法一体化改革，优化</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执法+监督</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应用，打造</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信用+</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赋能超大城市治理综合场景矩阵，打通信用系统与专业执法、综合执法一体关联。</w:t>
            </w:r>
          </w:p>
        </w:tc>
        <w:tc>
          <w:tcPr>
            <w:tcW w:w="1680" w:type="dxa"/>
            <w:vAlign w:val="center"/>
          </w:tcPr>
          <w:p w14:paraId="68A93DB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区城治办</w:t>
            </w:r>
          </w:p>
        </w:tc>
      </w:tr>
      <w:tr w14:paraId="78B0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43" w:type="dxa"/>
            <w:vAlign w:val="center"/>
          </w:tcPr>
          <w:p w14:paraId="697BB75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imes New Roman" w:hAnsi="Times New Roman" w:cs="Times New Roman"/>
                <w:bCs/>
                <w:sz w:val="24"/>
                <w:szCs w:val="24"/>
              </w:rPr>
            </w:pPr>
            <w:r>
              <w:rPr>
                <w:rFonts w:ascii="Times New Roman" w:hAnsi="Times New Roman" w:cs="Times New Roman"/>
                <w:bCs/>
                <w:sz w:val="24"/>
                <w:szCs w:val="24"/>
              </w:rPr>
              <w:t>3</w:t>
            </w:r>
          </w:p>
        </w:tc>
        <w:tc>
          <w:tcPr>
            <w:tcW w:w="2035" w:type="dxa"/>
            <w:vAlign w:val="center"/>
          </w:tcPr>
          <w:p w14:paraId="4727D88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城市体检更新一体化工作机制</w:t>
            </w:r>
          </w:p>
        </w:tc>
        <w:tc>
          <w:tcPr>
            <w:tcW w:w="9169" w:type="dxa"/>
            <w:vAlign w:val="center"/>
          </w:tcPr>
          <w:p w14:paraId="5F97DBB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围绕建设</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好房子</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好小区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好社区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好城区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开展城市体检工作，形成涵盖</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城市病</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综合体检、城市更新前期调查、更新绩效评估的城市体检与城市更新全生命周期监测的长效机制。</w:t>
            </w:r>
          </w:p>
        </w:tc>
        <w:tc>
          <w:tcPr>
            <w:tcW w:w="1680" w:type="dxa"/>
            <w:vAlign w:val="center"/>
          </w:tcPr>
          <w:p w14:paraId="698F9EC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1CC5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943" w:type="dxa"/>
            <w:vAlign w:val="center"/>
          </w:tcPr>
          <w:p w14:paraId="660B9498">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4</w:t>
            </w:r>
          </w:p>
        </w:tc>
        <w:tc>
          <w:tcPr>
            <w:tcW w:w="2035" w:type="dxa"/>
            <w:vAlign w:val="center"/>
          </w:tcPr>
          <w:p w14:paraId="25BFA5A7">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基础设施投融资改革</w:t>
            </w:r>
          </w:p>
        </w:tc>
        <w:tc>
          <w:tcPr>
            <w:tcW w:w="9169" w:type="dxa"/>
            <w:vAlign w:val="center"/>
          </w:tcPr>
          <w:p w14:paraId="77386D23">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积极争取中央预算内投资、超长期特别国债等中央资金，支持央企、市属国企采用</w:t>
            </w:r>
            <w:r>
              <w:rPr>
                <w:rFonts w:hint="eastAsia" w:ascii="方正仿宋_GBK" w:eastAsia="方正仿宋_GBK" w:cs="Times New Roman"/>
                <w:color w:val="000000"/>
                <w:sz w:val="24"/>
                <w:szCs w:val="24"/>
                <w:lang w:eastAsia="zh-CN"/>
              </w:rPr>
              <w:t>“</w:t>
            </w:r>
            <w:r>
              <w:rPr>
                <w:rFonts w:hint="eastAsia" w:ascii="方正仿宋_GBK" w:eastAsia="方正仿宋_GBK" w:cs="Times New Roman"/>
                <w:color w:val="000000"/>
                <w:sz w:val="24"/>
                <w:szCs w:val="24"/>
              </w:rPr>
              <w:t>规建治投融运</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一体化方式开展片区更新。创新推广以项目自平衡为核心的投融资模式，探索城市建设公益性项目与经营性项目综合开发。强化政金企协作，鼓励在渝金融机构量身定制适配城市更新金融品种，鼓励通过特许经营、基础设施REITs等市场化路径，吸引金融机构、社会资本深度参与城市配套基础设施建设。稳慎推进公用事业价格改革。强化市场有效政府有为结合，健全地方债务管理长效机制，规范城市更新建设支出机制，提高资金使用效益。</w:t>
            </w:r>
          </w:p>
        </w:tc>
        <w:tc>
          <w:tcPr>
            <w:tcW w:w="1680" w:type="dxa"/>
            <w:vAlign w:val="center"/>
          </w:tcPr>
          <w:p w14:paraId="0E7950F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区发改委</w:t>
            </w:r>
          </w:p>
        </w:tc>
      </w:tr>
      <w:tr w14:paraId="21EB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943" w:type="dxa"/>
            <w:vAlign w:val="center"/>
          </w:tcPr>
          <w:p w14:paraId="26CFFE25">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5</w:t>
            </w:r>
          </w:p>
        </w:tc>
        <w:tc>
          <w:tcPr>
            <w:tcW w:w="2035" w:type="dxa"/>
            <w:vAlign w:val="center"/>
          </w:tcPr>
          <w:p w14:paraId="2D45177F">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老旧小区自主更新、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原拆原建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模式</w:t>
            </w:r>
          </w:p>
        </w:tc>
        <w:tc>
          <w:tcPr>
            <w:tcW w:w="9169" w:type="dxa"/>
            <w:vAlign w:val="center"/>
          </w:tcPr>
          <w:p w14:paraId="7BF84A67">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研究出台鼓励居民自主更新老旧住宅专项政策，通过容积率奖励、产权确权、公积金支持、税费减免、设立自主更新奖补经费等方式，支持产权所有人自主更新。明晰产权人出资责任，更新配套地下车库及社区运营空间形成</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微利可持续</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收益，形成</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居民筹+社会投</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的多元投入模式。</w:t>
            </w:r>
          </w:p>
        </w:tc>
        <w:tc>
          <w:tcPr>
            <w:tcW w:w="1680" w:type="dxa"/>
            <w:vAlign w:val="center"/>
          </w:tcPr>
          <w:p w14:paraId="257551E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区住建委、区规资局</w:t>
            </w:r>
          </w:p>
        </w:tc>
      </w:tr>
      <w:tr w14:paraId="14A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43" w:type="dxa"/>
            <w:vAlign w:val="center"/>
          </w:tcPr>
          <w:p w14:paraId="6471042E">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6</w:t>
            </w:r>
          </w:p>
        </w:tc>
        <w:tc>
          <w:tcPr>
            <w:tcW w:w="2035" w:type="dxa"/>
            <w:vAlign w:val="center"/>
          </w:tcPr>
          <w:p w14:paraId="379BF655">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三维地籍管理</w:t>
            </w:r>
          </w:p>
        </w:tc>
        <w:tc>
          <w:tcPr>
            <w:tcW w:w="9169" w:type="dxa"/>
            <w:vAlign w:val="center"/>
          </w:tcPr>
          <w:p w14:paraId="133F8B73">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完成三维权利设置、三维地籍调查和三维确权登记探索研究，实现精准设权、精准管理和精准登记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推出具有重庆特色的典型案例，打出渝中辨识度，当好全市加快建设全面深化改革先行区的</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探路先锋</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w:t>
            </w:r>
          </w:p>
        </w:tc>
        <w:tc>
          <w:tcPr>
            <w:tcW w:w="1680" w:type="dxa"/>
            <w:vAlign w:val="center"/>
          </w:tcPr>
          <w:p w14:paraId="425D782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区规资局</w:t>
            </w:r>
          </w:p>
        </w:tc>
      </w:tr>
      <w:tr w14:paraId="6E8B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43" w:type="dxa"/>
            <w:vAlign w:val="center"/>
          </w:tcPr>
          <w:p w14:paraId="515A4915">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7</w:t>
            </w:r>
          </w:p>
        </w:tc>
        <w:tc>
          <w:tcPr>
            <w:tcW w:w="2035" w:type="dxa"/>
            <w:vAlign w:val="center"/>
          </w:tcPr>
          <w:p w14:paraId="5A94296C">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以运营为导向的收益补充机制</w:t>
            </w:r>
          </w:p>
        </w:tc>
        <w:tc>
          <w:tcPr>
            <w:tcW w:w="9169" w:type="dxa"/>
            <w:vAlign w:val="center"/>
          </w:tcPr>
          <w:p w14:paraId="38A61097">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充分发掘老旧街区闲置低效空间，运用免租减租政策，吸引社会资本投资运营满足社区公共服务配套所需的功能。建立社会合伙人准入与考评机制，引入合作实现高效市场化运营，推动城市更新投入产出动态平衡。</w:t>
            </w:r>
          </w:p>
        </w:tc>
        <w:tc>
          <w:tcPr>
            <w:tcW w:w="1680" w:type="dxa"/>
            <w:vAlign w:val="center"/>
          </w:tcPr>
          <w:p w14:paraId="6D4D792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各街道办事处</w:t>
            </w:r>
          </w:p>
        </w:tc>
      </w:tr>
      <w:tr w14:paraId="08B5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3" w:type="dxa"/>
            <w:vAlign w:val="center"/>
          </w:tcPr>
          <w:p w14:paraId="3AA5005F">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8</w:t>
            </w:r>
          </w:p>
        </w:tc>
        <w:tc>
          <w:tcPr>
            <w:tcW w:w="2035" w:type="dxa"/>
            <w:vAlign w:val="center"/>
          </w:tcPr>
          <w:p w14:paraId="2D5EFAFA">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小区公共收益、物业专项维修资金的长效管理机制</w:t>
            </w:r>
          </w:p>
        </w:tc>
        <w:tc>
          <w:tcPr>
            <w:tcW w:w="9169" w:type="dxa"/>
            <w:vAlign w:val="center"/>
          </w:tcPr>
          <w:p w14:paraId="45193EB1">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加强对公共收益、物业专项维修资金、业主分摊费用、业主委员会工作经费等业主共有资金的监督和管理。</w:t>
            </w:r>
          </w:p>
        </w:tc>
        <w:tc>
          <w:tcPr>
            <w:tcW w:w="1680" w:type="dxa"/>
            <w:vAlign w:val="center"/>
          </w:tcPr>
          <w:p w14:paraId="09353B2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5010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43" w:type="dxa"/>
            <w:vAlign w:val="center"/>
          </w:tcPr>
          <w:p w14:paraId="5F6510D8">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9</w:t>
            </w:r>
          </w:p>
        </w:tc>
        <w:tc>
          <w:tcPr>
            <w:tcW w:w="2035" w:type="dxa"/>
            <w:vAlign w:val="center"/>
          </w:tcPr>
          <w:p w14:paraId="3CC67353">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构建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15分钟高品质生活服务圈</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建设体系</w:t>
            </w:r>
          </w:p>
        </w:tc>
        <w:tc>
          <w:tcPr>
            <w:tcW w:w="9169" w:type="dxa"/>
            <w:vAlign w:val="center"/>
          </w:tcPr>
          <w:p w14:paraId="0DF3A98B">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推动</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15分钟高品质生活服务圈</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建设，集成落地健康颐养、创新创业等市民生活应用场景，迭代建强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街巷里的就业平台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屋檐下的学习课堂</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，让市民幸福生活更加真实可感。充分利用闲置土地、房屋、边角空间等存量资源，增设</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劳动港湾</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司机之家</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骑手驿站</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等，打造全域友好场景。统筹推进儿童友好城市建设、适老化改造更新工作。</w:t>
            </w:r>
          </w:p>
        </w:tc>
        <w:tc>
          <w:tcPr>
            <w:tcW w:w="1680" w:type="dxa"/>
            <w:vAlign w:val="center"/>
          </w:tcPr>
          <w:p w14:paraId="0C6F4CA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区发改委、各街道办事处</w:t>
            </w:r>
          </w:p>
        </w:tc>
      </w:tr>
      <w:tr w14:paraId="5FDF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3" w:type="dxa"/>
            <w:vAlign w:val="center"/>
          </w:tcPr>
          <w:p w14:paraId="45227246">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10</w:t>
            </w:r>
          </w:p>
        </w:tc>
        <w:tc>
          <w:tcPr>
            <w:tcW w:w="2035" w:type="dxa"/>
            <w:vAlign w:val="center"/>
          </w:tcPr>
          <w:p w14:paraId="61A3324F">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深入推进</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闲时共享、忙时统筹</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的停车资源共用共享模式</w:t>
            </w:r>
          </w:p>
        </w:tc>
        <w:tc>
          <w:tcPr>
            <w:tcW w:w="9169" w:type="dxa"/>
            <w:vAlign w:val="center"/>
          </w:tcPr>
          <w:p w14:paraId="7358151A">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充分挖掘既有资源潜力，提高停车设施利用效率。</w:t>
            </w:r>
          </w:p>
        </w:tc>
        <w:tc>
          <w:tcPr>
            <w:tcW w:w="1680" w:type="dxa"/>
            <w:vAlign w:val="center"/>
          </w:tcPr>
          <w:p w14:paraId="45934BD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区城管局</w:t>
            </w:r>
          </w:p>
        </w:tc>
      </w:tr>
      <w:tr w14:paraId="43D7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43" w:type="dxa"/>
            <w:vAlign w:val="center"/>
          </w:tcPr>
          <w:p w14:paraId="4414CCF8">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11</w:t>
            </w:r>
          </w:p>
        </w:tc>
        <w:tc>
          <w:tcPr>
            <w:tcW w:w="2035" w:type="dxa"/>
            <w:vAlign w:val="center"/>
          </w:tcPr>
          <w:p w14:paraId="3EA56CE6">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碳数据与碳资产开发运营模式</w:t>
            </w:r>
          </w:p>
        </w:tc>
        <w:tc>
          <w:tcPr>
            <w:tcW w:w="9169" w:type="dxa"/>
            <w:vAlign w:val="center"/>
          </w:tcPr>
          <w:p w14:paraId="741D933F">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以解放碑中央商务区为试点，探索碳数据与碳资产开发运营模式，充分发挥碳数据、碳资产价值。</w:t>
            </w:r>
          </w:p>
        </w:tc>
        <w:tc>
          <w:tcPr>
            <w:tcW w:w="1680" w:type="dxa"/>
            <w:vAlign w:val="center"/>
          </w:tcPr>
          <w:p w14:paraId="6785D61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区发改委</w:t>
            </w:r>
          </w:p>
        </w:tc>
      </w:tr>
      <w:tr w14:paraId="0C16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43" w:type="dxa"/>
            <w:vAlign w:val="center"/>
          </w:tcPr>
          <w:p w14:paraId="061E0238">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12</w:t>
            </w:r>
          </w:p>
        </w:tc>
        <w:tc>
          <w:tcPr>
            <w:tcW w:w="2035" w:type="dxa"/>
            <w:vAlign w:val="center"/>
          </w:tcPr>
          <w:p w14:paraId="3E6A2A70">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探索保障性租赁住房与城市更新融合发展路径</w:t>
            </w:r>
          </w:p>
        </w:tc>
        <w:tc>
          <w:tcPr>
            <w:tcW w:w="9169" w:type="dxa"/>
            <w:vAlign w:val="center"/>
          </w:tcPr>
          <w:p w14:paraId="62F55BF1">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打造</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以租代征</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的保障性租赁住房试点项目；复制成功经验全区推广</w:t>
            </w:r>
          </w:p>
        </w:tc>
        <w:tc>
          <w:tcPr>
            <w:tcW w:w="1680" w:type="dxa"/>
            <w:vAlign w:val="center"/>
          </w:tcPr>
          <w:p w14:paraId="6857E1F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4C9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43" w:type="dxa"/>
            <w:vAlign w:val="center"/>
          </w:tcPr>
          <w:p w14:paraId="2893C84E">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13</w:t>
            </w:r>
          </w:p>
        </w:tc>
        <w:tc>
          <w:tcPr>
            <w:tcW w:w="2035" w:type="dxa"/>
            <w:vAlign w:val="center"/>
          </w:tcPr>
          <w:p w14:paraId="6FB05DBC">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探索高层建筑消防安全数字化治理体系</w:t>
            </w:r>
          </w:p>
        </w:tc>
        <w:tc>
          <w:tcPr>
            <w:tcW w:w="9169" w:type="dxa"/>
            <w:vAlign w:val="center"/>
          </w:tcPr>
          <w:p w14:paraId="1B2B8657">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围绕防火、灭火两大核心业务，全量归集辖区高层建筑、全量归集</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九小场所</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及大型商场数据，全量接入感知资源设备，基于三级治理中心实现多个部门协同闭环处置，探索构建高层消防安全数字化治理体系。</w:t>
            </w:r>
          </w:p>
        </w:tc>
        <w:tc>
          <w:tcPr>
            <w:tcW w:w="1680" w:type="dxa"/>
            <w:vAlign w:val="center"/>
          </w:tcPr>
          <w:p w14:paraId="4DD8AF5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区大数据局、区消防救援局</w:t>
            </w:r>
          </w:p>
        </w:tc>
      </w:tr>
    </w:tbl>
    <w:p w14:paraId="6347B985">
      <w:pPr>
        <w:spacing w:line="600" w:lineRule="exact"/>
        <w:jc w:val="center"/>
        <w:rPr>
          <w:rFonts w:eastAsia="方正小标宋_GBK"/>
          <w:sz w:val="44"/>
          <w:szCs w:val="44"/>
        </w:rPr>
        <w:sectPr>
          <w:footerReference r:id="rId6" w:type="default"/>
          <w:pgSz w:w="16838" w:h="11906" w:orient="landscape"/>
          <w:pgMar w:top="1417" w:right="1417" w:bottom="1417" w:left="1417" w:header="851" w:footer="992" w:gutter="0"/>
          <w:cols w:space="720" w:num="1"/>
          <w:docGrid w:type="lines" w:linePitch="312" w:charSpace="0"/>
        </w:sectPr>
      </w:pPr>
    </w:p>
    <w:p w14:paraId="7FF81ADA">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lang w:eastAsia="zh-CN"/>
        </w:rPr>
        <w:t>附件</w:t>
      </w:r>
      <w:r>
        <w:rPr>
          <w:rFonts w:ascii="Times New Roman" w:hAnsi="Times New Roman" w:eastAsia="方正黑体_GBK" w:cs="Times New Roman"/>
          <w:sz w:val="32"/>
          <w:szCs w:val="32"/>
          <w:lang w:val="en-US" w:eastAsia="zh-CN"/>
        </w:rPr>
        <w:t>4</w:t>
      </w:r>
    </w:p>
    <w:p w14:paraId="582B992F">
      <w:pPr>
        <w:pStyle w:val="3"/>
        <w:keepNext w:val="0"/>
        <w:keepLines w:val="0"/>
        <w:pageBreakBefore w:val="0"/>
        <w:widowControl w:val="0"/>
        <w:kinsoku/>
        <w:wordWrap/>
        <w:overflowPunct w:val="0"/>
        <w:topLinePunct w:val="0"/>
        <w:autoSpaceDE/>
        <w:autoSpaceDN/>
        <w:bidi w:val="0"/>
        <w:adjustRightInd/>
        <w:snapToGrid/>
        <w:spacing w:line="620" w:lineRule="exact"/>
        <w:textAlignment w:val="auto"/>
        <w:rPr>
          <w:rFonts w:hint="eastAsia"/>
          <w:lang w:val="en-US" w:eastAsia="zh-CN"/>
        </w:rPr>
      </w:pPr>
    </w:p>
    <w:p w14:paraId="34FB1683">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eastAsia="方正小标宋_GBK"/>
          <w:sz w:val="44"/>
          <w:szCs w:val="44"/>
        </w:rPr>
      </w:pPr>
      <w:r>
        <w:rPr>
          <w:rFonts w:hint="eastAsia" w:ascii="Times New Roman" w:hAnsi="Times New Roman" w:eastAsia="方正小标宋_GBK" w:cs="Times New Roman"/>
          <w:sz w:val="44"/>
          <w:szCs w:val="44"/>
        </w:rPr>
        <w:t>渝中区可持续城市更新</w:t>
      </w:r>
      <w:r>
        <w:rPr>
          <w:rFonts w:eastAsia="方正小标宋_GBK"/>
          <w:sz w:val="44"/>
          <w:szCs w:val="44"/>
        </w:rPr>
        <w:t>重大平台清单</w:t>
      </w:r>
    </w:p>
    <w:p w14:paraId="4266DD36">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eastAsia="方正小标宋_GBK"/>
          <w:sz w:val="44"/>
          <w:szCs w:val="44"/>
        </w:rPr>
      </w:pPr>
    </w:p>
    <w:tbl>
      <w:tblPr>
        <w:tblStyle w:val="8"/>
        <w:tblW w:w="13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982"/>
        <w:gridCol w:w="3121"/>
      </w:tblGrid>
      <w:tr w14:paraId="43E6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97" w:type="dxa"/>
          </w:tcPr>
          <w:p w14:paraId="3E6BACB6">
            <w:pPr>
              <w:snapToGrid w:val="0"/>
              <w:spacing w:line="240" w:lineRule="atLeast"/>
              <w:jc w:val="center"/>
              <w:rPr>
                <w:rFonts w:eastAsia="方正黑体_GBK"/>
                <w:sz w:val="24"/>
                <w:szCs w:val="24"/>
              </w:rPr>
            </w:pPr>
            <w:r>
              <w:rPr>
                <w:rFonts w:eastAsia="方正黑体_GBK"/>
                <w:sz w:val="24"/>
                <w:szCs w:val="24"/>
              </w:rPr>
              <w:t>序号</w:t>
            </w:r>
          </w:p>
        </w:tc>
        <w:tc>
          <w:tcPr>
            <w:tcW w:w="8982" w:type="dxa"/>
          </w:tcPr>
          <w:p w14:paraId="7321A40B">
            <w:pPr>
              <w:snapToGrid w:val="0"/>
              <w:spacing w:line="240" w:lineRule="atLeast"/>
              <w:jc w:val="center"/>
              <w:rPr>
                <w:rFonts w:eastAsia="方正黑体_GBK"/>
                <w:sz w:val="24"/>
                <w:szCs w:val="24"/>
              </w:rPr>
            </w:pPr>
            <w:r>
              <w:rPr>
                <w:rFonts w:eastAsia="方正黑体_GBK"/>
                <w:sz w:val="24"/>
                <w:szCs w:val="24"/>
              </w:rPr>
              <w:t>平台内容</w:t>
            </w:r>
          </w:p>
        </w:tc>
        <w:tc>
          <w:tcPr>
            <w:tcW w:w="3121" w:type="dxa"/>
            <w:vAlign w:val="center"/>
          </w:tcPr>
          <w:p w14:paraId="65365C85">
            <w:pPr>
              <w:snapToGrid w:val="0"/>
              <w:spacing w:line="240" w:lineRule="atLeast"/>
              <w:jc w:val="center"/>
              <w:rPr>
                <w:rFonts w:eastAsia="方正黑体_GBK"/>
                <w:sz w:val="24"/>
                <w:szCs w:val="24"/>
              </w:rPr>
            </w:pPr>
            <w:r>
              <w:rPr>
                <w:rFonts w:eastAsia="方正黑体_GBK"/>
                <w:sz w:val="24"/>
                <w:szCs w:val="24"/>
              </w:rPr>
              <w:t>责任单位</w:t>
            </w:r>
          </w:p>
        </w:tc>
      </w:tr>
      <w:tr w14:paraId="3665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0C798358">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w:t>
            </w:r>
          </w:p>
        </w:tc>
        <w:tc>
          <w:tcPr>
            <w:tcW w:w="8982" w:type="dxa"/>
            <w:vAlign w:val="center"/>
          </w:tcPr>
          <w:p w14:paraId="3DE307C7">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协同推进市级AI+</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渝中数字管线</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综合场景</w:t>
            </w:r>
          </w:p>
        </w:tc>
        <w:tc>
          <w:tcPr>
            <w:tcW w:w="3121" w:type="dxa"/>
            <w:vAlign w:val="center"/>
          </w:tcPr>
          <w:p w14:paraId="2B1E54C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区住建委、区大数据局</w:t>
            </w:r>
          </w:p>
        </w:tc>
      </w:tr>
      <w:tr w14:paraId="2C79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21EAC330">
            <w:pPr>
              <w:snapToGrid w:val="0"/>
              <w:spacing w:line="240" w:lineRule="atLeast"/>
              <w:jc w:val="center"/>
              <w:rPr>
                <w:rFonts w:ascii="Times New Roman" w:hAnsi="Times New Roman" w:cs="Times New Roman"/>
                <w:bCs/>
                <w:sz w:val="24"/>
                <w:szCs w:val="24"/>
              </w:rPr>
            </w:pPr>
            <w:r>
              <w:rPr>
                <w:rFonts w:ascii="Times New Roman" w:hAnsi="Times New Roman" w:eastAsia="仿宋_GB2312" w:cs="Times New Roman"/>
                <w:sz w:val="24"/>
                <w:szCs w:val="24"/>
              </w:rPr>
              <w:t>2</w:t>
            </w:r>
          </w:p>
        </w:tc>
        <w:tc>
          <w:tcPr>
            <w:tcW w:w="8982" w:type="dxa"/>
            <w:vAlign w:val="center"/>
          </w:tcPr>
          <w:p w14:paraId="7A9072C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协同推进市级AI+</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规建运治一体化</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综合场景驾驶舱</w:t>
            </w:r>
          </w:p>
        </w:tc>
        <w:tc>
          <w:tcPr>
            <w:tcW w:w="3121" w:type="dxa"/>
            <w:vAlign w:val="center"/>
          </w:tcPr>
          <w:p w14:paraId="6347F82E">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区住建委、区规资局</w:t>
            </w:r>
          </w:p>
        </w:tc>
      </w:tr>
      <w:tr w14:paraId="6100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0E80F0C">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3</w:t>
            </w:r>
          </w:p>
        </w:tc>
        <w:tc>
          <w:tcPr>
            <w:tcW w:w="8982" w:type="dxa"/>
            <w:vAlign w:val="center"/>
          </w:tcPr>
          <w:p w14:paraId="6D5C4EB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重庆信息与智慧医学研究院（高能级科技创新平台）</w:t>
            </w:r>
          </w:p>
        </w:tc>
        <w:tc>
          <w:tcPr>
            <w:tcW w:w="3121" w:type="dxa"/>
            <w:vAlign w:val="center"/>
          </w:tcPr>
          <w:p w14:paraId="3744B88E">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大石化</w:t>
            </w:r>
            <w:r>
              <w:rPr>
                <w:rFonts w:hint="eastAsia" w:ascii="方正仿宋_GBK" w:eastAsia="方正仿宋_GBK" w:cs="Times New Roman"/>
                <w:color w:val="000000"/>
                <w:sz w:val="24"/>
                <w:szCs w:val="24"/>
                <w:lang w:eastAsia="zh-CN"/>
              </w:rPr>
              <w:t>新区</w:t>
            </w:r>
            <w:r>
              <w:rPr>
                <w:rFonts w:ascii="方正仿宋_GBK" w:eastAsia="方正仿宋_GBK" w:cs="Times New Roman"/>
                <w:color w:val="000000"/>
                <w:sz w:val="24"/>
                <w:szCs w:val="24"/>
              </w:rPr>
              <w:t>管委会</w:t>
            </w:r>
          </w:p>
        </w:tc>
      </w:tr>
      <w:tr w14:paraId="29AE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19965A9">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4</w:t>
            </w:r>
          </w:p>
        </w:tc>
        <w:tc>
          <w:tcPr>
            <w:tcW w:w="8982" w:type="dxa"/>
            <w:vAlign w:val="center"/>
          </w:tcPr>
          <w:p w14:paraId="03B138A1">
            <w:pPr>
              <w:adjustRightInd w:val="0"/>
              <w:snapToGrid w:val="0"/>
              <w:spacing w:line="240" w:lineRule="atLeast"/>
              <w:jc w:val="center"/>
              <w:rPr>
                <w:rFonts w:ascii="方正仿宋_GBK" w:eastAsia="方正仿宋_GBK" w:cs="Times New Roman"/>
                <w:color w:val="000000"/>
                <w:sz w:val="24"/>
                <w:szCs w:val="24"/>
              </w:rPr>
            </w:pP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渝畅停</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数据归集与应用平台</w:t>
            </w:r>
          </w:p>
        </w:tc>
        <w:tc>
          <w:tcPr>
            <w:tcW w:w="3121" w:type="dxa"/>
            <w:vAlign w:val="center"/>
          </w:tcPr>
          <w:p w14:paraId="77BE0B36">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区城管局</w:t>
            </w:r>
          </w:p>
        </w:tc>
      </w:tr>
      <w:tr w14:paraId="29B0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949B1D9">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5</w:t>
            </w:r>
          </w:p>
        </w:tc>
        <w:tc>
          <w:tcPr>
            <w:tcW w:w="8982" w:type="dxa"/>
            <w:vAlign w:val="center"/>
          </w:tcPr>
          <w:p w14:paraId="4458C7C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一体化智能化公共数据平台</w:t>
            </w:r>
          </w:p>
        </w:tc>
        <w:tc>
          <w:tcPr>
            <w:tcW w:w="3121" w:type="dxa"/>
            <w:vAlign w:val="center"/>
          </w:tcPr>
          <w:p w14:paraId="5E5DA6C9">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区大数据局</w:t>
            </w:r>
          </w:p>
        </w:tc>
      </w:tr>
      <w:tr w14:paraId="22E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12FFF3D4">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6</w:t>
            </w:r>
          </w:p>
        </w:tc>
        <w:tc>
          <w:tcPr>
            <w:tcW w:w="8982" w:type="dxa"/>
            <w:vAlign w:val="center"/>
          </w:tcPr>
          <w:p w14:paraId="4B4A5B35">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西部中医药产业园平台</w:t>
            </w:r>
          </w:p>
        </w:tc>
        <w:tc>
          <w:tcPr>
            <w:tcW w:w="3121" w:type="dxa"/>
            <w:vAlign w:val="center"/>
          </w:tcPr>
          <w:p w14:paraId="1C9F55B6">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历史</w:t>
            </w:r>
            <w:r>
              <w:rPr>
                <w:rFonts w:hint="eastAsia" w:ascii="方正仿宋_GBK" w:eastAsia="方正仿宋_GBK" w:cs="Times New Roman"/>
                <w:color w:val="000000"/>
                <w:sz w:val="24"/>
                <w:szCs w:val="24"/>
                <w:lang w:eastAsia="zh-CN"/>
              </w:rPr>
              <w:t>文化</w:t>
            </w:r>
            <w:r>
              <w:rPr>
                <w:rFonts w:ascii="方正仿宋_GBK" w:eastAsia="方正仿宋_GBK" w:cs="Times New Roman"/>
                <w:color w:val="000000"/>
                <w:sz w:val="24"/>
                <w:szCs w:val="24"/>
              </w:rPr>
              <w:t>街区管委会</w:t>
            </w:r>
          </w:p>
        </w:tc>
      </w:tr>
      <w:tr w14:paraId="16FB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0148AFDB">
            <w:pPr>
              <w:snapToGrid w:val="0"/>
              <w:spacing w:line="240" w:lineRule="atLeast"/>
              <w:jc w:val="center"/>
              <w:rPr>
                <w:rFonts w:ascii="Times New Roman" w:hAnsi="Times New Roman" w:cs="Times New Roman"/>
                <w:bCs/>
                <w:sz w:val="24"/>
                <w:szCs w:val="24"/>
              </w:rPr>
            </w:pPr>
            <w:r>
              <w:rPr>
                <w:rFonts w:ascii="Times New Roman" w:hAnsi="Times New Roman" w:eastAsia="仿宋_GB2312" w:cs="Times New Roman"/>
                <w:sz w:val="24"/>
                <w:szCs w:val="24"/>
              </w:rPr>
              <w:t>7</w:t>
            </w:r>
          </w:p>
        </w:tc>
        <w:tc>
          <w:tcPr>
            <w:tcW w:w="8982" w:type="dxa"/>
            <w:vAlign w:val="center"/>
          </w:tcPr>
          <w:p w14:paraId="2D08E3BF">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推进市设计院</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灵基智城</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垂直大模型应用</w:t>
            </w:r>
          </w:p>
        </w:tc>
        <w:tc>
          <w:tcPr>
            <w:tcW w:w="3121" w:type="dxa"/>
            <w:vAlign w:val="center"/>
          </w:tcPr>
          <w:p w14:paraId="74DB96A0">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区大数据局</w:t>
            </w:r>
          </w:p>
        </w:tc>
      </w:tr>
    </w:tbl>
    <w:p w14:paraId="32F026A2">
      <w:pPr>
        <w:sectPr>
          <w:pgSz w:w="16838" w:h="11905" w:orient="landscape"/>
          <w:pgMar w:top="1417" w:right="1417" w:bottom="1417" w:left="1417" w:header="851" w:footer="992" w:gutter="0"/>
          <w:cols w:space="720" w:num="1"/>
          <w:docGrid w:type="lines" w:linePitch="560" w:charSpace="0"/>
        </w:sectPr>
      </w:pPr>
    </w:p>
    <w:p w14:paraId="570C5799">
      <w:pPr>
        <w:keepNext w:val="0"/>
        <w:keepLines w:val="0"/>
        <w:pageBreakBefore w:val="0"/>
        <w:widowControl w:val="0"/>
        <w:kinsoku/>
        <w:wordWrap/>
        <w:overflowPunct/>
        <w:topLinePunct w:val="0"/>
        <w:autoSpaceDE/>
        <w:autoSpaceDN/>
        <w:bidi w:val="0"/>
        <w:adjustRightInd/>
        <w:snapToGrid/>
        <w:spacing w:line="606" w:lineRule="exact"/>
        <w:textAlignment w:val="auto"/>
      </w:pPr>
    </w:p>
    <w:p w14:paraId="1A3AC93D">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21F6B0C0">
      <w:pPr>
        <w:keepNext w:val="0"/>
        <w:keepLines w:val="0"/>
        <w:pageBreakBefore w:val="0"/>
        <w:widowControl w:val="0"/>
        <w:kinsoku/>
        <w:wordWrap/>
        <w:overflowPunct/>
        <w:topLinePunct w:val="0"/>
        <w:autoSpaceDE/>
        <w:autoSpaceDN/>
        <w:bidi w:val="0"/>
        <w:adjustRightInd/>
        <w:snapToGrid/>
        <w:spacing w:line="606" w:lineRule="exact"/>
        <w:textAlignment w:val="auto"/>
      </w:pPr>
    </w:p>
    <w:p w14:paraId="06BC020A">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206E5ED4">
      <w:pPr>
        <w:keepNext w:val="0"/>
        <w:keepLines w:val="0"/>
        <w:pageBreakBefore w:val="0"/>
        <w:widowControl w:val="0"/>
        <w:kinsoku/>
        <w:wordWrap/>
        <w:overflowPunct/>
        <w:topLinePunct w:val="0"/>
        <w:autoSpaceDE/>
        <w:autoSpaceDN/>
        <w:bidi w:val="0"/>
        <w:adjustRightInd/>
        <w:snapToGrid/>
        <w:spacing w:line="606" w:lineRule="exact"/>
        <w:textAlignment w:val="auto"/>
      </w:pPr>
    </w:p>
    <w:p w14:paraId="464D8E36">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6F1D9BA2">
      <w:pPr>
        <w:keepNext w:val="0"/>
        <w:keepLines w:val="0"/>
        <w:pageBreakBefore w:val="0"/>
        <w:widowControl w:val="0"/>
        <w:kinsoku/>
        <w:wordWrap/>
        <w:overflowPunct/>
        <w:topLinePunct w:val="0"/>
        <w:autoSpaceDE/>
        <w:autoSpaceDN/>
        <w:bidi w:val="0"/>
        <w:adjustRightInd/>
        <w:snapToGrid/>
        <w:spacing w:line="606" w:lineRule="exact"/>
        <w:textAlignment w:val="auto"/>
      </w:pPr>
    </w:p>
    <w:p w14:paraId="663F5FD9">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6CD2958B">
      <w:pPr>
        <w:keepNext w:val="0"/>
        <w:keepLines w:val="0"/>
        <w:pageBreakBefore w:val="0"/>
        <w:widowControl w:val="0"/>
        <w:kinsoku/>
        <w:wordWrap/>
        <w:overflowPunct/>
        <w:topLinePunct w:val="0"/>
        <w:autoSpaceDE/>
        <w:autoSpaceDN/>
        <w:bidi w:val="0"/>
        <w:adjustRightInd/>
        <w:snapToGrid/>
        <w:spacing w:line="606" w:lineRule="exact"/>
        <w:textAlignment w:val="auto"/>
      </w:pPr>
    </w:p>
    <w:p w14:paraId="011A4866">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1353FB08">
      <w:pPr>
        <w:keepNext w:val="0"/>
        <w:keepLines w:val="0"/>
        <w:pageBreakBefore w:val="0"/>
        <w:widowControl w:val="0"/>
        <w:kinsoku/>
        <w:wordWrap/>
        <w:overflowPunct/>
        <w:topLinePunct w:val="0"/>
        <w:autoSpaceDE/>
        <w:autoSpaceDN/>
        <w:bidi w:val="0"/>
        <w:adjustRightInd/>
        <w:snapToGrid/>
        <w:spacing w:line="606" w:lineRule="exact"/>
        <w:textAlignment w:val="auto"/>
      </w:pPr>
    </w:p>
    <w:p w14:paraId="461C7F99">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280D8AD2">
      <w:pPr>
        <w:keepNext w:val="0"/>
        <w:keepLines w:val="0"/>
        <w:pageBreakBefore w:val="0"/>
        <w:widowControl w:val="0"/>
        <w:kinsoku/>
        <w:wordWrap/>
        <w:overflowPunct/>
        <w:topLinePunct w:val="0"/>
        <w:autoSpaceDE/>
        <w:autoSpaceDN/>
        <w:bidi w:val="0"/>
        <w:adjustRightInd/>
        <w:snapToGrid/>
        <w:spacing w:line="606" w:lineRule="exact"/>
        <w:textAlignment w:val="auto"/>
      </w:pPr>
    </w:p>
    <w:p w14:paraId="6F8B3197">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394C8F09">
      <w:pPr>
        <w:keepNext w:val="0"/>
        <w:keepLines w:val="0"/>
        <w:pageBreakBefore w:val="0"/>
        <w:widowControl w:val="0"/>
        <w:kinsoku/>
        <w:wordWrap/>
        <w:overflowPunct/>
        <w:topLinePunct w:val="0"/>
        <w:autoSpaceDE/>
        <w:autoSpaceDN/>
        <w:bidi w:val="0"/>
        <w:adjustRightInd/>
        <w:snapToGrid/>
        <w:spacing w:line="606" w:lineRule="exact"/>
        <w:textAlignment w:val="auto"/>
      </w:pPr>
    </w:p>
    <w:p w14:paraId="1D40EA63">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5A79F949">
      <w:pPr>
        <w:keepNext w:val="0"/>
        <w:keepLines w:val="0"/>
        <w:pageBreakBefore w:val="0"/>
        <w:widowControl w:val="0"/>
        <w:kinsoku/>
        <w:wordWrap/>
        <w:overflowPunct/>
        <w:topLinePunct w:val="0"/>
        <w:autoSpaceDE/>
        <w:autoSpaceDN/>
        <w:bidi w:val="0"/>
        <w:adjustRightInd/>
        <w:snapToGrid/>
        <w:spacing w:line="606" w:lineRule="exact"/>
        <w:textAlignment w:val="auto"/>
      </w:pPr>
    </w:p>
    <w:p w14:paraId="6DAD673D">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54814776">
      <w:pPr>
        <w:keepNext w:val="0"/>
        <w:keepLines w:val="0"/>
        <w:pageBreakBefore w:val="0"/>
        <w:widowControl w:val="0"/>
        <w:kinsoku/>
        <w:wordWrap/>
        <w:overflowPunct/>
        <w:topLinePunct w:val="0"/>
        <w:autoSpaceDE/>
        <w:autoSpaceDN/>
        <w:bidi w:val="0"/>
        <w:adjustRightInd/>
        <w:snapToGrid/>
        <w:spacing w:line="606" w:lineRule="exact"/>
        <w:textAlignment w:val="auto"/>
      </w:pPr>
    </w:p>
    <w:p w14:paraId="11E2B60B">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5B43846B">
      <w:pPr>
        <w:keepNext w:val="0"/>
        <w:keepLines w:val="0"/>
        <w:pageBreakBefore w:val="0"/>
        <w:widowControl w:val="0"/>
        <w:kinsoku/>
        <w:wordWrap/>
        <w:overflowPunct/>
        <w:topLinePunct w:val="0"/>
        <w:autoSpaceDE/>
        <w:autoSpaceDN/>
        <w:bidi w:val="0"/>
        <w:adjustRightInd/>
        <w:snapToGrid/>
        <w:spacing w:line="606" w:lineRule="exact"/>
        <w:textAlignment w:val="auto"/>
      </w:pPr>
    </w:p>
    <w:p w14:paraId="2F8031E5">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625BFC8B">
      <w:pPr>
        <w:keepNext w:val="0"/>
        <w:keepLines w:val="0"/>
        <w:pageBreakBefore w:val="0"/>
        <w:widowControl w:val="0"/>
        <w:kinsoku/>
        <w:wordWrap/>
        <w:overflowPunct w:val="0"/>
        <w:topLinePunct w:val="0"/>
        <w:autoSpaceDE/>
        <w:autoSpaceDN/>
        <w:bidi w:val="0"/>
        <w:adjustRightInd/>
        <w:snapToGrid/>
        <w:spacing w:line="620" w:lineRule="exact"/>
        <w:ind w:right="-105" w:rightChars="-50" w:firstLine="140" w:firstLineChars="50"/>
        <w:jc w:val="left"/>
        <w:textAlignment w:val="auto"/>
      </w:pPr>
      <w:r>
        <w:rPr>
          <w:rFonts w:ascii="Times New Roman" w:hAnsi="Times New Roman" w:cs="Times New Roman"/>
          <w:color w:val="auto"/>
          <w:sz w:val="28"/>
          <w:highlight w:val="none"/>
        </w:rPr>
        <mc:AlternateContent>
          <mc:Choice Requires="wps">
            <w:drawing>
              <wp:anchor distT="0" distB="0" distL="113665" distR="113665" simplePos="0" relativeHeight="251659264" behindDoc="0" locked="0" layoutInCell="1" allowOverlap="1">
                <wp:simplePos x="0" y="0"/>
                <wp:positionH relativeFrom="column">
                  <wp:posOffset>1270</wp:posOffset>
                </wp:positionH>
                <wp:positionV relativeFrom="paragraph">
                  <wp:posOffset>48895</wp:posOffset>
                </wp:positionV>
                <wp:extent cx="5544185" cy="635"/>
                <wp:effectExtent l="0" t="0" r="0" b="0"/>
                <wp:wrapNone/>
                <wp:docPr id="16" name="直接连接符 23"/>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3" o:spid="_x0000_s1026" o:spt="20" style="position:absolute;left:0pt;margin-left:0.1pt;margin-top:3.85pt;height:0.05pt;width:436.55pt;z-index:251659264;mso-width-relative:page;mso-height-relative:page;" filled="f" stroked="t" coordsize="21600,21600" o:gfxdata="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DsFsNQAAAAE&#10;AQAADwAAAAAAAAABACAAAAAiAAAAZHJzL2Rvd25yZXYueG1sUEsBAhQAFAAAAAgAh07iQNncydQg&#10;AgAAKgQAAA4AAAAAAAAAAQAgAAAAIwEAAGRycy9lMm9Eb2MueG1sUEsFBgAAAAAGAAYAWQEAALUF&#10;AAAAAA==&#10;">
                <v:fill on="f" focussize="0,0"/>
                <v:stroke color="#000000" joinstyle="miter"/>
                <v:imagedata o:title=""/>
                <o:lock v:ext="edit" aspectratio="f"/>
              </v:line>
            </w:pict>
          </mc:Fallback>
        </mc:AlternateContent>
      </w:r>
      <w:r>
        <w:rPr>
          <w:rFonts w:ascii="Times New Roman" w:hAnsi="Times New Roman" w:cs="Times New Roman"/>
          <w:color w:val="auto"/>
          <w:sz w:val="28"/>
          <w:highlight w:val="none"/>
        </w:rPr>
        <mc:AlternateContent>
          <mc:Choice Requires="wps">
            <w:drawing>
              <wp:anchor distT="0" distB="0" distL="113665" distR="113665" simplePos="0" relativeHeight="251659264" behindDoc="0" locked="0" layoutInCell="1" allowOverlap="1">
                <wp:simplePos x="0" y="0"/>
                <wp:positionH relativeFrom="column">
                  <wp:posOffset>10795</wp:posOffset>
                </wp:positionH>
                <wp:positionV relativeFrom="paragraph">
                  <wp:posOffset>404495</wp:posOffset>
                </wp:positionV>
                <wp:extent cx="5544185" cy="635"/>
                <wp:effectExtent l="0" t="0" r="0" b="0"/>
                <wp:wrapNone/>
                <wp:docPr id="18" name="直接连接符 8"/>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8" o:spid="_x0000_s1026" o:spt="20" style="position:absolute;left:0pt;margin-left:0.85pt;margin-top:31.85pt;height:0.05pt;width:436.55pt;z-index:251659264;mso-width-relative:page;mso-height-relative:page;" filled="f" stroked="t" coordsize="21600,21600" o:gfxdata="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4n4Te1wAA&#10;AAcBAAAPAAAAAAAAAAEAIAAAACIAAABkcnMvZG93bnJldi54bWxQSwECFAAUAAAACACHTuJA5tAb&#10;HR8CAAApBAAADgAAAAAAAAABACAAAAAmAQAAZHJzL2Uyb0RvYy54bWxQSwUGAAAAAAYABgBZAQAA&#10;twUAAAAA&#10;">
                <v:fill on="f" focussize="0,0"/>
                <v:stroke color="#000000" joinstyle="miter"/>
                <v:imagedata o:title=""/>
                <o:lock v:ext="edit" aspectratio="f"/>
              </v:line>
            </w:pict>
          </mc:Fallback>
        </mc:AlternateContent>
      </w:r>
      <w:r>
        <w:rPr>
          <w:rFonts w:ascii="Times New Roman" w:hAnsi="Times New Roman" w:eastAsia="方正仿宋_GBK" w:cs="Times New Roman"/>
          <w:color w:val="auto"/>
          <w:sz w:val="28"/>
          <w:szCs w:val="28"/>
          <w:highlight w:val="none"/>
        </w:rPr>
        <w:t xml:space="preserve">重庆市渝中区人民政府办公室     </w:t>
      </w:r>
      <w:r>
        <w:rPr>
          <w:rFonts w:hint="eastAsia"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rPr>
        <w:t xml:space="preserve"> </w:t>
      </w:r>
      <w:r>
        <w:rPr>
          <w:rFonts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rPr>
        <w:t>202</w:t>
      </w:r>
      <w:r>
        <w:rPr>
          <w:rFonts w:ascii="Times New Roman" w:hAnsi="Times New Roman" w:eastAsia="方正仿宋_GBK" w:cs="Times New Roman"/>
          <w:color w:val="auto"/>
          <w:sz w:val="28"/>
          <w:szCs w:val="28"/>
          <w:highlight w:val="none"/>
          <w:lang w:val="en-US" w:eastAsia="zh-CN"/>
        </w:rPr>
        <w:t>5</w:t>
      </w:r>
      <w:r>
        <w:rPr>
          <w:rFonts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12</w:t>
      </w:r>
      <w:r>
        <w:rPr>
          <w:rFonts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24</w:t>
      </w:r>
      <w:r>
        <w:rPr>
          <w:rFonts w:ascii="Times New Roman" w:hAnsi="Times New Roman" w:eastAsia="方正仿宋_GBK" w:cs="Times New Roman"/>
          <w:color w:val="auto"/>
          <w:sz w:val="28"/>
          <w:szCs w:val="28"/>
          <w:highlight w:val="none"/>
        </w:rPr>
        <w:t>日印发</w:t>
      </w:r>
    </w:p>
    <w:sectPr>
      <w:headerReference r:id="rId7" w:type="default"/>
      <w:footerReference r:id="rId8" w:type="default"/>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6BCF">
    <w:pPr>
      <w:pStyle w:val="4"/>
      <w:jc w:val="right"/>
      <w:rPr>
        <w:rFonts w:hint="eastAsia"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-38735</wp:posOffset>
              </wp:positionV>
              <wp:extent cx="987425" cy="269875"/>
              <wp:effectExtent l="0" t="0" r="0" b="0"/>
              <wp:wrapNone/>
              <wp:docPr id="1" name="文本框 1"/>
              <wp:cNvGraphicFramePr/>
              <a:graphic xmlns:a="http://schemas.openxmlformats.org/drawingml/2006/main">
                <a:graphicData uri="http://schemas.microsoft.com/office/word/2010/wordprocessingShape">
                  <wps:wsp>
                    <wps:cNvSpPr/>
                    <wps:spPr>
                      <a:xfrm>
                        <a:off x="0" y="0"/>
                        <a:ext cx="987425" cy="269875"/>
                      </a:xfrm>
                      <a:prstGeom prst="rect">
                        <a:avLst/>
                      </a:prstGeom>
                      <a:noFill/>
                      <a:ln w="6350" cap="flat" cmpd="sng">
                        <a:noFill/>
                        <a:prstDash val="solid"/>
                        <a:round/>
                      </a:ln>
                    </wps:spPr>
                    <wps:txbx>
                      <w:txbxContent>
                        <w:p w14:paraId="4EEBFA3F">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5</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1" o:spid="_x0000_s1026" o:spt="1" style="position:absolute;left:0pt;margin-top:-3.05pt;height:21.25pt;width:77.75pt;mso-position-horizontal:outside;mso-position-horizontal-relative:margin;z-index:251659264;mso-width-relative:page;mso-height-relative:page;" filled="f" stroked="f" coordsize="21600,21600" o:gfxdata="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C84wdYAAAAGAQAADwAAAAAAAAABACAAAAAiAAAAZHJzL2Rv&#10;d25yZXYueG1sUEsBAhQAFAAAAAgAh07iQMUFuXwDAgAA9gMAAA4AAAAAAAAAAQAgAAAAJQEAAGRy&#10;cy9lMm9Eb2MueG1sUEsFBgAAAAAGAAYAWQEAAJoFAAAAAA==&#10;">
              <v:fill on="f" focussize="0,0"/>
              <v:stroke on="f" weight="0.5pt" joinstyle="round"/>
              <v:imagedata o:title=""/>
              <o:lock v:ext="edit" aspectratio="f"/>
              <v:textbox inset="0mm,0mm,0mm,0mm">
                <w:txbxContent>
                  <w:p w14:paraId="4EEBFA3F">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5</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E8AA">
    <w:pPr>
      <w:pStyle w:val="4"/>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-133350</wp:posOffset>
              </wp:positionV>
              <wp:extent cx="1149350" cy="279400"/>
              <wp:effectExtent l="0" t="0" r="0" b="0"/>
              <wp:wrapNone/>
              <wp:docPr id="4" name="文本框 2"/>
              <wp:cNvGraphicFramePr/>
              <a:graphic xmlns:a="http://schemas.openxmlformats.org/drawingml/2006/main">
                <a:graphicData uri="http://schemas.microsoft.com/office/word/2010/wordprocessingShape">
                  <wps:wsp>
                    <wps:cNvSpPr/>
                    <wps:spPr>
                      <a:xfrm>
                        <a:off x="0" y="0"/>
                        <a:ext cx="1149350" cy="279400"/>
                      </a:xfrm>
                      <a:prstGeom prst="rect">
                        <a:avLst/>
                      </a:prstGeom>
                      <a:noFill/>
                      <a:ln w="6350" cap="flat" cmpd="sng">
                        <a:noFill/>
                        <a:prstDash val="solid"/>
                        <a:round/>
                      </a:ln>
                    </wps:spPr>
                    <wps:txbx>
                      <w:txbxContent>
                        <w:p w14:paraId="629211B9">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6</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2" o:spid="_x0000_s1026" o:spt="1" style="position:absolute;left:0pt;margin-top:-10.5pt;height:22pt;width:90.5pt;mso-position-horizontal:outside;mso-position-horizontal-relative:margin;z-index:251659264;mso-width-relative:page;mso-height-relative:page;" filled="f" stroked="f" coordsize="21600,21600" o:gfxdata="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RSoa1AAAAAcBAAAPAAAAAAAAAAEAIAAAACIAAABkcnMvZG93&#10;bnJldi54bWxQSwECFAAUAAAACACHTuJAn/dZbAQCAAD3AwAADgAAAAAAAAABACAAAAAjAQAAZHJz&#10;L2Uyb0RvYy54bWxQSwUGAAAAAAYABgBZAQAAmQUAAAAA&#10;">
              <v:fill on="f" focussize="0,0"/>
              <v:stroke on="f" weight="0.5pt" joinstyle="round"/>
              <v:imagedata o:title=""/>
              <o:lock v:ext="edit" aspectratio="f"/>
              <v:textbox inset="0mm,0mm,0mm,0mm">
                <w:txbxContent>
                  <w:p w14:paraId="629211B9">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6</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09D1">
    <w:pPr>
      <w:pStyle w:val="4"/>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91870" cy="262890"/>
              <wp:effectExtent l="0" t="0" r="0" b="0"/>
              <wp:wrapNone/>
              <wp:docPr id="10" name="文本框 6"/>
              <wp:cNvGraphicFramePr/>
              <a:graphic xmlns:a="http://schemas.openxmlformats.org/drawingml/2006/main">
                <a:graphicData uri="http://schemas.microsoft.com/office/word/2010/wordprocessingShape">
                  <wps:wsp>
                    <wps:cNvSpPr/>
                    <wps:spPr>
                      <a:xfrm>
                        <a:off x="0" y="0"/>
                        <a:ext cx="991870" cy="262890"/>
                      </a:xfrm>
                      <a:prstGeom prst="rect">
                        <a:avLst/>
                      </a:prstGeom>
                      <a:noFill/>
                      <a:ln w="9525" cap="flat" cmpd="sng">
                        <a:noFill/>
                        <a:prstDash val="solid"/>
                        <a:round/>
                      </a:ln>
                    </wps:spPr>
                    <wps:txbx>
                      <w:txbxContent>
                        <w:p w14:paraId="4D02713F">
                          <w:pPr>
                            <w:pStyle w:val="4"/>
                            <w:ind w:firstLine="280" w:firstLineChars="100"/>
                            <w:rPr>
                              <w:rFonts w:ascii="Times New Roman" w:hAnsi="Times New Roman" w:cs="Times New Roman"/>
                              <w:sz w:val="28"/>
                              <w:szCs w:val="28"/>
                            </w:rPr>
                          </w:pPr>
                          <w:r>
                            <w:rPr>
                              <w:rFonts w:hint="eastAsia" w:ascii="Times New Roman" w:hAnsi="Times New Roman" w:cs="Times New Roman"/>
                              <w:sz w:val="28"/>
                              <w:szCs w:val="28"/>
                            </w:rPr>
                            <w:t xml:space="preserve">— </w:t>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  \* MERGEFORMAT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29</w:t>
                          </w:r>
                          <w:r>
                            <w:rPr>
                              <w:rFonts w:hint="eastAsia"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vert="horz" wrap="square" lIns="0" tIns="0" rIns="0" bIns="0" anchor="t" anchorCtr="0" upright="0">
                      <a:noAutofit/>
                    </wps:bodyPr>
                  </wps:wsp>
                </a:graphicData>
              </a:graphic>
            </wp:anchor>
          </w:drawing>
        </mc:Choice>
        <mc:Fallback>
          <w:pict>
            <v:rect id="文本框 6" o:spid="_x0000_s1026" o:spt="1" style="position:absolute;left:0pt;margin-top:0pt;height:20.7pt;width:78.1pt;mso-position-horizontal:outside;mso-position-horizontal-relative:margin;z-index:251659264;mso-width-relative:page;mso-height-relative:page;" filled="f" stroked="f" coordsize="21600,21600" o:gfxdata="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qRT/fWAAAABAEAAA8AAAAAAAAAAQAgAAAAIgAAAGRycy9k&#10;b3ducmV2LnhtbFBLAQIUABQAAAAIAIdO4kB8dw4qBAIAAPcDAAAOAAAAAAAAAAEAIAAAACUBAABk&#10;cnMvZTJvRG9jLnhtbFBLBQYAAAAABgAGAFkBAACbBQAAAAA=&#10;">
              <v:fill on="f" focussize="0,0"/>
              <v:stroke on="f" joinstyle="round"/>
              <v:imagedata o:title=""/>
              <o:lock v:ext="edit" aspectratio="f"/>
              <v:textbox inset="0mm,0mm,0mm,0mm">
                <w:txbxContent>
                  <w:p w14:paraId="4D02713F">
                    <w:pPr>
                      <w:pStyle w:val="4"/>
                      <w:ind w:firstLine="280" w:firstLineChars="100"/>
                      <w:rPr>
                        <w:rFonts w:ascii="Times New Roman" w:hAnsi="Times New Roman" w:cs="Times New Roman"/>
                        <w:sz w:val="28"/>
                        <w:szCs w:val="28"/>
                      </w:rPr>
                    </w:pPr>
                    <w:r>
                      <w:rPr>
                        <w:rFonts w:hint="eastAsia" w:ascii="Times New Roman" w:hAnsi="Times New Roman" w:cs="Times New Roman"/>
                        <w:sz w:val="28"/>
                        <w:szCs w:val="28"/>
                      </w:rPr>
                      <w:t xml:space="preserve">— </w:t>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  \* MERGEFORMAT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29</w:t>
                    </w:r>
                    <w:r>
                      <w:rPr>
                        <w:rFonts w:hint="eastAsia"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20A4">
    <w:pPr>
      <w:pStyle w:val="4"/>
      <w:jc w:val="right"/>
      <w:rPr>
        <w:rFonts w:hint="eastAsia"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-38735</wp:posOffset>
              </wp:positionV>
              <wp:extent cx="987425" cy="269875"/>
              <wp:effectExtent l="0" t="0" r="0" b="0"/>
              <wp:wrapNone/>
              <wp:docPr id="13" name="文本框 24"/>
              <wp:cNvGraphicFramePr/>
              <a:graphic xmlns:a="http://schemas.openxmlformats.org/drawingml/2006/main">
                <a:graphicData uri="http://schemas.microsoft.com/office/word/2010/wordprocessingShape">
                  <wps:wsp>
                    <wps:cNvSpPr/>
                    <wps:spPr>
                      <a:xfrm>
                        <a:off x="0" y="0"/>
                        <a:ext cx="987425" cy="269875"/>
                      </a:xfrm>
                      <a:prstGeom prst="rect">
                        <a:avLst/>
                      </a:prstGeom>
                      <a:noFill/>
                      <a:ln w="6350" cap="flat" cmpd="sng">
                        <a:noFill/>
                        <a:prstDash val="solid"/>
                        <a:round/>
                      </a:ln>
                    </wps:spPr>
                    <wps:txbx>
                      <w:txbxContent>
                        <w:p w14:paraId="51C710C6">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5</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24" o:spid="_x0000_s1026" o:spt="1" style="position:absolute;left:0pt;margin-top:-3.05pt;height:21.25pt;width:77.75pt;mso-position-horizontal:outside;mso-position-horizontal-relative:margin;z-index:251659264;mso-width-relative:page;mso-height-relative:page;" filled="f" stroked="f" coordsize="21600,21600" o:gfxdata="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LzjB1gAAAAYBAAAPAAAAAAAAAAEAIAAAACIAAABkcnMv&#10;ZG93bnJldi54bWxQSwECFAAUAAAACACHTuJABpKeUgUCAAD4AwAADgAAAAAAAAABACAAAAAlAQAA&#10;ZHJzL2Uyb0RvYy54bWxQSwUGAAAAAAYABgBZAQAAnAUAAAAA&#10;">
              <v:fill on="f" focussize="0,0"/>
              <v:stroke on="f" weight="0.5pt" joinstyle="round"/>
              <v:imagedata o:title=""/>
              <o:lock v:ext="edit" aspectratio="f"/>
              <v:textbox inset="0mm,0mm,0mm,0mm">
                <w:txbxContent>
                  <w:p w14:paraId="51C710C6">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5</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141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FCA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38495F19"/>
    <w:rsid w:val="38A27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3">
    <w:name w:val="Body Text"/>
    <w:basedOn w:val="1"/>
    <w:next w:val="1"/>
    <w:qFormat/>
    <w:uiPriority w:val="0"/>
    <w:rPr>
      <w:rFonts w:ascii="Times New Roman" w:hAnsi="Times New Roman"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w:basedOn w:val="3"/>
    <w:qFormat/>
    <w:uiPriority w:val="0"/>
    <w:pPr>
      <w:ind w:firstLine="100" w:firstLineChars="100"/>
    </w:pPr>
    <w:rPr>
      <w:szCs w:val="24"/>
    </w:rPr>
  </w:style>
  <w:style w:type="paragraph" w:customStyle="1" w:styleId="10">
    <w:name w:val="index 6_8e05fdf8-15fd-4f90-bed3-454c45a50186"/>
    <w:basedOn w:val="1"/>
    <w:next w:val="1"/>
    <w:qFormat/>
    <w:uiPriority w:val="0"/>
    <w:pPr>
      <w:ind w:left="2100"/>
    </w:pPr>
    <w:rPr>
      <w:rFonts w:ascii="Times New Roman" w:hAnsi="Times New Roman" w:cs="Times New Roman"/>
    </w:rPr>
  </w:style>
  <w:style w:type="paragraph" w:customStyle="1" w:styleId="11">
    <w:name w:val="正文文本缩进1"/>
    <w:qFormat/>
    <w:uiPriority w:val="0"/>
    <w:pPr>
      <w:widowControl w:val="0"/>
      <w:spacing w:line="620" w:lineRule="exact"/>
      <w:ind w:firstLine="200" w:firstLineChars="200"/>
    </w:pPr>
    <w:rPr>
      <w:rFonts w:ascii="Calibri" w:hAnsi="Calibri" w:eastAsia="仿宋_GB2312" w:cs="Times New Roman"/>
      <w:kern w:val="2"/>
      <w:sz w:val="32"/>
      <w:szCs w:val="24"/>
      <w:lang w:val="en-US" w:eastAsia="zh-CN" w:bidi="ar-SA"/>
    </w:rPr>
  </w:style>
  <w:style w:type="character" w:customStyle="1" w:styleId="12">
    <w:name w:val="font101"/>
    <w:basedOn w:val="9"/>
    <w:qFormat/>
    <w:uiPriority w:val="0"/>
    <w:rPr>
      <w:rFonts w:ascii="方正仿宋_GBK" w:eastAsia="方正仿宋_GBK" w:cs="方正仿宋_GBK"/>
      <w:color w:val="000000"/>
      <w:sz w:val="24"/>
      <w:szCs w:val="24"/>
      <w:u w:val="none"/>
    </w:rPr>
  </w:style>
  <w:style w:type="character" w:customStyle="1" w:styleId="13">
    <w:name w:val="font31"/>
    <w:basedOn w:val="9"/>
    <w:qFormat/>
    <w:uiPriority w:val="0"/>
    <w:rPr>
      <w:rFonts w:asci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32</Pages>
  <Words>16103</Words>
  <Characters>16576</Characters>
  <Lines>1165</Lines>
  <Paragraphs>547</Paragraphs>
  <TotalTime>4</TotalTime>
  <ScaleCrop>false</ScaleCrop>
  <LinksUpToDate>false</LinksUpToDate>
  <CharactersWithSpaces>16582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2025-12-18T06:12:00Z</dcterms:created>
  <dc:creator>Yjq</dc:creator>
  <cp:lastModifiedBy>Cai-ZL</cp:lastModifiedBy>
  <cp:lastPrinted>2025-12-31T09:01:00Z</cp:lastPrinted>
  <dcterms:modified xsi:type="dcterms:W3CDTF">2026-02-10T06:43:25Z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C64B5D7F987B474BAD462939F67F8676_13</vt:lpwstr>
  </property>
  <property fmtid="{D5CDD505-2E9C-101B-9397-08002B2CF9AE}" pid="4" name="KSOTemplateDocerSaveRecord">
    <vt:lpwstr>eyJoZGlkIjoiOGE2NTUxNWE2Njc5MDg1MTVkOTFkNzc0YmViMTMwNWUiLCJ1c2VySWQiOiIzNTQ1MjkwNTMifQ==</vt:lpwstr>
  </property>
</Properties>
</file>