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bookmarkStart w:id="0" w:name="mj"/>
      <w:bookmarkEnd w:id="0"/>
      <w:bookmarkStart w:id="1" w:name="hj"/>
      <w:bookmarkEnd w:id="1"/>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bookmarkStart w:id="2" w:name="remove_shape1"/>
      <w:r>
        <w:rPr>
          <w:rFonts w:ascii="方正仿宋_GBK" w:eastAsia="方正仿宋_GBK"/>
          <w:color w:val="FF0000"/>
          <w:sz w:val="32"/>
          <w:szCs w:val="32"/>
        </w:rPr>
        <w:pict>
          <v:group id="_x0000_s1026" o:spid="_x0000_s1026" o:spt="203" style="position:absolute;left:0pt;margin-left:-0.75pt;margin-top:31.05pt;height:140.6pt;width:439.35pt;z-index:251664384;mso-width-relative:page;mso-height-relative:page;" coordorigin="1588,4377" coordsize="8820,2813">
            <o:lock v:ext="edit" aspectratio="f"/>
            <v:shape id="_x0000_s1027" o:spid="_x0000_s1027" o:spt="136" type="#_x0000_t136" style="position:absolute;left:1816;top:4377;height:1078;width:8277;" fillcolor="#FF0000" filled="t" stroked="t" coordsize="21600,21600" adj="10800">
              <v:path/>
              <v:fill on="t" color2="#FFFFFF" focussize="0,0"/>
              <v:stroke color="#FF0000"/>
              <v:imagedata o:title=""/>
              <o:lock v:ext="edit" aspectratio="f"/>
              <v:textpath on="t" fitshape="t" fitpath="t" trim="t" xscale="f" string="重庆市渝中区人民政府文件" style="font-family:方正小标宋_GBK;font-size:40pt;v-rotate-letters:f;v-same-letter-heights:f;v-text-align:center;"/>
            </v:shape>
            <v:line id="直线 10" o:spid="_x0000_s1028" o:spt="20" style="position:absolute;left:1588;top:7189;height:1;width:8820;" filled="f" stroked="t" coordsize="21600,21600">
              <v:path arrowok="t"/>
              <v:fill on="f" focussize="0,0"/>
              <v:stroke weight="2pt" color="#FF0000"/>
              <v:imagedata o:title=""/>
              <o:lock v:ext="edit" aspectratio="f"/>
            </v:line>
          </v:group>
        </w:pict>
      </w:r>
      <w:bookmarkEnd w:id="2"/>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bookmarkStart w:id="9" w:name="_GoBack"/>
      <w:bookmarkEnd w:id="9"/>
    </w:p>
    <w:p>
      <w:pPr>
        <w:keepNext w:val="0"/>
        <w:keepLines w:val="0"/>
        <w:pageBreakBefore w:val="0"/>
        <w:widowControl w:val="0"/>
        <w:kinsoku/>
        <w:wordWrap/>
        <w:overflowPunct w:val="0"/>
        <w:topLinePunct w:val="0"/>
        <w:autoSpaceDE/>
        <w:autoSpaceDN/>
        <w:bidi w:val="0"/>
        <w:adjustRightInd/>
        <w:snapToGrid/>
        <w:spacing w:afterLines="0" w:line="620" w:lineRule="exact"/>
        <w:jc w:val="center"/>
        <w:textAlignment w:val="auto"/>
        <w:rPr>
          <w:rFonts w:hint="default" w:ascii="Times New Roman" w:hAnsi="Times New Roman" w:eastAsia="方正仿宋_GBK" w:cs="Times New Roman"/>
          <w:spacing w:val="0"/>
          <w:sz w:val="32"/>
          <w:szCs w:val="32"/>
        </w:rPr>
      </w:pPr>
      <w:r>
        <w:rPr>
          <w:rFonts w:hint="default" w:ascii="Times New Roman" w:hAnsi="Times New Roman" w:eastAsia="方正仿宋_GBK" w:cs="Times New Roman"/>
          <w:spacing w:val="0"/>
          <w:sz w:val="32"/>
          <w:szCs w:val="32"/>
        </w:rPr>
        <w:t>渝中府发〔</w:t>
      </w:r>
      <w:bookmarkStart w:id="3" w:name="nd"/>
      <w:bookmarkEnd w:id="3"/>
      <w:r>
        <w:rPr>
          <w:rFonts w:hint="default" w:ascii="Times New Roman" w:hAnsi="Times New Roman" w:eastAsia="方正仿宋_GBK" w:cs="Times New Roman"/>
          <w:spacing w:val="0"/>
          <w:sz w:val="32"/>
          <w:szCs w:val="32"/>
        </w:rPr>
        <w:t>202</w:t>
      </w:r>
      <w:r>
        <w:rPr>
          <w:rFonts w:hint="eastAsia" w:eastAsia="方正仿宋_GBK" w:cs="Times New Roman"/>
          <w:spacing w:val="0"/>
          <w:sz w:val="32"/>
          <w:szCs w:val="32"/>
          <w:lang w:val="en-US" w:eastAsia="zh-CN"/>
        </w:rPr>
        <w:t>6</w:t>
      </w:r>
      <w:r>
        <w:rPr>
          <w:rFonts w:hint="default" w:ascii="Times New Roman" w:hAnsi="Times New Roman" w:eastAsia="方正仿宋_GBK" w:cs="Times New Roman"/>
          <w:spacing w:val="0"/>
          <w:sz w:val="32"/>
          <w:szCs w:val="32"/>
        </w:rPr>
        <w:t>〕</w:t>
      </w:r>
      <w:bookmarkStart w:id="4" w:name="bh"/>
      <w:bookmarkEnd w:id="4"/>
      <w:r>
        <w:rPr>
          <w:rFonts w:hint="eastAsia" w:cs="Times New Roman"/>
          <w:spacing w:val="0"/>
          <w:sz w:val="32"/>
          <w:szCs w:val="32"/>
          <w:lang w:val="en-US" w:eastAsia="zh-CN"/>
        </w:rPr>
        <w:t>1</w:t>
      </w:r>
      <w:r>
        <w:rPr>
          <w:rFonts w:hint="default" w:ascii="Times New Roman" w:hAnsi="Times New Roman" w:eastAsia="方正仿宋_GBK" w:cs="Times New Roman"/>
          <w:spacing w:val="0"/>
          <w:sz w:val="32"/>
          <w:szCs w:val="32"/>
        </w:rPr>
        <w:t>号</w:t>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default" w:ascii="Times New Roman" w:hAnsi="Times New Roman" w:eastAsia="方正仿宋_GBK" w:cs="Times New Roman"/>
          <w:sz w:val="32"/>
          <w:szCs w:val="32"/>
        </w:rPr>
      </w:pPr>
    </w:p>
    <w:p>
      <w:pPr>
        <w:keepNext w:val="0"/>
        <w:keepLines w:val="0"/>
        <w:pageBreakBefore w:val="0"/>
        <w:widowControl w:val="0"/>
        <w:kinsoku/>
        <w:wordWrap/>
        <w:topLinePunct w:val="0"/>
        <w:autoSpaceDN/>
        <w:bidi w:val="0"/>
        <w:adjustRightInd/>
        <w:snapToGrid/>
        <w:spacing w:line="620" w:lineRule="exact"/>
        <w:jc w:val="center"/>
        <w:textAlignment w:val="auto"/>
        <w:outlineLvl w:val="2"/>
        <w:rPr>
          <w:rFonts w:ascii="Times New Roman" w:hAnsi="Times New Roman" w:eastAsia="方正小标宋_GBK"/>
          <w:bCs/>
          <w:spacing w:val="0"/>
          <w:w w:val="98"/>
          <w:kern w:val="0"/>
          <w:sz w:val="44"/>
          <w:szCs w:val="44"/>
          <w:shd w:val="clear" w:color="auto" w:fill="FFFFFF"/>
        </w:rPr>
      </w:pPr>
      <w:r>
        <w:rPr>
          <w:rFonts w:ascii="Times New Roman" w:hAnsi="Times New Roman" w:eastAsia="方正小标宋_GBK"/>
          <w:bCs/>
          <w:spacing w:val="0"/>
          <w:w w:val="98"/>
          <w:kern w:val="0"/>
          <w:sz w:val="44"/>
          <w:szCs w:val="44"/>
          <w:shd w:val="clear" w:color="auto" w:fill="FFFFFF"/>
        </w:rPr>
        <w:t>重庆市渝中区人民政府</w:t>
      </w:r>
    </w:p>
    <w:p>
      <w:pPr>
        <w:keepNext w:val="0"/>
        <w:keepLines w:val="0"/>
        <w:pageBreakBefore w:val="0"/>
        <w:widowControl w:val="0"/>
        <w:kinsoku/>
        <w:wordWrap/>
        <w:topLinePunct w:val="0"/>
        <w:autoSpaceDN/>
        <w:bidi w:val="0"/>
        <w:adjustRightInd/>
        <w:snapToGrid/>
        <w:spacing w:line="620" w:lineRule="exact"/>
        <w:jc w:val="center"/>
        <w:textAlignment w:val="auto"/>
        <w:outlineLvl w:val="0"/>
        <w:rPr>
          <w:rFonts w:ascii="Times New Roman" w:hAnsi="Times New Roman" w:eastAsia="方正小标宋_GBK"/>
          <w:bCs/>
          <w:spacing w:val="0"/>
          <w:w w:val="98"/>
          <w:kern w:val="0"/>
          <w:sz w:val="44"/>
          <w:szCs w:val="44"/>
          <w:shd w:val="clear" w:color="auto" w:fill="FFFFFF"/>
        </w:rPr>
      </w:pPr>
      <w:bookmarkStart w:id="5" w:name="_Toc22441"/>
      <w:r>
        <w:rPr>
          <w:rFonts w:ascii="Times New Roman" w:hAnsi="Times New Roman" w:eastAsia="方正小标宋_GBK"/>
          <w:bCs/>
          <w:spacing w:val="0"/>
          <w:w w:val="98"/>
          <w:kern w:val="0"/>
          <w:sz w:val="44"/>
          <w:szCs w:val="44"/>
          <w:shd w:val="clear" w:color="auto" w:fill="FFFFFF"/>
        </w:rPr>
        <w:t>关于印发202</w:t>
      </w:r>
      <w:r>
        <w:rPr>
          <w:rFonts w:hint="eastAsia" w:ascii="Times New Roman" w:hAnsi="Times New Roman" w:eastAsia="方正小标宋_GBK"/>
          <w:bCs/>
          <w:spacing w:val="0"/>
          <w:w w:val="98"/>
          <w:kern w:val="0"/>
          <w:sz w:val="44"/>
          <w:szCs w:val="44"/>
          <w:shd w:val="clear" w:color="auto" w:fill="FFFFFF"/>
          <w:lang w:val="en-US" w:eastAsia="zh-CN"/>
        </w:rPr>
        <w:t>6</w:t>
      </w:r>
      <w:r>
        <w:rPr>
          <w:rFonts w:ascii="Times New Roman" w:hAnsi="Times New Roman" w:eastAsia="方正小标宋_GBK"/>
          <w:bCs/>
          <w:spacing w:val="0"/>
          <w:w w:val="98"/>
          <w:kern w:val="0"/>
          <w:sz w:val="44"/>
          <w:szCs w:val="44"/>
          <w:shd w:val="clear" w:color="auto" w:fill="FFFFFF"/>
        </w:rPr>
        <w:t>年全区安全生产</w:t>
      </w:r>
      <w:r>
        <w:rPr>
          <w:rFonts w:hint="eastAsia" w:ascii="Times New Roman" w:hAnsi="Times New Roman" w:eastAsia="方正小标宋_GBK"/>
          <w:bCs/>
          <w:spacing w:val="0"/>
          <w:w w:val="98"/>
          <w:kern w:val="0"/>
          <w:sz w:val="44"/>
          <w:szCs w:val="44"/>
          <w:shd w:val="clear" w:color="auto" w:fill="FFFFFF"/>
          <w:lang w:val="en-US" w:eastAsia="zh-CN"/>
        </w:rPr>
        <w:t>和</w:t>
      </w:r>
      <w:r>
        <w:rPr>
          <w:rFonts w:hint="eastAsia" w:ascii="Times New Roman" w:hAnsi="Times New Roman" w:eastAsia="方正小标宋_GBK"/>
          <w:bCs/>
          <w:spacing w:val="0"/>
          <w:w w:val="98"/>
          <w:kern w:val="0"/>
          <w:sz w:val="44"/>
          <w:szCs w:val="44"/>
          <w:shd w:val="clear" w:color="auto" w:fill="FFFFFF"/>
        </w:rPr>
        <w:t>防灾减灾救灾</w:t>
      </w:r>
      <w:r>
        <w:rPr>
          <w:rFonts w:ascii="Times New Roman" w:hAnsi="Times New Roman" w:eastAsia="方正小标宋_GBK"/>
          <w:bCs/>
          <w:spacing w:val="0"/>
          <w:w w:val="98"/>
          <w:kern w:val="0"/>
          <w:sz w:val="44"/>
          <w:szCs w:val="44"/>
          <w:shd w:val="clear" w:color="auto" w:fill="FFFFFF"/>
        </w:rPr>
        <w:t>工作要点的通知</w:t>
      </w:r>
      <w:bookmarkEnd w:id="5"/>
    </w:p>
    <w:p>
      <w:pPr>
        <w:keepNext w:val="0"/>
        <w:keepLines w:val="0"/>
        <w:pageBreakBefore w:val="0"/>
        <w:widowControl w:val="0"/>
        <w:kinsoku/>
        <w:wordWrap/>
        <w:topLinePunct w:val="0"/>
        <w:autoSpaceDN/>
        <w:bidi w:val="0"/>
        <w:adjustRightInd/>
        <w:snapToGrid/>
        <w:spacing w:line="620" w:lineRule="exact"/>
        <w:jc w:val="center"/>
        <w:textAlignment w:val="auto"/>
        <w:rPr>
          <w:rFonts w:ascii="Times New Roman" w:hAnsi="Times New Roman" w:eastAsia="宋体"/>
          <w:sz w:val="32"/>
          <w:szCs w:val="32"/>
        </w:rPr>
      </w:pPr>
      <w:bookmarkStart w:id="6" w:name="fwz"/>
      <w:bookmarkEnd w:id="6"/>
    </w:p>
    <w:p>
      <w:pPr>
        <w:keepNext w:val="0"/>
        <w:keepLines w:val="0"/>
        <w:pageBreakBefore w:val="0"/>
        <w:widowControl w:val="0"/>
        <w:kinsoku/>
        <w:wordWrap/>
        <w:overflowPunct w:val="0"/>
        <w:topLinePunct w:val="0"/>
        <w:autoSpaceDN/>
        <w:bidi w:val="0"/>
        <w:adjustRightInd/>
        <w:snapToGrid/>
        <w:spacing w:line="620" w:lineRule="exact"/>
        <w:textAlignment w:val="auto"/>
        <w:rPr>
          <w:rFonts w:ascii="Times New Roman" w:hAnsi="Times New Roman"/>
          <w:bCs/>
          <w:szCs w:val="32"/>
        </w:rPr>
      </w:pPr>
      <w:r>
        <w:rPr>
          <w:rFonts w:hint="eastAsia" w:ascii="Times New Roman" w:hAnsi="Times New Roman"/>
          <w:bCs/>
          <w:szCs w:val="32"/>
        </w:rPr>
        <w:t>区政府各部门、各管委会，各街道办事处，有关单位</w:t>
      </w:r>
      <w:r>
        <w:rPr>
          <w:rFonts w:ascii="Times New Roman" w:hAnsi="Times New Roman"/>
          <w:bCs/>
          <w:szCs w:val="32"/>
        </w:rPr>
        <w:t>：</w:t>
      </w:r>
    </w:p>
    <w:p>
      <w:pPr>
        <w:keepNext w:val="0"/>
        <w:keepLines w:val="0"/>
        <w:pageBreakBefore w:val="0"/>
        <w:widowControl w:val="0"/>
        <w:kinsoku/>
        <w:wordWrap/>
        <w:overflowPunct w:val="0"/>
        <w:topLinePunct w:val="0"/>
        <w:autoSpaceDN/>
        <w:bidi w:val="0"/>
        <w:adjustRightInd/>
        <w:snapToGrid/>
        <w:spacing w:line="620" w:lineRule="exact"/>
        <w:ind w:firstLine="644" w:firstLineChars="200"/>
        <w:textAlignment w:val="auto"/>
        <w:rPr>
          <w:rFonts w:ascii="Times New Roman" w:hAnsi="Times New Roman"/>
          <w:szCs w:val="32"/>
        </w:rPr>
      </w:pPr>
      <w:r>
        <w:rPr>
          <w:rFonts w:ascii="Times New Roman" w:hAnsi="Times New Roman"/>
          <w:bCs/>
          <w:szCs w:val="32"/>
        </w:rPr>
        <w:t>《</w:t>
      </w:r>
      <w:r>
        <w:rPr>
          <w:rFonts w:hint="eastAsia" w:ascii="Times New Roman" w:hAnsi="Times New Roman"/>
          <w:bCs/>
          <w:szCs w:val="32"/>
        </w:rPr>
        <w:t>202</w:t>
      </w:r>
      <w:r>
        <w:rPr>
          <w:rFonts w:hint="eastAsia" w:ascii="Times New Roman" w:hAnsi="Times New Roman"/>
          <w:bCs/>
          <w:szCs w:val="32"/>
          <w:lang w:val="en-US" w:eastAsia="zh-CN"/>
        </w:rPr>
        <w:t>6</w:t>
      </w:r>
      <w:r>
        <w:rPr>
          <w:rFonts w:hint="eastAsia" w:ascii="Times New Roman" w:hAnsi="Times New Roman"/>
          <w:bCs/>
          <w:szCs w:val="32"/>
        </w:rPr>
        <w:t>年全区安全生产</w:t>
      </w:r>
      <w:r>
        <w:rPr>
          <w:rFonts w:hint="eastAsia" w:ascii="Times New Roman" w:hAnsi="Times New Roman"/>
          <w:bCs/>
          <w:szCs w:val="32"/>
          <w:lang w:val="en-US" w:eastAsia="zh-CN"/>
        </w:rPr>
        <w:t>和</w:t>
      </w:r>
      <w:r>
        <w:rPr>
          <w:rFonts w:hint="eastAsia" w:ascii="Times New Roman" w:hAnsi="Times New Roman"/>
          <w:bCs/>
          <w:szCs w:val="32"/>
        </w:rPr>
        <w:t>防灾减灾救灾工作要点</w:t>
      </w:r>
      <w:r>
        <w:rPr>
          <w:rFonts w:ascii="Times New Roman" w:hAnsi="Times New Roman"/>
          <w:bCs/>
          <w:szCs w:val="32"/>
        </w:rPr>
        <w:t>》已经区政府</w:t>
      </w:r>
      <w:r>
        <w:rPr>
          <w:rFonts w:hint="eastAsia" w:ascii="Times New Roman" w:hAnsi="Times New Roman"/>
          <w:bCs/>
          <w:szCs w:val="32"/>
        </w:rPr>
        <w:t>第</w:t>
      </w:r>
      <w:r>
        <w:rPr>
          <w:rFonts w:hint="eastAsia" w:ascii="Times New Roman" w:hAnsi="Times New Roman"/>
          <w:bCs/>
          <w:szCs w:val="32"/>
          <w:lang w:val="en-US" w:eastAsia="zh-CN"/>
        </w:rPr>
        <w:t>155</w:t>
      </w:r>
      <w:r>
        <w:rPr>
          <w:rFonts w:hint="eastAsia" w:ascii="Times New Roman" w:hAnsi="Times New Roman"/>
          <w:bCs/>
          <w:szCs w:val="32"/>
        </w:rPr>
        <w:t>次常务会议审议通过</w:t>
      </w:r>
      <w:r>
        <w:rPr>
          <w:rFonts w:ascii="Times New Roman" w:hAnsi="Times New Roman"/>
          <w:bCs/>
          <w:szCs w:val="32"/>
        </w:rPr>
        <w:t>，现印发给你们，请认真</w:t>
      </w:r>
      <w:r>
        <w:rPr>
          <w:rFonts w:hint="eastAsia" w:ascii="Times New Roman" w:hAnsi="Times New Roman"/>
          <w:bCs/>
          <w:szCs w:val="32"/>
        </w:rPr>
        <w:t>抓好</w:t>
      </w:r>
      <w:r>
        <w:rPr>
          <w:rFonts w:ascii="Times New Roman" w:hAnsi="Times New Roman"/>
          <w:bCs/>
          <w:szCs w:val="32"/>
        </w:rPr>
        <w:t>贯彻</w:t>
      </w:r>
      <w:r>
        <w:rPr>
          <w:rFonts w:hint="eastAsia" w:ascii="Times New Roman" w:hAnsi="Times New Roman"/>
          <w:bCs/>
          <w:szCs w:val="32"/>
        </w:rPr>
        <w:t>落实</w:t>
      </w:r>
      <w:r>
        <w:rPr>
          <w:rFonts w:ascii="Times New Roman" w:hAnsi="Times New Roman"/>
          <w:bCs/>
          <w:szCs w:val="32"/>
        </w:rPr>
        <w:t>。</w:t>
      </w:r>
    </w:p>
    <w:p>
      <w:pPr>
        <w:keepNext w:val="0"/>
        <w:keepLines w:val="0"/>
        <w:pageBreakBefore w:val="0"/>
        <w:widowControl w:val="0"/>
        <w:kinsoku/>
        <w:wordWrap/>
        <w:overflowPunct w:val="0"/>
        <w:topLinePunct w:val="0"/>
        <w:autoSpaceDN/>
        <w:bidi w:val="0"/>
        <w:adjustRightInd/>
        <w:snapToGrid/>
        <w:spacing w:line="620" w:lineRule="exact"/>
        <w:textAlignment w:val="auto"/>
        <w:rPr>
          <w:rFonts w:ascii="Times New Roman" w:hAnsi="Times New Roman"/>
          <w:szCs w:val="32"/>
        </w:rPr>
      </w:pPr>
    </w:p>
    <w:p>
      <w:pPr>
        <w:keepNext w:val="0"/>
        <w:keepLines w:val="0"/>
        <w:pageBreakBefore w:val="0"/>
        <w:widowControl w:val="0"/>
        <w:kinsoku/>
        <w:wordWrap/>
        <w:overflowPunct w:val="0"/>
        <w:topLinePunct w:val="0"/>
        <w:autoSpaceDN/>
        <w:bidi w:val="0"/>
        <w:adjustRightInd/>
        <w:snapToGrid/>
        <w:spacing w:line="620" w:lineRule="exact"/>
        <w:textAlignment w:val="auto"/>
        <w:rPr>
          <w:rFonts w:ascii="Times New Roman" w:hAnsi="Times New Roman" w:eastAsia="宋体"/>
          <w:sz w:val="21"/>
          <w:szCs w:val="22"/>
        </w:rPr>
      </w:pPr>
    </w:p>
    <w:p>
      <w:pPr>
        <w:keepNext w:val="0"/>
        <w:keepLines w:val="0"/>
        <w:pageBreakBefore w:val="0"/>
        <w:widowControl w:val="0"/>
        <w:kinsoku/>
        <w:wordWrap/>
        <w:overflowPunct w:val="0"/>
        <w:topLinePunct w:val="0"/>
        <w:autoSpaceDN/>
        <w:bidi w:val="0"/>
        <w:adjustRightInd/>
        <w:snapToGrid/>
        <w:spacing w:line="620" w:lineRule="exact"/>
        <w:ind w:firstLine="4246" w:firstLineChars="1319"/>
        <w:textAlignment w:val="auto"/>
        <w:rPr>
          <w:rFonts w:ascii="Times New Roman" w:hAnsi="Times New Roman"/>
          <w:szCs w:val="32"/>
        </w:rPr>
      </w:pPr>
      <w:r>
        <w:rPr>
          <w:rFonts w:ascii="Times New Roman" w:hAnsi="Times New Roman"/>
          <w:szCs w:val="32"/>
        </w:rPr>
        <w:t>重庆市渝中区人民政府</w:t>
      </w:r>
    </w:p>
    <w:p>
      <w:pPr>
        <w:keepNext w:val="0"/>
        <w:keepLines w:val="0"/>
        <w:pageBreakBefore w:val="0"/>
        <w:widowControl w:val="0"/>
        <w:kinsoku/>
        <w:wordWrap/>
        <w:overflowPunct w:val="0"/>
        <w:topLinePunct w:val="0"/>
        <w:autoSpaceDE w:val="0"/>
        <w:autoSpaceDN/>
        <w:bidi w:val="0"/>
        <w:adjustRightInd/>
        <w:snapToGrid/>
        <w:spacing w:line="620" w:lineRule="exact"/>
        <w:ind w:firstLine="4669" w:firstLineChars="1450"/>
        <w:textAlignment w:val="auto"/>
        <w:rPr>
          <w:rFonts w:ascii="Times New Roman" w:hAnsi="Times New Roman"/>
          <w:bCs/>
          <w:szCs w:val="32"/>
        </w:rPr>
      </w:pPr>
      <w:r>
        <w:rPr>
          <w:rFonts w:ascii="Times New Roman" w:hAnsi="Times New Roman"/>
          <w:bCs/>
          <w:szCs w:val="32"/>
        </w:rPr>
        <w:t>202</w:t>
      </w:r>
      <w:r>
        <w:rPr>
          <w:rFonts w:hint="eastAsia" w:ascii="Times New Roman" w:hAnsi="Times New Roman"/>
          <w:bCs/>
          <w:szCs w:val="32"/>
          <w:lang w:val="en-US" w:eastAsia="zh-CN"/>
        </w:rPr>
        <w:t>6</w:t>
      </w:r>
      <w:r>
        <w:rPr>
          <w:rFonts w:ascii="Times New Roman" w:hAnsi="Times New Roman"/>
          <w:bCs/>
          <w:szCs w:val="32"/>
        </w:rPr>
        <w:t>年</w:t>
      </w:r>
      <w:r>
        <w:rPr>
          <w:rFonts w:hint="eastAsia" w:ascii="Times New Roman" w:hAnsi="Times New Roman"/>
          <w:bCs/>
          <w:szCs w:val="32"/>
        </w:rPr>
        <w:t>3</w:t>
      </w:r>
      <w:r>
        <w:rPr>
          <w:rFonts w:ascii="Times New Roman" w:hAnsi="Times New Roman"/>
          <w:bCs/>
          <w:szCs w:val="32"/>
        </w:rPr>
        <w:t>月</w:t>
      </w:r>
      <w:r>
        <w:rPr>
          <w:rFonts w:hint="eastAsia" w:ascii="Times New Roman" w:hAnsi="Times New Roman"/>
          <w:bCs/>
          <w:szCs w:val="32"/>
          <w:lang w:val="en-US" w:eastAsia="zh-CN"/>
        </w:rPr>
        <w:t>2</w:t>
      </w:r>
      <w:r>
        <w:rPr>
          <w:rFonts w:hint="eastAsia"/>
          <w:bCs/>
          <w:szCs w:val="32"/>
          <w:lang w:val="en-US" w:eastAsia="zh-CN"/>
        </w:rPr>
        <w:t>4</w:t>
      </w:r>
      <w:r>
        <w:rPr>
          <w:rFonts w:ascii="Times New Roman" w:hAnsi="Times New Roman"/>
          <w:bCs/>
          <w:szCs w:val="32"/>
        </w:rPr>
        <w:t>日</w:t>
      </w:r>
    </w:p>
    <w:p>
      <w:pPr>
        <w:keepNext w:val="0"/>
        <w:keepLines w:val="0"/>
        <w:pageBreakBefore w:val="0"/>
        <w:widowControl w:val="0"/>
        <w:kinsoku/>
        <w:wordWrap/>
        <w:overflowPunct w:val="0"/>
        <w:topLinePunct w:val="0"/>
        <w:autoSpaceDE w:val="0"/>
        <w:autoSpaceDN/>
        <w:bidi w:val="0"/>
        <w:adjustRightInd/>
        <w:snapToGrid/>
        <w:spacing w:line="620" w:lineRule="exact"/>
        <w:ind w:firstLine="644" w:firstLineChars="200"/>
        <w:textAlignment w:val="auto"/>
        <w:rPr>
          <w:rFonts w:ascii="Times New Roman" w:hAnsi="Times New Roman"/>
          <w:bCs/>
          <w:szCs w:val="32"/>
        </w:rPr>
        <w:sectPr>
          <w:headerReference r:id="rId3" w:type="default"/>
          <w:footerReference r:id="rId4" w:type="default"/>
          <w:footerReference r:id="rId5" w:type="even"/>
          <w:pgSz w:w="11905" w:h="16838"/>
          <w:pgMar w:top="1417" w:right="1587" w:bottom="1417" w:left="1587" w:header="851" w:footer="992" w:gutter="0"/>
          <w:paperSrc/>
          <w:pgNumType w:fmt="decimal"/>
          <w:cols w:space="0" w:num="1"/>
          <w:rtlGutter w:val="0"/>
          <w:docGrid w:type="linesAndChars" w:linePitch="609" w:charSpace="614"/>
        </w:sectPr>
      </w:pPr>
      <w:r>
        <w:rPr>
          <w:rFonts w:ascii="Times New Roman" w:hAnsi="Times New Roman"/>
          <w:bCs/>
          <w:szCs w:val="32"/>
        </w:rPr>
        <w:t>（</w:t>
      </w:r>
      <w:r>
        <w:rPr>
          <w:rFonts w:hint="eastAsia" w:ascii="Times New Roman" w:hAnsi="Times New Roman"/>
          <w:bCs/>
          <w:szCs w:val="32"/>
        </w:rPr>
        <w:t>此件公开发布</w:t>
      </w:r>
      <w:r>
        <w:rPr>
          <w:rFonts w:ascii="Times New Roman" w:hAnsi="Times New Roman"/>
          <w:bCs/>
          <w:szCs w:val="32"/>
        </w:rPr>
        <w:t>）</w:t>
      </w:r>
    </w:p>
    <w:p>
      <w:pPr>
        <w:keepNext w:val="0"/>
        <w:keepLines w:val="0"/>
        <w:pageBreakBefore w:val="0"/>
        <w:widowControl w:val="0"/>
        <w:kinsoku/>
        <w:wordWrap/>
        <w:overflowPunct w:val="0"/>
        <w:topLinePunct w:val="0"/>
        <w:autoSpaceDE/>
        <w:autoSpaceDN/>
        <w:bidi w:val="0"/>
        <w:adjustRightInd/>
        <w:snapToGrid/>
        <w:spacing w:line="620" w:lineRule="exact"/>
        <w:jc w:val="center"/>
        <w:textAlignment w:val="auto"/>
        <w:outlineLvl w:val="9"/>
        <w:rPr>
          <w:rFonts w:hint="default" w:ascii="Times New Roman" w:hAnsi="Times New Roman" w:eastAsia="方正小标宋_GBK" w:cs="Times New Roman"/>
          <w:b w:val="0"/>
          <w:bCs w:val="0"/>
          <w:color w:val="000000" w:themeColor="text1"/>
          <w:spacing w:val="0"/>
          <w:sz w:val="44"/>
          <w:szCs w:val="44"/>
          <w:highlight w:val="none"/>
          <w:lang w:val="en-US" w:eastAsia="zh-CN"/>
          <w14:textFill>
            <w14:solidFill>
              <w14:schemeClr w14:val="tx1"/>
            </w14:solidFill>
          </w14:textFill>
        </w:rPr>
      </w:pPr>
      <w:r>
        <w:rPr>
          <w:rFonts w:hint="default" w:ascii="Times New Roman" w:hAnsi="Times New Roman" w:eastAsia="方正小标宋_GBK" w:cs="Times New Roman"/>
          <w:b w:val="0"/>
          <w:bCs w:val="0"/>
          <w:color w:val="000000" w:themeColor="text1"/>
          <w:spacing w:val="0"/>
          <w:sz w:val="44"/>
          <w:szCs w:val="44"/>
          <w:highlight w:val="none"/>
          <w:lang w:val="en-US" w:eastAsia="zh-CN"/>
          <w14:textFill>
            <w14:solidFill>
              <w14:schemeClr w14:val="tx1"/>
            </w14:solidFill>
          </w14:textFill>
        </w:rPr>
        <w:t>2026年全区安全生产和防灾减灾救灾</w:t>
      </w:r>
    </w:p>
    <w:p>
      <w:pPr>
        <w:keepNext w:val="0"/>
        <w:keepLines w:val="0"/>
        <w:pageBreakBefore w:val="0"/>
        <w:widowControl w:val="0"/>
        <w:kinsoku/>
        <w:wordWrap/>
        <w:overflowPunct w:val="0"/>
        <w:topLinePunct w:val="0"/>
        <w:autoSpaceDE/>
        <w:autoSpaceDN/>
        <w:bidi w:val="0"/>
        <w:adjustRightInd/>
        <w:snapToGrid/>
        <w:spacing w:line="620" w:lineRule="exact"/>
        <w:jc w:val="center"/>
        <w:textAlignment w:val="auto"/>
        <w:outlineLvl w:val="9"/>
        <w:rPr>
          <w:rFonts w:hint="default" w:ascii="Times New Roman" w:hAnsi="Times New Roman" w:eastAsia="方正小标宋_GBK" w:cs="Times New Roman"/>
          <w:b w:val="0"/>
          <w:bCs w:val="0"/>
          <w:color w:val="000000" w:themeColor="text1"/>
          <w:spacing w:val="0"/>
          <w:sz w:val="44"/>
          <w:szCs w:val="44"/>
          <w:highlight w:val="none"/>
          <w:lang w:val="en-US" w:eastAsia="zh-CN"/>
          <w14:textFill>
            <w14:solidFill>
              <w14:schemeClr w14:val="tx1"/>
            </w14:solidFill>
          </w14:textFill>
        </w:rPr>
      </w:pPr>
      <w:r>
        <w:rPr>
          <w:rFonts w:hint="default" w:ascii="Times New Roman" w:hAnsi="Times New Roman" w:eastAsia="方正小标宋_GBK" w:cs="Times New Roman"/>
          <w:b w:val="0"/>
          <w:bCs w:val="0"/>
          <w:color w:val="000000" w:themeColor="text1"/>
          <w:spacing w:val="0"/>
          <w:sz w:val="44"/>
          <w:szCs w:val="44"/>
          <w:highlight w:val="none"/>
          <w:lang w:val="en-US" w:eastAsia="zh-CN"/>
          <w14:textFill>
            <w14:solidFill>
              <w14:schemeClr w14:val="tx1"/>
            </w14:solidFill>
          </w14:textFill>
        </w:rPr>
        <w:t>工作要点</w:t>
      </w:r>
    </w:p>
    <w:p>
      <w:pPr>
        <w:keepNext w:val="0"/>
        <w:keepLines w:val="0"/>
        <w:pageBreakBefore w:val="0"/>
        <w:widowControl w:val="0"/>
        <w:kinsoku/>
        <w:wordWrap/>
        <w:overflowPunct w:val="0"/>
        <w:topLinePunct w:val="0"/>
        <w:autoSpaceDE/>
        <w:autoSpaceDN/>
        <w:bidi w:val="0"/>
        <w:adjustRightInd/>
        <w:snapToGrid/>
        <w:spacing w:line="620" w:lineRule="exact"/>
        <w:jc w:val="center"/>
        <w:textAlignment w:val="auto"/>
        <w:outlineLvl w:val="9"/>
        <w:rPr>
          <w:rFonts w:hint="default" w:ascii="Times New Roman" w:hAnsi="Times New Roman" w:eastAsia="方正楷体_GBK" w:cs="Times New Roman"/>
          <w:color w:val="000000" w:themeColor="text1"/>
          <w:spacing w:val="0"/>
          <w:sz w:val="32"/>
          <w:szCs w:val="32"/>
          <w:highlight w:val="none"/>
          <w:lang w:val="en-US" w:eastAsia="zh-CN"/>
          <w14:textFill>
            <w14:solidFill>
              <w14:schemeClr w14:val="tx1"/>
            </w14:solidFill>
          </w14:textFill>
        </w:rPr>
      </w:pP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32"/>
          <w:szCs w:val="32"/>
          <w:highlight w:val="none"/>
          <w:lang w:val="en-US" w:eastAsia="zh-CN" w:bidi="ar"/>
          <w14:textFill>
            <w14:solidFill>
              <w14:schemeClr w14:val="tx1"/>
            </w14:solidFill>
          </w14:textFill>
        </w:rPr>
        <w:t>2026</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年全区安全生产、防灾减灾救灾工作坚持以习近平新时代中国特色社会主义思想为指导，深入贯彻党的二十大和二十届历次全会精神，</w:t>
      </w:r>
      <w:r>
        <w:rPr>
          <w:rFonts w:hint="default" w:ascii="Times New Roman" w:hAnsi="Times New Roman" w:eastAsia="方正仿宋_GBK" w:cs="Times New Roman"/>
          <w:b w:val="0"/>
          <w:bCs w:val="0"/>
          <w:color w:val="000000" w:themeColor="text1"/>
          <w:spacing w:val="0"/>
          <w:sz w:val="32"/>
          <w:szCs w:val="32"/>
          <w:highlight w:val="none"/>
          <w:u w:val="none" w:color="auto"/>
          <w:lang w:val="en-US" w:eastAsia="zh-CN"/>
          <w14:textFill>
            <w14:solidFill>
              <w14:schemeClr w14:val="tx1"/>
            </w14:solidFill>
          </w14:textFill>
        </w:rPr>
        <w:t>全面落实习近平总书记视察重庆重要讲话重要指示精神</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，持续深化</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32"/>
          <w:szCs w:val="32"/>
          <w:highlight w:val="none"/>
          <w:lang w:val="en-US" w:eastAsia="zh-CN" w:bidi="ar"/>
          <w14:textFill>
            <w14:solidFill>
              <w14:schemeClr w14:val="tx1"/>
            </w14:solidFill>
          </w14:textFill>
        </w:rPr>
        <w:t>13466</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应急管理体系和能力建设，以超大城市中心城区现代化安全韧性治理、城市安全风险综合监测预警体系建设为牵引，统筹发展和安全，坚持除险固安导向，</w:t>
      </w:r>
      <w:r>
        <w:rPr>
          <w:rFonts w:hint="default" w:ascii="Times New Roman" w:hAnsi="Times New Roman" w:eastAsia="方正仿宋_GBK" w:cs="Times New Roman"/>
          <w:bCs/>
          <w:color w:val="000000" w:themeColor="text1"/>
          <w:spacing w:val="0"/>
          <w:sz w:val="32"/>
          <w:szCs w:val="32"/>
          <w:highlight w:val="none"/>
          <w:lang w:val="en-US" w:eastAsia="zh-CN"/>
          <w14:textFill>
            <w14:solidFill>
              <w14:schemeClr w14:val="tx1"/>
            </w14:solidFill>
          </w14:textFill>
        </w:rPr>
        <w:t>紧扣</w:t>
      </w:r>
      <w:r>
        <w:rPr>
          <w:rFonts w:hint="eastAsia" w:ascii="Times New Roman" w:hAnsi="Times New Roman" w:cs="Times New Roman"/>
          <w:bCs/>
          <w:color w:val="000000" w:themeColor="text1"/>
          <w:spacing w:val="0"/>
          <w:sz w:val="32"/>
          <w:szCs w:val="32"/>
          <w:highlight w:val="none"/>
          <w:lang w:eastAsia="zh-CN"/>
          <w14:textFill>
            <w14:solidFill>
              <w14:schemeClr w14:val="tx1"/>
            </w14:solidFill>
          </w14:textFill>
        </w:rPr>
        <w:t>“</w:t>
      </w:r>
      <w:r>
        <w:rPr>
          <w:rFonts w:hint="default" w:ascii="Times New Roman" w:hAnsi="Times New Roman" w:eastAsia="方正仿宋_GBK" w:cs="Times New Roman"/>
          <w:bCs/>
          <w:color w:val="000000" w:themeColor="text1"/>
          <w:spacing w:val="0"/>
          <w:sz w:val="32"/>
          <w:szCs w:val="32"/>
          <w:highlight w:val="none"/>
          <w14:textFill>
            <w14:solidFill>
              <w14:schemeClr w14:val="tx1"/>
            </w14:solidFill>
          </w14:textFill>
        </w:rPr>
        <w:t>四大定位</w:t>
      </w:r>
      <w:r>
        <w:rPr>
          <w:rFonts w:hint="eastAsia" w:ascii="Times New Roman" w:hAnsi="Times New Roman" w:cs="Times New Roman"/>
          <w:bCs/>
          <w:color w:val="000000" w:themeColor="text1"/>
          <w:spacing w:val="0"/>
          <w:sz w:val="32"/>
          <w:szCs w:val="32"/>
          <w:highlight w:val="none"/>
          <w:lang w:eastAsia="zh-CN"/>
          <w14:textFill>
            <w14:solidFill>
              <w14:schemeClr w14:val="tx1"/>
            </w14:solidFill>
          </w14:textFill>
        </w:rPr>
        <w:t>”“</w:t>
      </w:r>
      <w:r>
        <w:rPr>
          <w:rFonts w:hint="default" w:ascii="Times New Roman" w:hAnsi="Times New Roman" w:eastAsia="方正仿宋_GBK" w:cs="Times New Roman"/>
          <w:bCs/>
          <w:color w:val="000000" w:themeColor="text1"/>
          <w:spacing w:val="0"/>
          <w:sz w:val="32"/>
          <w:szCs w:val="32"/>
          <w:highlight w:val="none"/>
          <w14:textFill>
            <w14:solidFill>
              <w14:schemeClr w14:val="tx1"/>
            </w14:solidFill>
          </w14:textFill>
        </w:rPr>
        <w:t>八大优势</w:t>
      </w:r>
      <w:r>
        <w:rPr>
          <w:rFonts w:hint="eastAsia" w:ascii="Times New Roman" w:hAnsi="Times New Roman" w:cs="Times New Roman"/>
          <w:bCs/>
          <w:color w:val="000000" w:themeColor="text1"/>
          <w:spacing w:val="0"/>
          <w:sz w:val="32"/>
          <w:szCs w:val="32"/>
          <w:highlight w:val="none"/>
          <w:lang w:eastAsia="zh-CN"/>
          <w14:textFill>
            <w14:solidFill>
              <w14:schemeClr w14:val="tx1"/>
            </w14:solidFill>
          </w14:textFill>
        </w:rPr>
        <w:t>”“</w:t>
      </w:r>
      <w:r>
        <w:rPr>
          <w:rFonts w:hint="default" w:ascii="Times New Roman" w:hAnsi="Times New Roman" w:eastAsia="方正仿宋_GBK" w:cs="Times New Roman"/>
          <w:bCs/>
          <w:color w:val="000000" w:themeColor="text1"/>
          <w:spacing w:val="0"/>
          <w:sz w:val="32"/>
          <w:szCs w:val="32"/>
          <w:highlight w:val="none"/>
          <w14:textFill>
            <w14:solidFill>
              <w14:schemeClr w14:val="tx1"/>
            </w14:solidFill>
          </w14:textFill>
        </w:rPr>
        <w:t>六个新高地</w:t>
      </w:r>
      <w:r>
        <w:rPr>
          <w:rFonts w:hint="eastAsia" w:ascii="Times New Roman" w:hAnsi="Times New Roman" w:cs="Times New Roman"/>
          <w:bCs/>
          <w:color w:val="000000" w:themeColor="text1"/>
          <w:spacing w:val="0"/>
          <w:sz w:val="32"/>
          <w:szCs w:val="32"/>
          <w:highlight w:val="none"/>
          <w:lang w:eastAsia="zh-CN"/>
          <w14:textFill>
            <w14:solidFill>
              <w14:schemeClr w14:val="tx1"/>
            </w14:solidFill>
          </w14:textFill>
        </w:rPr>
        <w:t>”</w:t>
      </w:r>
      <w:r>
        <w:rPr>
          <w:rFonts w:hint="default" w:ascii="Times New Roman" w:hAnsi="Times New Roman" w:eastAsia="方正仿宋_GBK" w:cs="Times New Roman"/>
          <w:bCs/>
          <w:color w:val="000000" w:themeColor="text1"/>
          <w:spacing w:val="0"/>
          <w:sz w:val="32"/>
          <w:szCs w:val="32"/>
          <w:highlight w:val="none"/>
          <w:lang w:val="en-US" w:eastAsia="zh-CN"/>
          <w14:textFill>
            <w14:solidFill>
              <w14:schemeClr w14:val="tx1"/>
            </w14:solidFill>
          </w14:textFill>
        </w:rPr>
        <w:t>总体部署</w:t>
      </w:r>
      <w:r>
        <w:rPr>
          <w:rFonts w:hint="default" w:ascii="Times New Roman" w:hAnsi="Times New Roman" w:eastAsia="方正仿宋_GBK" w:cs="Times New Roman"/>
          <w:bCs/>
          <w:color w:val="000000" w:themeColor="text1"/>
          <w:spacing w:val="0"/>
          <w:sz w:val="32"/>
          <w:szCs w:val="32"/>
          <w:highlight w:val="none"/>
          <w14:textFill>
            <w14:solidFill>
              <w14:schemeClr w14:val="tx1"/>
            </w14:solidFill>
          </w14:textFill>
        </w:rPr>
        <w:t>，</w:t>
      </w:r>
      <w:r>
        <w:rPr>
          <w:rFonts w:hint="default" w:ascii="Times New Roman" w:hAnsi="Times New Roman" w:eastAsia="方正仿宋_GBK" w:cs="Times New Roman"/>
          <w:bCs/>
          <w:color w:val="000000" w:themeColor="text1"/>
          <w:spacing w:val="0"/>
          <w:sz w:val="32"/>
          <w:szCs w:val="32"/>
          <w:highlight w:val="none"/>
          <w:lang w:val="en-US" w:eastAsia="zh-CN"/>
          <w14:textFill>
            <w14:solidFill>
              <w14:schemeClr w14:val="tx1"/>
            </w14:solidFill>
          </w14:textFill>
        </w:rPr>
        <w:t>锚定</w:t>
      </w:r>
      <w:r>
        <w:rPr>
          <w:rFonts w:hint="default" w:ascii="Times New Roman" w:hAnsi="Times New Roman" w:eastAsia="方正仿宋_GBK" w:cs="Times New Roman"/>
          <w:bCs/>
          <w:color w:val="000000" w:themeColor="text1"/>
          <w:spacing w:val="0"/>
          <w:sz w:val="32"/>
          <w:szCs w:val="32"/>
          <w:highlight w:val="none"/>
          <w14:textFill>
            <w14:solidFill>
              <w14:schemeClr w14:val="tx1"/>
            </w14:solidFill>
          </w14:textFill>
        </w:rPr>
        <w:t>安全生产</w:t>
      </w:r>
      <w:r>
        <w:rPr>
          <w:rFonts w:hint="eastAsia" w:ascii="Times New Roman" w:hAnsi="Times New Roman" w:cs="Times New Roman"/>
          <w:bCs/>
          <w:color w:val="000000" w:themeColor="text1"/>
          <w:spacing w:val="0"/>
          <w:sz w:val="32"/>
          <w:szCs w:val="32"/>
          <w:highlight w:val="none"/>
          <w:lang w:eastAsia="zh-CN"/>
          <w14:textFill>
            <w14:solidFill>
              <w14:schemeClr w14:val="tx1"/>
            </w14:solidFill>
          </w14:textFill>
        </w:rPr>
        <w:t>“</w:t>
      </w:r>
      <w:r>
        <w:rPr>
          <w:rFonts w:hint="default" w:ascii="Times New Roman" w:hAnsi="Times New Roman" w:eastAsia="方正仿宋_GBK" w:cs="Times New Roman"/>
          <w:bCs/>
          <w:color w:val="000000" w:themeColor="text1"/>
          <w:spacing w:val="0"/>
          <w:sz w:val="32"/>
          <w:szCs w:val="32"/>
          <w:highlight w:val="none"/>
          <w14:textFill>
            <w14:solidFill>
              <w14:schemeClr w14:val="tx1"/>
            </w14:solidFill>
          </w14:textFill>
        </w:rPr>
        <w:t>遏较大、控总量、防增量</w:t>
      </w:r>
      <w:r>
        <w:rPr>
          <w:rFonts w:hint="eastAsia" w:ascii="Times New Roman" w:hAnsi="Times New Roman" w:cs="Times New Roman"/>
          <w:bCs/>
          <w:color w:val="000000" w:themeColor="text1"/>
          <w:spacing w:val="0"/>
          <w:sz w:val="32"/>
          <w:szCs w:val="32"/>
          <w:highlight w:val="none"/>
          <w:lang w:eastAsia="zh-CN"/>
          <w14:textFill>
            <w14:solidFill>
              <w14:schemeClr w14:val="tx1"/>
            </w14:solidFill>
          </w14:textFill>
        </w:rPr>
        <w:t>”</w:t>
      </w:r>
      <w:r>
        <w:rPr>
          <w:rFonts w:hint="default" w:ascii="Times New Roman" w:hAnsi="Times New Roman" w:eastAsia="方正仿宋_GBK" w:cs="Times New Roman"/>
          <w:bCs/>
          <w:color w:val="000000" w:themeColor="text1"/>
          <w:spacing w:val="0"/>
          <w:sz w:val="32"/>
          <w:szCs w:val="32"/>
          <w:highlight w:val="none"/>
          <w14:textFill>
            <w14:solidFill>
              <w14:schemeClr w14:val="tx1"/>
            </w14:solidFill>
          </w14:textFill>
        </w:rPr>
        <w:t>，自然灾害</w:t>
      </w:r>
      <w:r>
        <w:rPr>
          <w:rFonts w:hint="eastAsia" w:ascii="Times New Roman" w:hAnsi="Times New Roman" w:cs="Times New Roman"/>
          <w:bCs/>
          <w:color w:val="000000" w:themeColor="text1"/>
          <w:spacing w:val="0"/>
          <w:sz w:val="32"/>
          <w:szCs w:val="32"/>
          <w:highlight w:val="none"/>
          <w:lang w:eastAsia="zh-CN"/>
          <w14:textFill>
            <w14:solidFill>
              <w14:schemeClr w14:val="tx1"/>
            </w14:solidFill>
          </w14:textFill>
        </w:rPr>
        <w:t>“</w:t>
      </w:r>
      <w:r>
        <w:rPr>
          <w:rFonts w:hint="default" w:ascii="Times New Roman" w:hAnsi="Times New Roman" w:eastAsia="方正仿宋_GBK" w:cs="Times New Roman"/>
          <w:bCs/>
          <w:color w:val="000000" w:themeColor="text1"/>
          <w:spacing w:val="0"/>
          <w:sz w:val="32"/>
          <w:szCs w:val="32"/>
          <w:highlight w:val="none"/>
          <w14:textFill>
            <w14:solidFill>
              <w14:schemeClr w14:val="tx1"/>
            </w14:solidFill>
          </w14:textFill>
        </w:rPr>
        <w:t>不死人、少伤人、少损失</w:t>
      </w:r>
      <w:r>
        <w:rPr>
          <w:rFonts w:hint="eastAsia" w:ascii="Times New Roman" w:hAnsi="Times New Roman" w:cs="Times New Roman"/>
          <w:bCs/>
          <w:color w:val="000000" w:themeColor="text1"/>
          <w:spacing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pacing w:val="0"/>
          <w:sz w:val="32"/>
          <w:szCs w:val="32"/>
          <w:highlight w:val="none"/>
          <w14:textFill>
            <w14:solidFill>
              <w14:schemeClr w14:val="tx1"/>
            </w14:solidFill>
          </w14:textFill>
        </w:rPr>
        <w:t>的目标，</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推进治理模式向事前预防转型，坚决打好安全生产</w:t>
      </w:r>
      <w:r>
        <w:rPr>
          <w:rFonts w:hint="default" w:ascii="Times New Roman" w:hAnsi="Times New Roman" w:eastAsia="方正仿宋_GBK" w:cs="Times New Roman"/>
          <w:color w:val="000000" w:themeColor="text1"/>
          <w:spacing w:val="0"/>
          <w:sz w:val="32"/>
          <w:szCs w:val="32"/>
          <w:highlight w:val="none"/>
          <w14:textFill>
            <w14:solidFill>
              <w14:schemeClr w14:val="tx1"/>
            </w14:solidFill>
          </w14:textFill>
        </w:rPr>
        <w:t>和防灾减灾救灾</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保卫战</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宋体" w:cs="Times New Roman"/>
          <w:color w:val="000000" w:themeColor="text1"/>
          <w:spacing w:val="0"/>
          <w:sz w:val="32"/>
          <w:szCs w:val="32"/>
          <w:highlight w:val="none"/>
          <w14:textFill>
            <w14:solidFill>
              <w14:schemeClr w14:val="tx1"/>
            </w14:solidFill>
          </w14:textFill>
        </w:rPr>
      </w:pPr>
      <w:r>
        <w:rPr>
          <w:rFonts w:hint="default" w:ascii="Times New Roman" w:hAnsi="Times New Roman" w:eastAsia="方正黑体_GBK" w:cs="Times New Roman"/>
          <w:color w:val="000000" w:themeColor="text1"/>
          <w:spacing w:val="0"/>
          <w:kern w:val="0"/>
          <w:sz w:val="32"/>
          <w:szCs w:val="32"/>
          <w:highlight w:val="none"/>
          <w:lang w:val="en-US" w:eastAsia="zh-CN" w:bidi="ar"/>
          <w14:textFill>
            <w14:solidFill>
              <w14:schemeClr w14:val="tx1"/>
            </w14:solidFill>
          </w14:textFill>
        </w:rPr>
        <w:t>一、聚</w:t>
      </w:r>
      <w:r>
        <w:rPr>
          <w:rFonts w:hint="default" w:ascii="Times New Roman" w:hAnsi="Times New Roman" w:eastAsia="方正黑体_GBK" w:cs="Times New Roman"/>
          <w:color w:val="000000" w:themeColor="text1"/>
          <w:spacing w:val="-6"/>
          <w:kern w:val="0"/>
          <w:sz w:val="32"/>
          <w:szCs w:val="32"/>
          <w:highlight w:val="none"/>
          <w:lang w:val="en-US" w:eastAsia="zh-CN" w:bidi="ar"/>
          <w14:textFill>
            <w14:solidFill>
              <w14:schemeClr w14:val="tx1"/>
            </w14:solidFill>
          </w14:textFill>
        </w:rPr>
        <w:t>力提升统筹调度能力，筑牢齐抓共管的安全责任体系</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（一）强化党政领导干部履职能力。</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坚持</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党政同责、一岗双责、齐抓共管、失职追责</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，将安全生产工作纳入党委议事日程和政府重点工作，</w:t>
      </w:r>
      <w:r>
        <w:rPr>
          <w:rFonts w:hint="default" w:ascii="Times New Roman" w:hAnsi="Times New Roman" w:eastAsia="方正仿宋_GBK" w:cs="Times New Roman"/>
          <w:i w:val="0"/>
          <w:iCs w:val="0"/>
          <w:caps w:val="0"/>
          <w:color w:val="000000" w:themeColor="text1"/>
          <w:spacing w:val="0"/>
          <w:sz w:val="32"/>
          <w:szCs w:val="32"/>
          <w:highlight w:val="none"/>
          <w:shd w:val="clear" w:fill="FFFFFF"/>
          <w14:textFill>
            <w14:solidFill>
              <w14:schemeClr w14:val="tx1"/>
            </w14:solidFill>
          </w14:textFill>
        </w:rPr>
        <w:t>纳入党委（党组）会议重要情况通报内容</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。严格落实党政领导安全生产履责述职制度，将履职情况作为年度考核、选拔任用、职级晋升的重要参考。细化党政领导干部安全生产职责清单、安全生产和防灾减灾救灾履职清单</w:t>
      </w:r>
      <w:r>
        <w:rPr>
          <w:rFonts w:hint="default"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年度重点任务清单，加强重要节点、重大活动、极端天气的履职调度。将安全生产、防灾减灾救灾纳入党政领导干部培训必修课。</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（二）提升行业领域监管能力。</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坚持</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三管三必须</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加强本行业领域、本系统安全生产工作体制机制建设，细化和动态调整内设机构安全生产责任分工，依法明确行业主管部门安全监管职责，建立权责一致的监管对象清单、责任清单。动态厘清新兴行业领域安全生产监管职责。</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一件事</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全链条细化行业部门在防汛抗洪、防震减灾、地灾防治、公园（城市绿地）防灭火等方面的安全管理责任，明确防范应对极端天气</w:t>
      </w:r>
      <w:r>
        <w:rPr>
          <w:rFonts w:hint="default"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重点</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任务及分工。</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（三）压实企业单位主体责任。</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严格落实企业主要负责人第一责任，健全以全员安全生产责任制为核心的安全生产管理制度，将接受其指令的劳务派遣、灵活用工人员纳入安全培训计划和统一管理。落实总工程师制度和</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日周月</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隐患排查、发放一线员工</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应知应会应急</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明白卡。按照出资人职责，从严实施国有企业安全生产监督考核。引导大型企业</w:t>
      </w:r>
      <w:r>
        <w:rPr>
          <w:rFonts w:hint="default" w:ascii="Times New Roman" w:hAnsi="Times New Roman" w:eastAsia="方正仿宋_GBK" w:cs="Times New Roman"/>
          <w:i w:val="0"/>
          <w:iCs w:val="0"/>
          <w:caps w:val="0"/>
          <w:color w:val="000000" w:themeColor="text1"/>
          <w:spacing w:val="0"/>
          <w:sz w:val="32"/>
          <w:szCs w:val="32"/>
          <w:highlight w:val="none"/>
          <w:shd w:val="clear" w:fill="FFFFFF"/>
          <w14:textFill>
            <w14:solidFill>
              <w14:schemeClr w14:val="tx1"/>
            </w14:solidFill>
          </w14:textFill>
        </w:rPr>
        <w:t>将安全生产工作纳入供应链绩效评价体系。</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探索推进小微企业区域化系统化安全治理，加强企业负责人安全法治意识，督促完善管理制度。完善安全生产领域失信主体联合惩戒机制，对纳入联合惩戒对象的生产经营单位及其有关人员，依法在政府资金项目申请、财政支持、相关资金补贴、奖励政策等方面予以限制。强化养老服务机构、城市道路、轨道交通、市政设施、铁路、景区景点、在建项目等经营管理单位巡查巡护、转移避险、关停熔断等灾害防范应对职责。</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（四）强化综合统筹协调能力。</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充分发挥安委会、防减救灾委统筹协调作用，完善重要事项跟踪督办机制。按照</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有机制、有保障、有成效</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的要求，推进各安全生产专</w:t>
      </w:r>
      <w:r>
        <w:rPr>
          <w:rFonts w:hint="default"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业委员</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会、防减救灾专项委员会规范化运行，实行月报告、季述职、年评价。建立防灾减灾救灾各专项指挥部和专</w:t>
      </w:r>
      <w:r>
        <w:rPr>
          <w:rFonts w:hint="default"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项</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委</w:t>
      </w:r>
      <w:r>
        <w:rPr>
          <w:rFonts w:hint="default"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员</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会预警期、应急响应期协同联动机制。强化安全生产考核巡查的权威性，严格</w:t>
      </w:r>
      <w:r>
        <w:rPr>
          <w:rFonts w:hint="default" w:ascii="Times New Roman" w:hAnsi="Times New Roman" w:eastAsia="方正仿宋_GBK" w:cs="Times New Roman"/>
          <w:color w:val="000000" w:themeColor="text1"/>
          <w:spacing w:val="-6"/>
          <w:kern w:val="0"/>
          <w:sz w:val="32"/>
          <w:szCs w:val="32"/>
          <w:highlight w:val="none"/>
          <w:lang w:val="en-US" w:eastAsia="zh-CN" w:bidi="ar"/>
          <w14:textFill>
            <w14:solidFill>
              <w14:schemeClr w14:val="tx1"/>
            </w14:solidFill>
          </w14:textFill>
        </w:rPr>
        <w:t>结果运用。用好清单管控和督查激励创新机制，抓实闭环整改。</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黑体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黑体_GBK" w:cs="Times New Roman"/>
          <w:color w:val="000000" w:themeColor="text1"/>
          <w:spacing w:val="0"/>
          <w:kern w:val="0"/>
          <w:sz w:val="32"/>
          <w:szCs w:val="32"/>
          <w:highlight w:val="none"/>
          <w:lang w:val="en-US" w:eastAsia="zh-CN" w:bidi="ar"/>
          <w14:textFill>
            <w14:solidFill>
              <w14:schemeClr w14:val="tx1"/>
            </w14:solidFill>
          </w14:textFill>
        </w:rPr>
        <w:t>二、聚力提升事故灾害防控能力，完善源头治本的风险防范体系</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（五）抓好安全韧性城市建设。</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优化</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全时空、高精度、强智能</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的</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三控八制</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安全风险闭环管控机制。修编《渝中区应急管理</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十五五</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规划》并推动落实各项任务，对接落实《重庆市</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十五五</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安全韧性城市治理规划》，把握政策机遇，积极争取上级支持，谋划推动重点项目落地。在数字重庆</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1361</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整体框架下，充分发挥三级治理中心枢纽作用，深入推动城市安全风险综合监测预警工作体系试点建设，构建</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牵头部门统筹协调，职能部门各负其责，社会力量积极参与</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的监测预警工作新格局。全力打造具有渝中辨识度、全国影响力的城市安全综合风险监测预警</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渝中样板</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让安全成为渝中现代化建设的鲜明底色。加强统筹协调一体化推进城市生命线安全工程，系统开展老旧管网改造，持续推进窨井盖、道路塌陷等隐患排查整治和城市道路安全防护工程建设。建立房屋全生命周期安全管理制度。</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（六）抓好安全生产治本攻坚三年行动收官。</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聚焦长期坚持和2026年需要完成的34项重点任务，用好技防物防管理防措施，借助新质生产力推动风险隐患早发现早处置。加强重大事故隐患判定标准培训，提高隐患排查整治质效。规范安全生产考试机构和考试点管理，严格执行特种作业人员持证上岗规定。开展安全生产治本攻坚三年行动总结评估，建立遏制重特大事故长效机制。</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（七）抓好防灾减灾救灾固本强基三年行动收官。</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提升综合防灾能力，健全多跨协同和极端灾害应对机制，持续做好防洪薄弱点风险管控，加快推进洪涝灾害防范、地质灾害治理、公园（城市绿地）防火等重点工程项目建设，强化风险管控和隐患排查治理。完善城市排水防涝体系，安全推动渝中半岛长江沿线流域雨水通道改造项目，提升灾害预警预报能力，加强预警平台优化、城市防洪排涝、地质灾害综合治理、公园（城市绿地）消防水（箱）及管网等基础设施建设。</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（八）抓好重点领域</w:t>
      </w:r>
      <w:r>
        <w:rPr>
          <w:rFonts w:hint="eastAsia"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一件事</w:t>
      </w:r>
      <w:r>
        <w:rPr>
          <w:rFonts w:hint="eastAsia"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全链条安全整治。</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完成道路交通、水上交通、建设施工、危险化学品、文化旅游、特种设备、防汛、地质灾害防治、公园（城市绿地）防灭火等重点行业领域安全治理年度工作。压实重庆站综合交通枢纽建设工程属地协同监管责任，对重点项目和限额以下装饰装修工程实施分级分类、全流程闭环纳管。</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黑体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黑体_GBK" w:cs="Times New Roman"/>
          <w:color w:val="000000" w:themeColor="text1"/>
          <w:spacing w:val="0"/>
          <w:kern w:val="0"/>
          <w:sz w:val="32"/>
          <w:szCs w:val="32"/>
          <w:highlight w:val="none"/>
          <w:lang w:val="en-US" w:eastAsia="zh-CN" w:bidi="ar"/>
          <w14:textFill>
            <w14:solidFill>
              <w14:schemeClr w14:val="tx1"/>
            </w14:solidFill>
          </w14:textFill>
        </w:rPr>
        <w:t>三、聚</w:t>
      </w:r>
      <w:r>
        <w:rPr>
          <w:rFonts w:hint="default" w:ascii="Times New Roman" w:hAnsi="Times New Roman" w:eastAsia="方正黑体_GBK" w:cs="Times New Roman"/>
          <w:color w:val="000000" w:themeColor="text1"/>
          <w:spacing w:val="-6"/>
          <w:kern w:val="0"/>
          <w:sz w:val="32"/>
          <w:szCs w:val="32"/>
          <w:highlight w:val="none"/>
          <w:lang w:val="en-US" w:eastAsia="zh-CN" w:bidi="ar"/>
          <w14:textFill>
            <w14:solidFill>
              <w14:schemeClr w14:val="tx1"/>
            </w14:solidFill>
          </w14:textFill>
        </w:rPr>
        <w:t>力提升应急处置能力，巩固反应灵敏的救援救灾体系</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（九）强化大综合一体化指挥调度。</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健全典型灾害事故场景一体化指挥调度机制，推动应急资源全量入库落图，构建以三级数字化城市运行和治理中心信息接报、预警发布、会商联动、资源调度和数据共享一体化作战模式。完成全区总体预案修编，推进部门专项预案修订。推动街道、社区和企事业单位应急预案</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三化一卡</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i w:val="0"/>
          <w:iCs w:val="0"/>
          <w:caps w:val="0"/>
          <w:color w:val="000000" w:themeColor="text1"/>
          <w:spacing w:val="0"/>
          <w:sz w:val="32"/>
          <w:szCs w:val="32"/>
          <w:highlight w:val="none"/>
          <w:shd w:val="clear" w:fill="FFFFFF"/>
          <w14:textFill>
            <w14:solidFill>
              <w14:schemeClr w14:val="tx1"/>
            </w14:solidFill>
          </w14:textFill>
        </w:rPr>
        <w:t>（简明化、图表化、实战化，应急处置卡）</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建设。常态化、情景化开展各级各类应急预案演练。</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（十）优化预警响应机制。</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加强重点时段趋势分析和会商研判，完善分段分级分类分层预警响应机制，与</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141</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基层智治平台深度融合，构建</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预警—响应—执行—反馈</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闭环链路。</w:t>
      </w:r>
      <w:r>
        <w:rPr>
          <w:rFonts w:hint="default" w:ascii="Times New Roman" w:hAnsi="Times New Roman" w:eastAsia="方正仿宋_GBK" w:cs="Times New Roman"/>
          <w:b w:val="0"/>
          <w:bCs w:val="0"/>
          <w:color w:val="000000" w:themeColor="text1"/>
          <w:spacing w:val="0"/>
          <w:kern w:val="0"/>
          <w:sz w:val="32"/>
          <w:szCs w:val="32"/>
          <w:highlight w:val="none"/>
          <w:lang w:val="en-US" w:eastAsia="zh-CN" w:bidi="ar"/>
          <w14:textFill>
            <w14:solidFill>
              <w14:schemeClr w14:val="tx1"/>
            </w14:solidFill>
          </w14:textFill>
        </w:rPr>
        <w:t>完善洪水风险会商，推进部门间监测预警体系标准衔接。对</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持续演进的重大风险或可能造成重大人员伤亡的事件，果断提高响应级别，严格落实紧急熔断措施。</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（十一）建强应急救援力量。</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加强应急指挥、应急救援、支持保障三类队伍和</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常专群</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三支救援力量建设。</w:t>
      </w:r>
      <w:r>
        <w:rPr>
          <w:rFonts w:hint="default" w:ascii="Times New Roman" w:hAnsi="Times New Roman" w:eastAsia="方正仿宋_GBK" w:cs="Times New Roman"/>
          <w:strike w:val="0"/>
          <w:dstrike w:val="0"/>
          <w:color w:val="000000" w:themeColor="text1"/>
          <w:spacing w:val="0"/>
          <w:kern w:val="0"/>
          <w:sz w:val="32"/>
          <w:szCs w:val="32"/>
          <w:highlight w:val="none"/>
          <w:lang w:val="en-US" w:eastAsia="zh-CN" w:bidi="ar"/>
          <w14:textFill>
            <w14:solidFill>
              <w14:schemeClr w14:val="tx1"/>
            </w14:solidFill>
          </w14:textFill>
        </w:rPr>
        <w:t>按照</w:t>
      </w:r>
      <w:r>
        <w:rPr>
          <w:rFonts w:hint="eastAsia" w:ascii="Times New Roman" w:hAnsi="Times New Roman" w:cs="Times New Roman"/>
          <w:strike w:val="0"/>
          <w:dstrike w:val="0"/>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strike w:val="0"/>
          <w:dstrike w:val="0"/>
          <w:color w:val="000000" w:themeColor="text1"/>
          <w:spacing w:val="0"/>
          <w:kern w:val="0"/>
          <w:sz w:val="32"/>
          <w:szCs w:val="32"/>
          <w:highlight w:val="none"/>
          <w:lang w:val="en-US" w:eastAsia="zh-CN" w:bidi="ar"/>
          <w14:textFill>
            <w14:solidFill>
              <w14:schemeClr w14:val="tx1"/>
            </w14:solidFill>
          </w14:textFill>
        </w:rPr>
        <w:t>1+11+N</w:t>
      </w:r>
      <w:r>
        <w:rPr>
          <w:rFonts w:hint="eastAsia" w:ascii="Times New Roman" w:hAnsi="Times New Roman" w:cs="Times New Roman"/>
          <w:strike w:val="0"/>
          <w:dstrike w:val="0"/>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strike w:val="0"/>
          <w:dstrike w:val="0"/>
          <w:color w:val="000000" w:themeColor="text1"/>
          <w:spacing w:val="0"/>
          <w:kern w:val="0"/>
          <w:sz w:val="32"/>
          <w:szCs w:val="32"/>
          <w:highlight w:val="none"/>
          <w:lang w:val="en-US" w:eastAsia="zh-CN" w:bidi="ar"/>
          <w14:textFill>
            <w14:solidFill>
              <w14:schemeClr w14:val="tx1"/>
            </w14:solidFill>
          </w14:textFill>
        </w:rPr>
        <w:t>布局，强化街道应急救援力量建设。</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建立基层应急消防服务站点。</w:t>
      </w:r>
      <w:r>
        <w:rPr>
          <w:rFonts w:hint="default" w:ascii="Times New Roman" w:hAnsi="Times New Roman" w:eastAsia="方正仿宋_GBK" w:cs="Times New Roman"/>
          <w:i w:val="0"/>
          <w:iCs w:val="0"/>
          <w:caps w:val="0"/>
          <w:color w:val="000000" w:themeColor="text1"/>
          <w:spacing w:val="0"/>
          <w:sz w:val="32"/>
          <w:szCs w:val="32"/>
          <w:highlight w:val="none"/>
          <w:shd w:val="clear" w:fill="FFFFFF"/>
          <w14:textFill>
            <w14:solidFill>
              <w14:schemeClr w14:val="tx1"/>
            </w14:solidFill>
          </w14:textFill>
        </w:rPr>
        <w:t>组织开展专业救援队伍认定</w:t>
      </w:r>
      <w:r>
        <w:rPr>
          <w:rFonts w:hint="default" w:ascii="Times New Roman" w:hAnsi="Times New Roman" w:eastAsia="方正仿宋_GBK" w:cs="Times New Roman"/>
          <w:i w:val="0"/>
          <w:iCs w:val="0"/>
          <w:caps w:val="0"/>
          <w:color w:val="000000" w:themeColor="text1"/>
          <w:spacing w:val="0"/>
          <w:sz w:val="32"/>
          <w:szCs w:val="32"/>
          <w:highlight w:val="none"/>
          <w:shd w:val="clear" w:fill="FFFFFF"/>
          <w:lang w:val="en-US" w:eastAsia="zh-CN"/>
          <w14:textFill>
            <w14:solidFill>
              <w14:schemeClr w14:val="tx1"/>
            </w14:solidFill>
          </w14:textFill>
        </w:rPr>
        <w:t>相关工作</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，推动专业救援渝中支队和街道大队建设全面达标。引导社会应急力量规范有序发展。</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（十二）做好救灾救助和灾后恢复。</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全面落实应急抢险救灾物资保障</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十五五</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规划，对标大灾巨灾救灾物资峰值需求，优化储备物资品类、规模和布局。落实</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渝速拨</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灾害救助工作机制，抓好受灾群众应急期、过渡期救助和冬春生活救助以及因灾遇难人员家属抚慰，保障受灾群众基本生活。</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宋体" w:cs="Times New Roman"/>
          <w:color w:val="000000" w:themeColor="text1"/>
          <w:spacing w:val="0"/>
          <w:sz w:val="32"/>
          <w:szCs w:val="32"/>
          <w:highlight w:val="none"/>
          <w14:textFill>
            <w14:solidFill>
              <w14:schemeClr w14:val="tx1"/>
            </w14:solidFill>
          </w14:textFill>
        </w:rPr>
      </w:pPr>
      <w:r>
        <w:rPr>
          <w:rFonts w:hint="default" w:ascii="Times New Roman" w:hAnsi="Times New Roman" w:eastAsia="方正黑体_GBK" w:cs="Times New Roman"/>
          <w:color w:val="000000" w:themeColor="text1"/>
          <w:spacing w:val="0"/>
          <w:kern w:val="0"/>
          <w:sz w:val="32"/>
          <w:szCs w:val="32"/>
          <w:highlight w:val="none"/>
          <w:lang w:val="en-US" w:eastAsia="zh-CN" w:bidi="ar"/>
          <w14:textFill>
            <w14:solidFill>
              <w14:schemeClr w14:val="tx1"/>
            </w14:solidFill>
          </w14:textFill>
        </w:rPr>
        <w:t>四、聚</w:t>
      </w:r>
      <w:r>
        <w:rPr>
          <w:rFonts w:hint="default" w:ascii="Times New Roman" w:hAnsi="Times New Roman" w:eastAsia="方正黑体_GBK" w:cs="Times New Roman"/>
          <w:color w:val="000000" w:themeColor="text1"/>
          <w:spacing w:val="-6"/>
          <w:kern w:val="0"/>
          <w:sz w:val="32"/>
          <w:szCs w:val="32"/>
          <w:highlight w:val="none"/>
          <w:lang w:val="en-US" w:eastAsia="zh-CN" w:bidi="ar"/>
          <w14:textFill>
            <w14:solidFill>
              <w14:schemeClr w14:val="tx1"/>
            </w14:solidFill>
          </w14:textFill>
        </w:rPr>
        <w:t>力提升监管执法能力，健全系统完备的法规制度体系</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（十三）加强</w:t>
      </w:r>
      <w:r>
        <w:rPr>
          <w:rFonts w:hint="eastAsia"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大综合一体化</w:t>
      </w:r>
      <w:r>
        <w:rPr>
          <w:rFonts w:hint="eastAsia"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行政执法改革。</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严格落实普法责任制，积极宣贯《重庆市突发事件应对条例》《重庆市森林草原防灭火条例》。压实行业主管部门监管责任，制定并公开行业监管规则和监管标准，健全投诉举报处理机制。细化综合行政执法部门安全生产行政执法事项清单，完善监管与执法协同机制。</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（十四）加强严格规范行政执法和指导服务。</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编制实施年度监督检查计划，确定重点执法检查企业名单，推进分级分类差异化监管。严格执行行政处罚裁量权，推行非现场监管执法，发布涉企执法</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示范优秀案例</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。优化应急管理专家管理服务机制，开展专家团队入企帮扶行动。</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（十五）加强生产安全事故调查和灾害调查评估。</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严格开展生产安全事故调查处理，强化生产安全事故查处监督指导机制运行。规范事故灾害统计报送，建立共享比对核查机制。完善自然灾害调查评估流程、内容与标准。建立健全</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重大事故隐患和重大涉险事件责任倒查</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机制，常态化开展典型事故灾害案例复盘，强化调查结果运用。</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宋体" w:cs="Times New Roman"/>
          <w:color w:val="000000" w:themeColor="text1"/>
          <w:spacing w:val="0"/>
          <w:sz w:val="32"/>
          <w:szCs w:val="32"/>
          <w:highlight w:val="none"/>
          <w14:textFill>
            <w14:solidFill>
              <w14:schemeClr w14:val="tx1"/>
            </w14:solidFill>
          </w14:textFill>
        </w:rPr>
      </w:pPr>
      <w:r>
        <w:rPr>
          <w:rFonts w:hint="default" w:ascii="Times New Roman" w:hAnsi="Times New Roman" w:eastAsia="方正黑体_GBK" w:cs="Times New Roman"/>
          <w:color w:val="000000" w:themeColor="text1"/>
          <w:spacing w:val="0"/>
          <w:kern w:val="0"/>
          <w:sz w:val="32"/>
          <w:szCs w:val="32"/>
          <w:highlight w:val="none"/>
          <w:lang w:val="en-US" w:eastAsia="zh-CN" w:bidi="ar"/>
          <w14:textFill>
            <w14:solidFill>
              <w14:schemeClr w14:val="tx1"/>
            </w14:solidFill>
          </w14:textFill>
        </w:rPr>
        <w:t>五、聚</w:t>
      </w:r>
      <w:r>
        <w:rPr>
          <w:rFonts w:hint="default" w:ascii="Times New Roman" w:hAnsi="Times New Roman" w:eastAsia="方正黑体_GBK" w:cs="Times New Roman"/>
          <w:color w:val="000000" w:themeColor="text1"/>
          <w:spacing w:val="-6"/>
          <w:kern w:val="0"/>
          <w:sz w:val="32"/>
          <w:szCs w:val="32"/>
          <w:highlight w:val="none"/>
          <w:lang w:val="en-US" w:eastAsia="zh-CN" w:bidi="ar"/>
          <w14:textFill>
            <w14:solidFill>
              <w14:schemeClr w14:val="tx1"/>
            </w14:solidFill>
          </w14:textFill>
        </w:rPr>
        <w:t>力提升群防群治能力，夯实共建共享的社会共治体系</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（十六）提升全民安全素养。</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开展安全生产月、消防宣传月、交通安全日、防灾减灾日等主题活动。积极参与</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全民安全开放日</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新重庆里看应急</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等市级品牌宣传活动。深化安全宣传</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五进</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，推动区级应急安全文化体验馆、防汛主题公园和街道级应急科普场所或安全文化阵地建设。持续推动主流媒体参与合作，设置安全生产专栏，强化重点节点、重要事项、重要政策宣传和新闻发布。持续开展</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有事说是</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警示教育活动，发动全员参与、整合共享资源，提升全社会安全意识、应急处置能力。将安全教育融入全学段教育，保障中小学、幼儿园安全教育课时。</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（十七）发挥市场机制作用。</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落实安责险事故预防评估细则和技术服务规范，推动高危行业购买安责险，发挥安责险参与事故预防功能。扩大巨灾保险覆盖面，引导保险机构将部分保费投入灾前预防。</w:t>
      </w:r>
      <w:r>
        <w:rPr>
          <w:rFonts w:hint="default"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规范</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安全评价、检验检测机构</w:t>
      </w:r>
      <w:r>
        <w:rPr>
          <w:rFonts w:hint="default"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执业行为</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（十八）健全社会协同机制。</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依托基层治理体系，推动社区、网格做好隐患排查、信息传递、先期处置和安全宣传等工作。完善安全生产举报奖励制度，鼓励群众发现报告身边事故隐患。引导社会组织、志愿者队伍、爱心企业参与抢险救灾、科普宣传，加大灾害事故成功预警避险转移表彰奖励力度。</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宋体" w:cs="Times New Roman"/>
          <w:color w:val="000000" w:themeColor="text1"/>
          <w:spacing w:val="0"/>
          <w:sz w:val="32"/>
          <w:szCs w:val="32"/>
          <w:highlight w:val="none"/>
          <w14:textFill>
            <w14:solidFill>
              <w14:schemeClr w14:val="tx1"/>
            </w14:solidFill>
          </w14:textFill>
        </w:rPr>
      </w:pPr>
      <w:r>
        <w:rPr>
          <w:rFonts w:hint="default" w:ascii="Times New Roman" w:hAnsi="Times New Roman" w:eastAsia="方正黑体_GBK" w:cs="Times New Roman"/>
          <w:color w:val="000000" w:themeColor="text1"/>
          <w:spacing w:val="0"/>
          <w:kern w:val="0"/>
          <w:sz w:val="32"/>
          <w:szCs w:val="32"/>
          <w:highlight w:val="none"/>
          <w:lang w:val="en-US" w:eastAsia="zh-CN" w:bidi="ar"/>
          <w14:textFill>
            <w14:solidFill>
              <w14:schemeClr w14:val="tx1"/>
            </w14:solidFill>
          </w14:textFill>
        </w:rPr>
        <w:t>六、聚</w:t>
      </w:r>
      <w:r>
        <w:rPr>
          <w:rFonts w:hint="default" w:ascii="Times New Roman" w:hAnsi="Times New Roman" w:eastAsia="方正黑体_GBK" w:cs="Times New Roman"/>
          <w:color w:val="000000" w:themeColor="text1"/>
          <w:spacing w:val="-6"/>
          <w:kern w:val="0"/>
          <w:sz w:val="32"/>
          <w:szCs w:val="32"/>
          <w:highlight w:val="none"/>
          <w:lang w:val="en-US" w:eastAsia="zh-CN" w:bidi="ar"/>
          <w14:textFill>
            <w14:solidFill>
              <w14:schemeClr w14:val="tx1"/>
            </w14:solidFill>
          </w14:textFill>
        </w:rPr>
        <w:t>力提升实战实效能力，优化贯通协同的数字应急体系</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（十九）突出应用场景实战实效。</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用好应急指挥智救、自然灾害防减救、安全生产智管等重点场景</w:t>
      </w:r>
      <w:r>
        <w:rPr>
          <w:rFonts w:hint="default"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与三级数字化城市运行和治理中心、</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141</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基层智治平台一体化运转。加强370兆赫兹窄带集群、卫星通信等应急通信配备、管理和运用，补齐救援队伍和社区保底通信装备，提升</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三断</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条件下应急通信韧性能力。持续优化公共安全智控、住改仓、安全渝中等自建应用，实现风险隐患</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一屏统揽，一键调度</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（二十）强化重点行业领域风险智能感知预警。</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提升重点行业领域风险监测预警能力，全面推进智慧交通、智慧工地、智慧燃气、地下管网等应用场景建设，完善</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行业+气象</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风险预警体系。持续推进风险清单和点位动态落图，加密部署视频监控、气体探测、振动传感等监测设备，提升风险早期识别与预警能力。</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楷体_GBK" w:cs="Times New Roman"/>
          <w:color w:val="000000" w:themeColor="text1"/>
          <w:spacing w:val="0"/>
          <w:kern w:val="0"/>
          <w:sz w:val="32"/>
          <w:szCs w:val="32"/>
          <w:highlight w:val="none"/>
          <w:lang w:val="en-US" w:eastAsia="zh-CN" w:bidi="ar"/>
          <w14:textFill>
            <w14:solidFill>
              <w14:schemeClr w14:val="tx1"/>
            </w14:solidFill>
          </w14:textFill>
        </w:rPr>
        <w:t>（二十一）推动科技研发和装备升级。</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鼓励安全风险监测预警项目建设。推广自然灾害防治新技术。支持安全技术项目和安全应急相关服务企业落户渝中。加强工业机器人、智能装备应用，探索无人机、机器狗等装备在特殊救援场景实战化运用，推动</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两江四岸（渝中段）公共安全治理无人机巡查项目</w:t>
      </w:r>
      <w:r>
        <w:rPr>
          <w:rFonts w:hint="eastAsia" w:ascii="Times New Roman" w:hAnsi="Times New Roman" w:cs="Times New Roman"/>
          <w:color w:val="000000" w:themeColor="text1"/>
          <w:spacing w:val="0"/>
          <w:kern w:val="0"/>
          <w:sz w:val="32"/>
          <w:szCs w:val="32"/>
          <w:highlight w:val="none"/>
          <w:lang w:val="en-US" w:eastAsia="zh-CN" w:bidi="ar"/>
          <w14:textFill>
            <w14:solidFill>
              <w14:schemeClr w14:val="tx1"/>
            </w14:solidFill>
          </w14:textFill>
        </w:rPr>
        <w:t>”</w:t>
      </w: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落地见效。</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p>
    <w:p>
      <w:pPr>
        <w:keepNext w:val="0"/>
        <w:keepLines w:val="0"/>
        <w:pageBreakBefore w:val="0"/>
        <w:widowControl w:val="0"/>
        <w:suppressLineNumbers w:val="0"/>
        <w:kinsoku/>
        <w:wordWrap/>
        <w:overflowPunct w:val="0"/>
        <w:topLinePunct w:val="0"/>
        <w:autoSpaceDE/>
        <w:autoSpaceDN/>
        <w:bidi w:val="0"/>
        <w:adjustRightInd/>
        <w:snapToGrid/>
        <w:spacing w:line="620" w:lineRule="exact"/>
        <w:ind w:firstLine="644" w:firstLineChars="200"/>
        <w:jc w:val="both"/>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sectPr>
          <w:footerReference r:id="rId6" w:type="default"/>
          <w:pgSz w:w="11905" w:h="16838"/>
          <w:pgMar w:top="1417" w:right="1587" w:bottom="1417" w:left="1587" w:header="851" w:footer="992" w:gutter="0"/>
          <w:paperSrc/>
          <w:pgNumType w:fmt="decimal"/>
          <w:cols w:space="0" w:num="1"/>
          <w:rtlGutter w:val="0"/>
          <w:docGrid w:type="linesAndChars" w:linePitch="609" w:charSpace="614"/>
        </w:sectPr>
      </w:pPr>
      <w:r>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t>附件：核心绩效指标责任及重点任务分工</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jc w:val="left"/>
        <w:textAlignment w:val="auto"/>
        <w:rPr>
          <w:rFonts w:hint="default" w:ascii="Times New Roman" w:hAnsi="Times New Roman" w:eastAsia="方正黑体_GBK" w:cs="Times New Roman"/>
          <w:color w:val="000000" w:themeColor="text1"/>
          <w:spacing w:val="0"/>
          <w:kern w:val="0"/>
          <w:sz w:val="32"/>
          <w:szCs w:val="32"/>
          <w:highlight w:val="none"/>
          <w:lang w:val="en-US" w:eastAsia="zh-CN" w:bidi="ar"/>
          <w14:textFill>
            <w14:solidFill>
              <w14:schemeClr w14:val="tx1"/>
            </w14:solidFill>
          </w14:textFill>
        </w:rPr>
      </w:pPr>
      <w:r>
        <w:rPr>
          <w:rFonts w:hint="default" w:ascii="Times New Roman" w:hAnsi="Times New Roman" w:eastAsia="方正黑体_GBK" w:cs="Times New Roman"/>
          <w:color w:val="000000" w:themeColor="text1"/>
          <w:spacing w:val="0"/>
          <w:kern w:val="0"/>
          <w:sz w:val="32"/>
          <w:szCs w:val="32"/>
          <w:highlight w:val="none"/>
          <w:lang w:val="en-US" w:eastAsia="zh-CN" w:bidi="ar"/>
          <w14:textFill>
            <w14:solidFill>
              <w14:schemeClr w14:val="tx1"/>
            </w14:solidFill>
          </w14:textFill>
        </w:rPr>
        <w:t>附件</w:t>
      </w:r>
    </w:p>
    <w:p>
      <w:pPr>
        <w:keepNext w:val="0"/>
        <w:keepLines w:val="0"/>
        <w:pageBreakBefore w:val="0"/>
        <w:widowControl w:val="0"/>
        <w:kinsoku/>
        <w:wordWrap/>
        <w:overflowPunct w:val="0"/>
        <w:topLinePunct w:val="0"/>
        <w:autoSpaceDE/>
        <w:autoSpaceDN/>
        <w:bidi w:val="0"/>
        <w:adjustRightInd w:val="0"/>
        <w:snapToGrid/>
        <w:spacing w:line="620" w:lineRule="exact"/>
        <w:jc w:val="both"/>
        <w:textAlignment w:val="auto"/>
        <w:rPr>
          <w:rFonts w:hint="default" w:ascii="Times New Roman" w:hAnsi="Times New Roman" w:eastAsia="方正黑体_GBK" w:cs="Times New Roman"/>
          <w:color w:val="000000" w:themeColor="text1"/>
          <w:spacing w:val="0"/>
          <w:kern w:val="2"/>
          <w:sz w:val="24"/>
          <w:szCs w:val="22"/>
          <w:highlight w:val="none"/>
          <w:lang w:val="en-US" w:eastAsia="zh-CN" w:bidi="ar-SA"/>
          <w14:textFill>
            <w14:solidFill>
              <w14:schemeClr w14:val="tx1"/>
            </w14:solidFill>
          </w14:textFill>
        </w:rPr>
      </w:pPr>
    </w:p>
    <w:p>
      <w:pPr>
        <w:keepNext w:val="0"/>
        <w:keepLines w:val="0"/>
        <w:pageBreakBefore w:val="0"/>
        <w:widowControl w:val="0"/>
        <w:suppressLineNumbers w:val="0"/>
        <w:kinsoku/>
        <w:wordWrap/>
        <w:overflowPunct w:val="0"/>
        <w:topLinePunct w:val="0"/>
        <w:autoSpaceDE/>
        <w:autoSpaceDN/>
        <w:bidi w:val="0"/>
        <w:adjustRightInd/>
        <w:snapToGrid/>
        <w:spacing w:line="620" w:lineRule="exact"/>
        <w:jc w:val="center"/>
        <w:textAlignment w:val="auto"/>
        <w:rPr>
          <w:rFonts w:hint="default" w:ascii="Times New Roman" w:hAnsi="Times New Roman" w:eastAsia="宋体" w:cs="Times New Roman"/>
          <w:color w:val="000000" w:themeColor="text1"/>
          <w:spacing w:val="0"/>
          <w:sz w:val="21"/>
          <w:highlight w:val="none"/>
          <w14:textFill>
            <w14:solidFill>
              <w14:schemeClr w14:val="tx1"/>
            </w14:solidFill>
          </w14:textFill>
        </w:rPr>
      </w:pPr>
      <w:r>
        <w:rPr>
          <w:rFonts w:hint="default" w:ascii="Times New Roman" w:hAnsi="Times New Roman" w:eastAsia="方正小标宋_GBK" w:cs="Times New Roman"/>
          <w:color w:val="000000" w:themeColor="text1"/>
          <w:spacing w:val="0"/>
          <w:kern w:val="0"/>
          <w:sz w:val="43"/>
          <w:szCs w:val="43"/>
          <w:highlight w:val="none"/>
          <w:lang w:val="en-US" w:eastAsia="zh-CN" w:bidi="ar"/>
          <w14:textFill>
            <w14:solidFill>
              <w14:schemeClr w14:val="tx1"/>
            </w14:solidFill>
          </w14:textFill>
        </w:rPr>
        <w:t>核心绩效指标责任及重点任务分工</w:t>
      </w:r>
    </w:p>
    <w:p>
      <w:pPr>
        <w:keepNext w:val="0"/>
        <w:keepLines w:val="0"/>
        <w:pageBreakBefore w:val="0"/>
        <w:widowControl w:val="0"/>
        <w:suppressLineNumbers w:val="0"/>
        <w:kinsoku/>
        <w:wordWrap/>
        <w:overflowPunct w:val="0"/>
        <w:topLinePunct w:val="0"/>
        <w:autoSpaceDE/>
        <w:autoSpaceDN/>
        <w:bidi w:val="0"/>
        <w:adjustRightInd/>
        <w:snapToGrid/>
        <w:spacing w:line="620" w:lineRule="exact"/>
        <w:jc w:val="center"/>
        <w:textAlignment w:val="auto"/>
        <w:rPr>
          <w:rFonts w:hint="default" w:ascii="Times New Roman" w:hAnsi="Times New Roman" w:eastAsia="方正仿宋_GBK" w:cs="Times New Roman"/>
          <w:color w:val="000000" w:themeColor="text1"/>
          <w:spacing w:val="0"/>
          <w:kern w:val="0"/>
          <w:sz w:val="32"/>
          <w:szCs w:val="32"/>
          <w:highlight w:val="none"/>
          <w:lang w:val="en-US" w:eastAsia="zh-CN" w:bidi="ar"/>
          <w14:textFill>
            <w14:solidFill>
              <w14:schemeClr w14:val="tx1"/>
            </w14:solidFill>
          </w14:textFill>
        </w:rPr>
      </w:pPr>
    </w:p>
    <w:p>
      <w:pPr>
        <w:keepNext w:val="0"/>
        <w:keepLines w:val="0"/>
        <w:pageBreakBefore w:val="0"/>
        <w:widowControl w:val="0"/>
        <w:suppressLineNumbers w:val="0"/>
        <w:kinsoku/>
        <w:wordWrap/>
        <w:overflowPunct w:val="0"/>
        <w:topLinePunct w:val="0"/>
        <w:autoSpaceDE/>
        <w:autoSpaceDN/>
        <w:bidi w:val="0"/>
        <w:snapToGrid/>
        <w:spacing w:line="620" w:lineRule="exact"/>
        <w:jc w:val="left"/>
        <w:textAlignment w:val="auto"/>
        <w:rPr>
          <w:rFonts w:hint="default" w:ascii="Times New Roman" w:hAnsi="Times New Roman" w:eastAsia="方正黑体_GBK" w:cs="Times New Roman"/>
          <w:color w:val="000000" w:themeColor="text1"/>
          <w:spacing w:val="0"/>
          <w:kern w:val="0"/>
          <w:sz w:val="31"/>
          <w:szCs w:val="31"/>
          <w:highlight w:val="none"/>
          <w:lang w:val="en-US" w:eastAsia="zh-CN" w:bidi="ar"/>
          <w14:textFill>
            <w14:solidFill>
              <w14:schemeClr w14:val="tx1"/>
            </w14:solidFill>
          </w14:textFill>
        </w:rPr>
      </w:pPr>
      <w:r>
        <w:rPr>
          <w:rFonts w:hint="default" w:ascii="Times New Roman" w:hAnsi="Times New Roman" w:eastAsia="方正黑体_GBK" w:cs="Times New Roman"/>
          <w:color w:val="000000" w:themeColor="text1"/>
          <w:spacing w:val="0"/>
          <w:kern w:val="0"/>
          <w:sz w:val="31"/>
          <w:szCs w:val="31"/>
          <w:highlight w:val="none"/>
          <w:lang w:val="en-US" w:eastAsia="zh-CN" w:bidi="ar"/>
          <w14:textFill>
            <w14:solidFill>
              <w14:schemeClr w14:val="tx1"/>
            </w14:solidFill>
          </w14:textFill>
        </w:rPr>
        <w:t>一、核心绩效指标</w:t>
      </w:r>
    </w:p>
    <w:tbl>
      <w:tblPr>
        <w:tblStyle w:val="27"/>
        <w:tblW w:w="10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3015"/>
        <w:gridCol w:w="1517"/>
        <w:gridCol w:w="2178"/>
        <w:gridCol w:w="2515"/>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0" w:type="dxa"/>
            <w:tcBorders>
              <w:top w:val="single" w:color="auto" w:sz="4" w:space="0"/>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黑体_GBK" w:cs="Times New Roman"/>
                <w:color w:val="auto"/>
                <w:kern w:val="0"/>
                <w:sz w:val="24"/>
                <w:szCs w:val="24"/>
                <w:highlight w:val="none"/>
                <w:vertAlign w:val="baseline"/>
                <w:lang w:val="en-US" w:eastAsia="zh-CN" w:bidi="ar"/>
              </w:rPr>
            </w:pPr>
            <w:r>
              <w:rPr>
                <w:rFonts w:hint="default" w:ascii="Times New Roman" w:hAnsi="Times New Roman" w:eastAsia="方正黑体_GBK" w:cs="Times New Roman"/>
                <w:color w:val="auto"/>
                <w:kern w:val="0"/>
                <w:sz w:val="24"/>
                <w:szCs w:val="24"/>
                <w:highlight w:val="none"/>
                <w:lang w:val="en-US" w:eastAsia="zh-CN" w:bidi="ar"/>
              </w:rPr>
              <w:t>序号</w:t>
            </w:r>
          </w:p>
        </w:tc>
        <w:tc>
          <w:tcPr>
            <w:tcW w:w="3015" w:type="dxa"/>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黑体_GBK" w:cs="Times New Roman"/>
                <w:color w:val="auto"/>
                <w:kern w:val="0"/>
                <w:sz w:val="24"/>
                <w:szCs w:val="24"/>
                <w:highlight w:val="none"/>
                <w:vertAlign w:val="baseline"/>
                <w:lang w:val="en-US" w:eastAsia="zh-CN" w:bidi="ar"/>
              </w:rPr>
            </w:pPr>
            <w:r>
              <w:rPr>
                <w:rFonts w:hint="default" w:ascii="Times New Roman" w:hAnsi="Times New Roman" w:eastAsia="方正黑体_GBK" w:cs="Times New Roman"/>
                <w:color w:val="auto"/>
                <w:kern w:val="0"/>
                <w:sz w:val="24"/>
                <w:szCs w:val="24"/>
                <w:highlight w:val="none"/>
                <w:lang w:val="en-US" w:eastAsia="zh-CN" w:bidi="ar"/>
              </w:rPr>
              <w:t>名称</w:t>
            </w:r>
          </w:p>
        </w:tc>
        <w:tc>
          <w:tcPr>
            <w:tcW w:w="1517" w:type="dxa"/>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黑体_GBK"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lang w:val="en-US" w:eastAsia="zh-CN" w:bidi="ar"/>
              </w:rPr>
              <w:t>2026</w:t>
            </w:r>
            <w:r>
              <w:rPr>
                <w:rFonts w:hint="default" w:ascii="Times New Roman" w:hAnsi="Times New Roman" w:eastAsia="方正黑体_GBK" w:cs="Times New Roman"/>
                <w:color w:val="auto"/>
                <w:kern w:val="0"/>
                <w:sz w:val="24"/>
                <w:szCs w:val="24"/>
                <w:highlight w:val="none"/>
                <w:lang w:val="en-US" w:eastAsia="zh-CN" w:bidi="ar"/>
              </w:rPr>
              <w:t>年目标</w:t>
            </w:r>
          </w:p>
        </w:tc>
        <w:tc>
          <w:tcPr>
            <w:tcW w:w="2178" w:type="dxa"/>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方正黑体_GBK" w:cs="Times New Roman"/>
                <w:color w:val="auto"/>
                <w:kern w:val="0"/>
                <w:sz w:val="24"/>
                <w:szCs w:val="24"/>
                <w:highlight w:val="none"/>
                <w:lang w:val="en-US" w:eastAsia="zh-CN" w:bidi="ar"/>
              </w:rPr>
              <w:t>牵头单位</w:t>
            </w:r>
          </w:p>
        </w:tc>
        <w:tc>
          <w:tcPr>
            <w:tcW w:w="2515" w:type="dxa"/>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黑体_GBK" w:cs="Times New Roman"/>
                <w:color w:val="auto"/>
                <w:kern w:val="0"/>
                <w:sz w:val="24"/>
                <w:szCs w:val="24"/>
                <w:highlight w:val="none"/>
                <w:vertAlign w:val="baseline"/>
                <w:lang w:val="en-US" w:eastAsia="zh-CN" w:bidi="ar"/>
              </w:rPr>
            </w:pPr>
            <w:r>
              <w:rPr>
                <w:rFonts w:hint="default" w:ascii="Times New Roman" w:hAnsi="Times New Roman" w:eastAsia="方正黑体_GBK" w:cs="Times New Roman"/>
                <w:color w:val="auto"/>
                <w:kern w:val="0"/>
                <w:sz w:val="24"/>
                <w:szCs w:val="24"/>
                <w:highlight w:val="none"/>
                <w:lang w:val="en-US" w:eastAsia="zh-CN" w:bidi="ar"/>
              </w:rPr>
              <w:t>责任单位</w:t>
            </w:r>
          </w:p>
        </w:tc>
        <w:tc>
          <w:tcPr>
            <w:tcW w:w="749" w:type="dxa"/>
            <w:tcBorders>
              <w:top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黑体_GBK" w:cs="Times New Roman"/>
                <w:color w:val="auto"/>
                <w:kern w:val="0"/>
                <w:sz w:val="24"/>
                <w:szCs w:val="24"/>
                <w:highlight w:val="none"/>
                <w:vertAlign w:val="baseline"/>
                <w:lang w:val="en-US" w:eastAsia="zh-CN" w:bidi="ar"/>
              </w:rPr>
            </w:pPr>
            <w:r>
              <w:rPr>
                <w:rFonts w:hint="default" w:ascii="Times New Roman" w:hAnsi="Times New Roman" w:eastAsia="方正黑体_GBK" w:cs="Times New Roman"/>
                <w:color w:val="auto"/>
                <w:kern w:val="0"/>
                <w:sz w:val="24"/>
                <w:szCs w:val="24"/>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0"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1</w:t>
            </w:r>
          </w:p>
        </w:tc>
        <w:tc>
          <w:tcPr>
            <w:tcW w:w="30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较大及以上生产安全事故起数</w:t>
            </w:r>
          </w:p>
        </w:tc>
        <w:tc>
          <w:tcPr>
            <w:tcW w:w="151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0</w:t>
            </w:r>
          </w:p>
        </w:tc>
        <w:tc>
          <w:tcPr>
            <w:tcW w:w="21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区应急管理局</w:t>
            </w:r>
          </w:p>
        </w:tc>
        <w:tc>
          <w:tcPr>
            <w:tcW w:w="25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区安委会各成员单位，各街道办事处</w:t>
            </w:r>
          </w:p>
        </w:tc>
        <w:tc>
          <w:tcPr>
            <w:tcW w:w="749"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0"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2</w:t>
            </w:r>
          </w:p>
        </w:tc>
        <w:tc>
          <w:tcPr>
            <w:tcW w:w="30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因灾群死群伤责任事件</w:t>
            </w:r>
          </w:p>
        </w:tc>
        <w:tc>
          <w:tcPr>
            <w:tcW w:w="151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0</w:t>
            </w:r>
          </w:p>
        </w:tc>
        <w:tc>
          <w:tcPr>
            <w:tcW w:w="21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区应急管理局</w:t>
            </w:r>
          </w:p>
        </w:tc>
        <w:tc>
          <w:tcPr>
            <w:tcW w:w="25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区防减救灾委各成员单位，各街道办事处</w:t>
            </w:r>
          </w:p>
        </w:tc>
        <w:tc>
          <w:tcPr>
            <w:tcW w:w="749"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0"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3</w:t>
            </w:r>
          </w:p>
        </w:tc>
        <w:tc>
          <w:tcPr>
            <w:tcW w:w="30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生产安全事故亡人数较近三年平均值</w:t>
            </w:r>
          </w:p>
        </w:tc>
        <w:tc>
          <w:tcPr>
            <w:tcW w:w="151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下降10%</w:t>
            </w:r>
          </w:p>
        </w:tc>
        <w:tc>
          <w:tcPr>
            <w:tcW w:w="21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区应急管理局</w:t>
            </w:r>
          </w:p>
        </w:tc>
        <w:tc>
          <w:tcPr>
            <w:tcW w:w="25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区安委会各成员单位，各街道办事处</w:t>
            </w:r>
          </w:p>
        </w:tc>
        <w:tc>
          <w:tcPr>
            <w:tcW w:w="749"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0"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4</w:t>
            </w:r>
          </w:p>
        </w:tc>
        <w:tc>
          <w:tcPr>
            <w:tcW w:w="30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已落实监测措施的灾害点亡人数</w:t>
            </w:r>
          </w:p>
        </w:tc>
        <w:tc>
          <w:tcPr>
            <w:tcW w:w="151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0</w:t>
            </w:r>
          </w:p>
        </w:tc>
        <w:tc>
          <w:tcPr>
            <w:tcW w:w="21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区规划自然资源局</w:t>
            </w:r>
          </w:p>
        </w:tc>
        <w:tc>
          <w:tcPr>
            <w:tcW w:w="25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区防减救灾委各成员单位，各街道办事处</w:t>
            </w:r>
          </w:p>
        </w:tc>
        <w:tc>
          <w:tcPr>
            <w:tcW w:w="749"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0"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5</w:t>
            </w:r>
          </w:p>
        </w:tc>
        <w:tc>
          <w:tcPr>
            <w:tcW w:w="30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公园（城市绿地）火灾起数</w:t>
            </w:r>
          </w:p>
        </w:tc>
        <w:tc>
          <w:tcPr>
            <w:tcW w:w="151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0</w:t>
            </w:r>
          </w:p>
        </w:tc>
        <w:tc>
          <w:tcPr>
            <w:tcW w:w="21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区城市管理局</w:t>
            </w:r>
          </w:p>
        </w:tc>
        <w:tc>
          <w:tcPr>
            <w:tcW w:w="25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区防减救灾委各成员单位，各街道办事处</w:t>
            </w:r>
          </w:p>
        </w:tc>
        <w:tc>
          <w:tcPr>
            <w:tcW w:w="749"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0"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6</w:t>
            </w:r>
          </w:p>
        </w:tc>
        <w:tc>
          <w:tcPr>
            <w:tcW w:w="30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次生衍生责任事故起数</w:t>
            </w:r>
          </w:p>
        </w:tc>
        <w:tc>
          <w:tcPr>
            <w:tcW w:w="151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0</w:t>
            </w:r>
          </w:p>
        </w:tc>
        <w:tc>
          <w:tcPr>
            <w:tcW w:w="217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区应急管理局</w:t>
            </w:r>
          </w:p>
        </w:tc>
        <w:tc>
          <w:tcPr>
            <w:tcW w:w="25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区安委会、区防减救灾委各成员单位，各街道办事处</w:t>
            </w:r>
          </w:p>
        </w:tc>
        <w:tc>
          <w:tcPr>
            <w:tcW w:w="749" w:type="dxa"/>
            <w:tcBorders>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0" w:type="dxa"/>
            <w:tcBorders>
              <w:left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7</w:t>
            </w:r>
          </w:p>
        </w:tc>
        <w:tc>
          <w:tcPr>
            <w:tcW w:w="301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大面积停电事件发生起数</w:t>
            </w:r>
          </w:p>
        </w:tc>
        <w:tc>
          <w:tcPr>
            <w:tcW w:w="1517"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不发生</w:t>
            </w:r>
          </w:p>
        </w:tc>
        <w:tc>
          <w:tcPr>
            <w:tcW w:w="2178" w:type="dxa"/>
            <w:tcBorders>
              <w:bottom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区经济信息委</w:t>
            </w:r>
          </w:p>
        </w:tc>
        <w:tc>
          <w:tcPr>
            <w:tcW w:w="2515" w:type="dxa"/>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区电力安全专业委员会重点成员单位，各街道办事处</w:t>
            </w:r>
          </w:p>
        </w:tc>
        <w:tc>
          <w:tcPr>
            <w:tcW w:w="749" w:type="dxa"/>
            <w:tcBorders>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bl>
    <w:p>
      <w:pPr>
        <w:keepNext w:val="0"/>
        <w:keepLines w:val="0"/>
        <w:pageBreakBefore w:val="0"/>
        <w:widowControl w:val="0"/>
        <w:suppressLineNumbers w:val="0"/>
        <w:kinsoku/>
        <w:wordWrap/>
        <w:overflowPunct w:val="0"/>
        <w:topLinePunct w:val="0"/>
        <w:autoSpaceDE/>
        <w:autoSpaceDN/>
        <w:bidi w:val="0"/>
        <w:adjustRightInd/>
        <w:snapToGrid/>
        <w:spacing w:line="620" w:lineRule="exact"/>
        <w:jc w:val="both"/>
        <w:textAlignment w:val="auto"/>
        <w:rPr>
          <w:rFonts w:hint="default" w:ascii="Times New Roman" w:hAnsi="Times New Roman" w:eastAsia="方正黑体_GBK" w:cs="Times New Roman"/>
          <w:color w:val="auto"/>
          <w:kern w:val="0"/>
          <w:sz w:val="32"/>
          <w:szCs w:val="32"/>
          <w:highlight w:val="none"/>
          <w:lang w:val="en-US" w:eastAsia="zh-CN" w:bidi="ar"/>
        </w:rPr>
      </w:pPr>
      <w:r>
        <w:rPr>
          <w:rFonts w:hint="default" w:ascii="Times New Roman" w:hAnsi="Times New Roman" w:eastAsia="方正黑体_GBK" w:cs="Times New Roman"/>
          <w:color w:val="auto"/>
          <w:kern w:val="0"/>
          <w:sz w:val="32"/>
          <w:szCs w:val="32"/>
          <w:highlight w:val="none"/>
          <w:lang w:val="en-US" w:eastAsia="zh-CN" w:bidi="ar"/>
        </w:rPr>
        <w:t>二、重点整治</w:t>
      </w:r>
    </w:p>
    <w:tbl>
      <w:tblPr>
        <w:tblStyle w:val="27"/>
        <w:tblW w:w="10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153"/>
        <w:gridCol w:w="4220"/>
        <w:gridCol w:w="1307"/>
        <w:gridCol w:w="2561"/>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黑体_GBK" w:cs="Times New Roman"/>
                <w:color w:val="auto"/>
                <w:kern w:val="0"/>
                <w:sz w:val="24"/>
                <w:szCs w:val="24"/>
                <w:highlight w:val="none"/>
                <w:vertAlign w:val="baseline"/>
                <w:lang w:val="en-US" w:eastAsia="zh-CN" w:bidi="ar"/>
              </w:rPr>
            </w:pPr>
            <w:r>
              <w:rPr>
                <w:rFonts w:hint="default" w:ascii="Times New Roman" w:hAnsi="Times New Roman" w:eastAsia="方正黑体_GBK" w:cs="Times New Roman"/>
                <w:color w:val="auto"/>
                <w:kern w:val="0"/>
                <w:sz w:val="24"/>
                <w:szCs w:val="24"/>
                <w:highlight w:val="none"/>
                <w:lang w:val="en-US" w:eastAsia="zh-CN" w:bidi="ar"/>
              </w:rPr>
              <w:t>序号</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黑体_GBK" w:cs="Times New Roman"/>
                <w:color w:val="auto"/>
                <w:kern w:val="0"/>
                <w:sz w:val="24"/>
                <w:szCs w:val="24"/>
                <w:highlight w:val="none"/>
                <w:vertAlign w:val="baseline"/>
                <w:lang w:val="en-US" w:eastAsia="zh-CN" w:bidi="ar"/>
              </w:rPr>
            </w:pPr>
            <w:r>
              <w:rPr>
                <w:rFonts w:hint="default" w:ascii="Times New Roman" w:hAnsi="Times New Roman" w:eastAsia="方正黑体_GBK" w:cs="Times New Roman"/>
                <w:color w:val="auto"/>
                <w:kern w:val="0"/>
                <w:sz w:val="24"/>
                <w:szCs w:val="24"/>
                <w:highlight w:val="none"/>
                <w:lang w:val="en-US" w:eastAsia="zh-CN" w:bidi="ar"/>
              </w:rPr>
              <w:t>名称</w:t>
            </w:r>
          </w:p>
        </w:tc>
        <w:tc>
          <w:tcPr>
            <w:tcW w:w="4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黑体_GBK"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lang w:val="en-US" w:eastAsia="zh-CN" w:bidi="ar"/>
              </w:rPr>
              <w:t>2026</w:t>
            </w:r>
            <w:r>
              <w:rPr>
                <w:rFonts w:hint="default" w:ascii="Times New Roman" w:hAnsi="Times New Roman" w:eastAsia="方正黑体_GBK" w:cs="Times New Roman"/>
                <w:color w:val="auto"/>
                <w:kern w:val="0"/>
                <w:sz w:val="24"/>
                <w:szCs w:val="24"/>
                <w:highlight w:val="none"/>
                <w:lang w:val="en-US" w:eastAsia="zh-CN" w:bidi="ar"/>
              </w:rPr>
              <w:t>年目标（内容）</w:t>
            </w:r>
          </w:p>
        </w:tc>
        <w:tc>
          <w:tcPr>
            <w:tcW w:w="13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方正黑体_GBK" w:cs="Times New Roman"/>
                <w:color w:val="auto"/>
                <w:kern w:val="0"/>
                <w:sz w:val="24"/>
                <w:szCs w:val="24"/>
                <w:highlight w:val="none"/>
                <w:lang w:val="en-US" w:eastAsia="zh-CN" w:bidi="ar"/>
              </w:rPr>
              <w:t>牵头单位</w:t>
            </w:r>
          </w:p>
        </w:tc>
        <w:tc>
          <w:tcPr>
            <w:tcW w:w="25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黑体_GBK" w:cs="Times New Roman"/>
                <w:color w:val="auto"/>
                <w:kern w:val="0"/>
                <w:sz w:val="24"/>
                <w:szCs w:val="24"/>
                <w:highlight w:val="none"/>
                <w:vertAlign w:val="baseline"/>
                <w:lang w:val="en-US" w:eastAsia="zh-CN" w:bidi="ar"/>
              </w:rPr>
            </w:pPr>
            <w:r>
              <w:rPr>
                <w:rFonts w:hint="default" w:ascii="Times New Roman" w:hAnsi="Times New Roman" w:eastAsia="方正黑体_GBK" w:cs="Times New Roman"/>
                <w:color w:val="auto"/>
                <w:kern w:val="0"/>
                <w:sz w:val="24"/>
                <w:szCs w:val="24"/>
                <w:highlight w:val="none"/>
                <w:lang w:val="en-US" w:eastAsia="zh-CN" w:bidi="ar"/>
              </w:rPr>
              <w:t>责任单位</w:t>
            </w:r>
          </w:p>
        </w:tc>
        <w:tc>
          <w:tcPr>
            <w:tcW w:w="7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黑体_GBK" w:cs="Times New Roman"/>
                <w:color w:val="auto"/>
                <w:kern w:val="0"/>
                <w:sz w:val="24"/>
                <w:szCs w:val="24"/>
                <w:highlight w:val="none"/>
                <w:vertAlign w:val="baseline"/>
                <w:lang w:val="en-US" w:eastAsia="zh-CN" w:bidi="ar"/>
              </w:rPr>
            </w:pPr>
            <w:r>
              <w:rPr>
                <w:rFonts w:hint="default" w:ascii="Times New Roman" w:hAnsi="Times New Roman" w:eastAsia="方正黑体_GBK" w:cs="Times New Roman"/>
                <w:color w:val="auto"/>
                <w:kern w:val="0"/>
                <w:sz w:val="24"/>
                <w:szCs w:val="24"/>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9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1</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96"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危险化</w:t>
            </w:r>
            <w:r>
              <w:rPr>
                <w:rFonts w:hint="default" w:ascii="Times New Roman" w:hAnsi="Times New Roman" w:eastAsia="方正仿宋_GBK" w:cs="Times New Roman"/>
                <w:color w:val="auto"/>
                <w:spacing w:val="-6"/>
                <w:kern w:val="0"/>
                <w:sz w:val="24"/>
                <w:szCs w:val="24"/>
                <w:highlight w:val="none"/>
                <w:lang w:val="en-US" w:eastAsia="zh-CN" w:bidi="ar"/>
              </w:rPr>
              <w:t>学品领域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96"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1.开展危险化学品安全专项整治行动，强化经营、使用、运输、废弃处置等环节风险防范，加强成品油、醇基液体燃料非法制、运、销全过程</w:t>
            </w:r>
            <w:r>
              <w:rPr>
                <w:rFonts w:hint="eastAsia" w:ascii="Times New Roman" w:hAnsi="Times New Roman" w:cs="Times New Roman"/>
                <w:color w:val="auto"/>
                <w:kern w:val="0"/>
                <w:sz w:val="24"/>
                <w:szCs w:val="24"/>
                <w:highlight w:val="none"/>
                <w:vertAlign w:val="baseline"/>
                <w:lang w:val="en-US" w:eastAsia="zh-CN" w:bidi="ar"/>
              </w:rPr>
              <w:t>“</w:t>
            </w:r>
            <w:r>
              <w:rPr>
                <w:rFonts w:hint="default" w:ascii="Times New Roman" w:hAnsi="Times New Roman" w:eastAsia="方正仿宋_GBK" w:cs="Times New Roman"/>
                <w:color w:val="auto"/>
                <w:kern w:val="0"/>
                <w:sz w:val="24"/>
                <w:szCs w:val="24"/>
                <w:highlight w:val="none"/>
                <w:vertAlign w:val="baseline"/>
                <w:lang w:val="en-US" w:eastAsia="zh-CN" w:bidi="ar"/>
              </w:rPr>
              <w:t>打非治违</w:t>
            </w:r>
            <w:r>
              <w:rPr>
                <w:rFonts w:hint="eastAsia" w:ascii="Times New Roman" w:hAnsi="Times New Roman" w:cs="Times New Roman"/>
                <w:color w:val="auto"/>
                <w:kern w:val="0"/>
                <w:sz w:val="24"/>
                <w:szCs w:val="24"/>
                <w:highlight w:val="none"/>
                <w:vertAlign w:val="baseline"/>
                <w:lang w:val="en-US" w:eastAsia="zh-CN" w:bidi="ar"/>
              </w:rPr>
              <w:t>”</w:t>
            </w:r>
            <w:r>
              <w:rPr>
                <w:rFonts w:hint="default" w:ascii="Times New Roman" w:hAnsi="Times New Roman" w:eastAsia="方正仿宋_GBK" w:cs="Times New Roman"/>
                <w:color w:val="auto"/>
                <w:kern w:val="0"/>
                <w:sz w:val="24"/>
                <w:szCs w:val="24"/>
                <w:highlight w:val="none"/>
                <w:vertAlign w:val="baseline"/>
                <w:lang w:val="en-US" w:eastAsia="zh-CN" w:bidi="ar"/>
              </w:rPr>
              <w:t>。2.强化危化品全链条数字化追溯体系。推广使用</w:t>
            </w:r>
            <w:r>
              <w:rPr>
                <w:rFonts w:hint="eastAsia" w:ascii="Times New Roman" w:hAnsi="Times New Roman" w:cs="Times New Roman"/>
                <w:color w:val="auto"/>
                <w:kern w:val="0"/>
                <w:sz w:val="24"/>
                <w:szCs w:val="24"/>
                <w:highlight w:val="none"/>
                <w:vertAlign w:val="baseline"/>
                <w:lang w:val="en-US" w:eastAsia="zh-CN" w:bidi="ar"/>
              </w:rPr>
              <w:t>“</w:t>
            </w:r>
            <w:r>
              <w:rPr>
                <w:rFonts w:hint="default" w:ascii="Times New Roman" w:hAnsi="Times New Roman" w:eastAsia="方正仿宋_GBK" w:cs="Times New Roman"/>
                <w:color w:val="auto"/>
                <w:kern w:val="0"/>
                <w:sz w:val="24"/>
                <w:szCs w:val="24"/>
                <w:highlight w:val="none"/>
                <w:vertAlign w:val="baseline"/>
                <w:lang w:val="en-US" w:eastAsia="zh-CN" w:bidi="ar"/>
              </w:rPr>
              <w:t>危险化学品经营安全监管服务系统</w:t>
            </w:r>
            <w:r>
              <w:rPr>
                <w:rFonts w:hint="eastAsia" w:ascii="Times New Roman" w:hAnsi="Times New Roman" w:cs="Times New Roman"/>
                <w:color w:val="auto"/>
                <w:kern w:val="0"/>
                <w:sz w:val="24"/>
                <w:szCs w:val="24"/>
                <w:highlight w:val="none"/>
                <w:vertAlign w:val="baseline"/>
                <w:lang w:val="en-US" w:eastAsia="zh-CN" w:bidi="ar"/>
              </w:rPr>
              <w:t>”</w:t>
            </w:r>
            <w:r>
              <w:rPr>
                <w:rFonts w:hint="default" w:ascii="Times New Roman" w:hAnsi="Times New Roman" w:eastAsia="方正仿宋_GBK" w:cs="Times New Roman"/>
                <w:color w:val="auto"/>
                <w:kern w:val="0"/>
                <w:sz w:val="24"/>
                <w:szCs w:val="24"/>
                <w:highlight w:val="none"/>
                <w:vertAlign w:val="baseline"/>
                <w:lang w:val="en-US" w:eastAsia="zh-CN" w:bidi="ar"/>
              </w:rPr>
              <w:t>，危化经营企业覆盖率达100%，推动</w:t>
            </w:r>
            <w:r>
              <w:rPr>
                <w:rFonts w:hint="eastAsia" w:ascii="Times New Roman" w:hAnsi="Times New Roman" w:cs="Times New Roman"/>
                <w:color w:val="auto"/>
                <w:kern w:val="0"/>
                <w:sz w:val="24"/>
                <w:szCs w:val="24"/>
                <w:highlight w:val="none"/>
                <w:vertAlign w:val="baseline"/>
                <w:lang w:val="en-US" w:eastAsia="zh-CN" w:bidi="ar"/>
              </w:rPr>
              <w:t>“</w:t>
            </w:r>
            <w:r>
              <w:rPr>
                <w:rFonts w:hint="default" w:ascii="Times New Roman" w:hAnsi="Times New Roman" w:eastAsia="方正仿宋_GBK" w:cs="Times New Roman"/>
                <w:color w:val="auto"/>
                <w:kern w:val="0"/>
                <w:sz w:val="24"/>
                <w:szCs w:val="24"/>
                <w:highlight w:val="none"/>
                <w:vertAlign w:val="baseline"/>
                <w:lang w:val="en-US" w:eastAsia="zh-CN" w:bidi="ar"/>
              </w:rPr>
              <w:t>渝运安</w:t>
            </w:r>
            <w:r>
              <w:rPr>
                <w:rFonts w:hint="eastAsia" w:ascii="Times New Roman" w:hAnsi="Times New Roman" w:cs="Times New Roman"/>
                <w:color w:val="auto"/>
                <w:kern w:val="0"/>
                <w:sz w:val="24"/>
                <w:szCs w:val="24"/>
                <w:highlight w:val="none"/>
                <w:vertAlign w:val="baseline"/>
                <w:lang w:val="en-US" w:eastAsia="zh-CN" w:bidi="ar"/>
              </w:rPr>
              <w:t>”</w:t>
            </w:r>
            <w:r>
              <w:rPr>
                <w:rFonts w:hint="default" w:ascii="Times New Roman" w:hAnsi="Times New Roman" w:eastAsia="方正仿宋_GBK" w:cs="Times New Roman"/>
                <w:color w:val="auto"/>
                <w:kern w:val="0"/>
                <w:sz w:val="24"/>
                <w:szCs w:val="24"/>
                <w:highlight w:val="none"/>
                <w:vertAlign w:val="baseline"/>
                <w:lang w:val="en-US" w:eastAsia="zh-CN" w:bidi="ar"/>
              </w:rPr>
              <w:t>电子运单和交易流向数据融合，数字赋能危化品源头管控和全过程</w:t>
            </w:r>
            <w:r>
              <w:rPr>
                <w:rFonts w:hint="eastAsia" w:ascii="Times New Roman" w:hAnsi="Times New Roman" w:cs="Times New Roman"/>
                <w:color w:val="auto"/>
                <w:kern w:val="0"/>
                <w:sz w:val="24"/>
                <w:szCs w:val="24"/>
                <w:highlight w:val="none"/>
                <w:vertAlign w:val="baseline"/>
                <w:lang w:val="en-US" w:eastAsia="zh-CN" w:bidi="ar"/>
              </w:rPr>
              <w:t>“</w:t>
            </w:r>
            <w:r>
              <w:rPr>
                <w:rFonts w:hint="default" w:ascii="Times New Roman" w:hAnsi="Times New Roman" w:eastAsia="方正仿宋_GBK" w:cs="Times New Roman"/>
                <w:color w:val="auto"/>
                <w:kern w:val="0"/>
                <w:sz w:val="24"/>
                <w:szCs w:val="24"/>
                <w:highlight w:val="none"/>
                <w:vertAlign w:val="baseline"/>
                <w:lang w:val="en-US" w:eastAsia="zh-CN" w:bidi="ar"/>
              </w:rPr>
              <w:t>打非治违</w:t>
            </w:r>
            <w:r>
              <w:rPr>
                <w:rFonts w:hint="eastAsia" w:ascii="Times New Roman" w:hAnsi="Times New Roman" w:cs="Times New Roman"/>
                <w:color w:val="auto"/>
                <w:kern w:val="0"/>
                <w:sz w:val="24"/>
                <w:szCs w:val="24"/>
                <w:highlight w:val="none"/>
                <w:vertAlign w:val="baseline"/>
                <w:lang w:val="en-US" w:eastAsia="zh-CN" w:bidi="ar"/>
              </w:rPr>
              <w:t>”</w:t>
            </w:r>
            <w:r>
              <w:rPr>
                <w:rFonts w:hint="default" w:ascii="Times New Roman" w:hAnsi="Times New Roman" w:eastAsia="方正仿宋_GBK" w:cs="Times New Roman"/>
                <w:color w:val="auto"/>
                <w:kern w:val="0"/>
                <w:sz w:val="24"/>
                <w:szCs w:val="24"/>
                <w:highlight w:val="none"/>
                <w:vertAlign w:val="baseline"/>
                <w:lang w:val="en-US" w:eastAsia="zh-CN" w:bidi="ar"/>
              </w:rPr>
              <w:t>。3.贯彻落实《危险化学品安全法》。组织开展专题培训，持续完善危险化学品安全生产责任清单、危险化学品事故应急预案。</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96"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区应急管理局</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96"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区教委、区经济信息委、区生态环境局、区商务委、区卫生健康委、区交通运输委、区市场监管局、区公安分局、区消防救援局，各街道办事处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9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2</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spacing w:val="-11"/>
                <w:kern w:val="0"/>
                <w:sz w:val="24"/>
                <w:szCs w:val="24"/>
                <w:highlight w:val="none"/>
                <w:lang w:val="en-US" w:eastAsia="zh-CN" w:bidi="ar"/>
              </w:rPr>
              <w:t>消防领域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贯彻落实《重庆市进一步强化高层建筑消防安全治理若干措施》。</w:t>
            </w:r>
            <w:r>
              <w:rPr>
                <w:rFonts w:hint="default" w:ascii="Times New Roman" w:hAnsi="Times New Roman" w:eastAsia="宋体" w:cs="Times New Roman"/>
                <w:color w:val="auto"/>
                <w:kern w:val="0"/>
                <w:sz w:val="24"/>
                <w:szCs w:val="24"/>
                <w:highlight w:val="none"/>
                <w:lang w:val="en-US" w:eastAsia="zh-CN" w:bidi="ar"/>
              </w:rPr>
              <w:t>11</w:t>
            </w:r>
            <w:r>
              <w:rPr>
                <w:rFonts w:hint="default" w:ascii="Times New Roman" w:hAnsi="Times New Roman" w:eastAsia="方正仿宋_GBK" w:cs="Times New Roman"/>
                <w:color w:val="auto"/>
                <w:kern w:val="0"/>
                <w:sz w:val="24"/>
                <w:szCs w:val="24"/>
                <w:highlight w:val="none"/>
                <w:lang w:val="en-US" w:eastAsia="zh-CN" w:bidi="ar"/>
              </w:rPr>
              <w:t>月底前，高层建筑消防设施、重点部位物联感知设备接入率达100%，推进消防指挥中心、消防救援站、消防训练基地、市政消火栓建设，按计划实施小型消防站建设，深化消防装备更新换代，优化结构性能。将消防设施、老旧电气线路改造纳入城市更新行动和老旧小区改造范畴。加强微型消防站能力建设和物资装备保障。</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区消防救援局</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区教委、区经济信息委、区委统战部、区公安分局、区民政局、区住房城市建委、区交通运输委、区商务委、区文化旅游委、区卫生健康委、区国防动员办，各街道办事处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3</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spacing w:val="-6"/>
                <w:kern w:val="0"/>
                <w:sz w:val="24"/>
                <w:szCs w:val="24"/>
                <w:highlight w:val="none"/>
                <w:lang w:val="en-US" w:eastAsia="zh-CN" w:bidi="ar"/>
              </w:rPr>
              <w:t>电力领域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滚动开展电力电量平衡，科学制定负荷管理预案，开展节约用电行动，供需两侧发力确保电力供需平衡、电网安全运行。统筹输供电设施设备年度检修计划，优化检修工期和方案，充分利用电网负荷低谷时段开展临停检修。高效、快速处置电网大面积停电事件，减少损失和影响。</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区经济信息委</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区市场监管局、区城市管理局、市区供电公司，各街道办事处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4</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综合交通运输领域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在全市统一规划下，配合推进长江干线通航水域可视化建设。客（渡）运船舶依规安装的视频监控接入率达100%。在相关市级部门的指导下，配合市级部门进行安全监管，组织开展</w:t>
            </w:r>
            <w:r>
              <w:rPr>
                <w:rFonts w:hint="default" w:ascii="Times New Roman" w:hAnsi="Times New Roman" w:eastAsia="方正仿宋_GBK" w:cs="Times New Roman"/>
                <w:color w:val="auto"/>
                <w:spacing w:val="-6"/>
                <w:kern w:val="0"/>
                <w:sz w:val="24"/>
                <w:szCs w:val="24"/>
                <w:highlight w:val="none"/>
                <w:lang w:val="en-US" w:eastAsia="zh-CN" w:bidi="ar"/>
              </w:rPr>
              <w:t>辖区轨道交通相关风险管控和隐患治理。</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区交通运输委、区公安分局</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区市场监管局、区文化旅游委、区大数据发展局、区消防救援局，各街道办事处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5</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燃气（醇基燃料）领域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常态化排查治理城镇燃气油气安全风险隐患，重拳整治第三方破坏燃气管道问题。完善燃气管道定期体检制度，开展老化管道更新改造。结合城市生命线安全工程建设，加大燃气管道智能物联感知设备布设力度。持续加强销售环节燃气具产品质量安全监管，依法查处质量违法行为。</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区经济信息委</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区公安分局、区住房城市建委、区城市管理局、区商务委、区市场监管局、区消防救援局等，各街道办事处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6</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文化旅游与体育领域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持续深化文化旅游领域安全综合整治，落实极端天气条件下景点关停制度和最大承载量管控规定。纳入等级动态管理的文化旅游企业达98%以上，年度文物保护单位巡查率、公共文化设施在线安全监管率达98%，游客满意度达90%以上。加强载人游乐设施、旅游新业态新项目安全评估。强化体育赛事活动安全管理工作，推动体育</w:t>
            </w:r>
            <w:r>
              <w:rPr>
                <w:rFonts w:hint="default" w:ascii="Times New Roman" w:hAnsi="Times New Roman" w:eastAsia="方正仿宋_GBK" w:cs="Times New Roman"/>
                <w:color w:val="auto"/>
                <w:spacing w:val="-6"/>
                <w:kern w:val="0"/>
                <w:sz w:val="24"/>
                <w:szCs w:val="24"/>
                <w:highlight w:val="none"/>
                <w:lang w:val="en-US" w:eastAsia="zh-CN" w:bidi="ar"/>
              </w:rPr>
              <w:t>场馆建立健全场馆运营安全管理机制。</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区文化旅游委</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区委统战部、区公安分局、区城市管理局、区交通运输委、区市场监管局、区消防救援局，各街道办事处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4"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7</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卫生健康与养老领域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医疗卫生和养老服务机构开展消防安全培训和应急演练，覆盖率</w:t>
            </w:r>
            <w:r>
              <w:rPr>
                <w:rFonts w:hint="default" w:ascii="Times New Roman" w:hAnsi="Times New Roman" w:eastAsia="宋体" w:cs="Times New Roman"/>
                <w:color w:val="auto"/>
                <w:kern w:val="0"/>
                <w:sz w:val="24"/>
                <w:szCs w:val="24"/>
                <w:highlight w:val="none"/>
                <w:lang w:val="en-US" w:eastAsia="zh-CN" w:bidi="ar"/>
              </w:rPr>
              <w:t>100%</w:t>
            </w:r>
            <w:r>
              <w:rPr>
                <w:rFonts w:hint="default" w:ascii="Times New Roman" w:hAnsi="Times New Roman" w:eastAsia="方正仿宋_GBK" w:cs="Times New Roman"/>
                <w:color w:val="auto"/>
                <w:kern w:val="0"/>
                <w:sz w:val="24"/>
                <w:szCs w:val="24"/>
                <w:highlight w:val="none"/>
                <w:lang w:val="en-US" w:eastAsia="zh-CN" w:bidi="ar"/>
              </w:rPr>
              <w:t>。面向重点行业和新业态从业人员开展职业健康状况调查和干预，重点人群职业健康知识知晓率达到</w:t>
            </w:r>
            <w:r>
              <w:rPr>
                <w:rFonts w:hint="default" w:ascii="Times New Roman" w:hAnsi="Times New Roman" w:eastAsia="宋体" w:cs="Times New Roman"/>
                <w:color w:val="auto"/>
                <w:kern w:val="0"/>
                <w:sz w:val="24"/>
                <w:szCs w:val="24"/>
                <w:highlight w:val="none"/>
                <w:lang w:val="en-US" w:eastAsia="zh-CN" w:bidi="ar"/>
              </w:rPr>
              <w:t>88%</w:t>
            </w:r>
            <w:r>
              <w:rPr>
                <w:rFonts w:hint="default" w:ascii="Times New Roman" w:hAnsi="Times New Roman" w:eastAsia="方正仿宋_GBK" w:cs="Times New Roman"/>
                <w:color w:val="auto"/>
                <w:kern w:val="0"/>
                <w:sz w:val="24"/>
                <w:szCs w:val="24"/>
                <w:highlight w:val="none"/>
                <w:lang w:val="en-US" w:eastAsia="zh-CN" w:bidi="ar"/>
              </w:rPr>
              <w:t>以上。</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区卫生健康委、区民政局</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区住房城市建委、区市场监管局、区消防救援局，各街道办事处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8</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建设施工暨既有房屋领域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房屋市政工程风险隐患动态清零，重大事故隐患整改率100%。推动老旧小区、城市危旧房改造。抓好重庆站综合交通枢纽工程建设等重点项目建设全过程安全监管，强化在区非区属项目、非限额以下装饰装修、危大工程及委外作业等重点领域和关键环节的风险管控，确保房屋市政工程在岗和新入职人员培训考核合格率100%。积极推动在区的市级试点项目培育、使用自有工人。加强渝中区建设施工领域</w:t>
            </w:r>
            <w:r>
              <w:rPr>
                <w:rFonts w:hint="eastAsia" w:ascii="Times New Roman" w:hAnsi="Times New Roman" w:cs="Times New Roman"/>
                <w:color w:val="auto"/>
                <w:kern w:val="0"/>
                <w:sz w:val="24"/>
                <w:szCs w:val="24"/>
                <w:highlight w:val="none"/>
                <w:vertAlign w:val="baseline"/>
                <w:lang w:val="en-US" w:eastAsia="zh-CN" w:bidi="ar"/>
              </w:rPr>
              <w:t>“</w:t>
            </w:r>
            <w:r>
              <w:rPr>
                <w:rFonts w:hint="default" w:ascii="Times New Roman" w:hAnsi="Times New Roman" w:eastAsia="方正仿宋_GBK" w:cs="Times New Roman"/>
                <w:color w:val="auto"/>
                <w:kern w:val="0"/>
                <w:sz w:val="24"/>
                <w:szCs w:val="24"/>
                <w:highlight w:val="none"/>
                <w:vertAlign w:val="baseline"/>
                <w:lang w:val="en-US" w:eastAsia="zh-CN" w:bidi="ar"/>
              </w:rPr>
              <w:t>十条硬措施</w:t>
            </w:r>
            <w:r>
              <w:rPr>
                <w:rFonts w:hint="eastAsia" w:ascii="Times New Roman" w:hAnsi="Times New Roman" w:cs="Times New Roman"/>
                <w:color w:val="auto"/>
                <w:kern w:val="0"/>
                <w:sz w:val="24"/>
                <w:szCs w:val="24"/>
                <w:highlight w:val="none"/>
                <w:vertAlign w:val="baseline"/>
                <w:lang w:val="en-US" w:eastAsia="zh-CN" w:bidi="ar"/>
              </w:rPr>
              <w:t>”</w:t>
            </w:r>
            <w:r>
              <w:rPr>
                <w:rFonts w:hint="default" w:ascii="Times New Roman" w:hAnsi="Times New Roman" w:eastAsia="方正仿宋_GBK" w:cs="Times New Roman"/>
                <w:color w:val="auto"/>
                <w:kern w:val="0"/>
                <w:sz w:val="24"/>
                <w:szCs w:val="24"/>
                <w:highlight w:val="none"/>
                <w:vertAlign w:val="baseline"/>
                <w:lang w:val="en-US" w:eastAsia="zh-CN" w:bidi="ar"/>
              </w:rPr>
              <w:t>贯彻落实。持续开展高层建筑外立面和既有房屋附着物安全隐患排查整治行动。健全市管工程属地安全措施，健全联动机制。加强培训宣贯，强化限额以下装饰装修工程技术指导，街道对辖区范围内限额以下装饰装修项目登记率达100%。</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区住房城市建委</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区规划自然资源局、区城市管理局、区交通运输委、区市场监管局、区国防动员办，各街道办事处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9</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城市运行领域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聚焦路桥梁隧道、城市供节水、城市园林绿化、户外广告招牌、有限空间作业等重点领域，强化委托外包、大修检修、有限空间、动火动焊四大危险作业安全管控。4月底前，应急鹰眼和卫星叫应标准化建设达到95%。年底前</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水电气讯路桥隧轨</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数字化管理率达到80%、迭代建设城市生命线数字孪生系统，桥隧结构设施病害整治率100%。推动更新改造供水管网。</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区城市管理局</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区经济信息委、区规划自然资源局、区住房城市建委、区交通运输委、区市场监管局、区消防救援局、区数字化城市运行和治理中心，各街道办事处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10</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道路交通领域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利用信息化手段加强货车违法超限治理，探索线上货运装载地溯源、线下行业主管部门靶向监管新模式。</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两客一危</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年检率、年审率</w:t>
            </w:r>
            <w:r>
              <w:rPr>
                <w:rFonts w:hint="default" w:ascii="Times New Roman" w:hAnsi="Times New Roman" w:eastAsia="宋体" w:cs="Times New Roman"/>
                <w:color w:val="auto"/>
                <w:kern w:val="0"/>
                <w:sz w:val="24"/>
                <w:szCs w:val="24"/>
                <w:highlight w:val="none"/>
                <w:lang w:val="en-US" w:eastAsia="zh-CN" w:bidi="ar"/>
              </w:rPr>
              <w:t>100%</w:t>
            </w:r>
            <w:r>
              <w:rPr>
                <w:rFonts w:hint="default" w:ascii="Times New Roman" w:hAnsi="Times New Roman" w:eastAsia="方正仿宋_GBK" w:cs="Times New Roman"/>
                <w:color w:val="auto"/>
                <w:kern w:val="0"/>
                <w:sz w:val="24"/>
                <w:szCs w:val="24"/>
                <w:highlight w:val="none"/>
                <w:lang w:val="en-US" w:eastAsia="zh-CN" w:bidi="ar"/>
              </w:rPr>
              <w:t>。道路</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两</w:t>
            </w:r>
            <w:r>
              <w:rPr>
                <w:rFonts w:hint="default" w:ascii="Times New Roman" w:hAnsi="Times New Roman" w:eastAsia="方正仿宋_GBK" w:cs="Times New Roman"/>
                <w:color w:val="auto"/>
                <w:spacing w:val="-6"/>
                <w:kern w:val="0"/>
                <w:sz w:val="24"/>
                <w:szCs w:val="24"/>
                <w:highlight w:val="none"/>
                <w:lang w:val="en-US" w:eastAsia="zh-CN" w:bidi="ar"/>
              </w:rPr>
              <w:t>客一危</w:t>
            </w:r>
            <w:r>
              <w:rPr>
                <w:rFonts w:hint="eastAsia" w:ascii="Times New Roman" w:hAnsi="Times New Roman" w:cs="Times New Roman"/>
                <w:color w:val="auto"/>
                <w:spacing w:val="-6"/>
                <w:kern w:val="0"/>
                <w:sz w:val="24"/>
                <w:szCs w:val="24"/>
                <w:highlight w:val="none"/>
                <w:lang w:val="en-US" w:eastAsia="zh-CN" w:bidi="ar"/>
              </w:rPr>
              <w:t>”</w:t>
            </w:r>
            <w:r>
              <w:rPr>
                <w:rFonts w:hint="default" w:ascii="Times New Roman" w:hAnsi="Times New Roman" w:eastAsia="方正仿宋_GBK" w:cs="Times New Roman"/>
                <w:color w:val="auto"/>
                <w:spacing w:val="-6"/>
                <w:kern w:val="0"/>
                <w:sz w:val="24"/>
                <w:szCs w:val="24"/>
                <w:highlight w:val="none"/>
                <w:lang w:val="en-US" w:eastAsia="zh-CN" w:bidi="ar"/>
              </w:rPr>
              <w:t>企业安全隐患解除率</w:t>
            </w:r>
            <w:r>
              <w:rPr>
                <w:rFonts w:hint="default" w:ascii="Times New Roman" w:hAnsi="Times New Roman" w:eastAsia="宋体" w:cs="Times New Roman"/>
                <w:color w:val="auto"/>
                <w:spacing w:val="-6"/>
                <w:kern w:val="0"/>
                <w:sz w:val="24"/>
                <w:szCs w:val="24"/>
                <w:highlight w:val="none"/>
                <w:lang w:val="en-US" w:eastAsia="zh-CN" w:bidi="ar"/>
              </w:rPr>
              <w:t>85%</w:t>
            </w:r>
            <w:r>
              <w:rPr>
                <w:rFonts w:hint="default" w:ascii="Times New Roman" w:hAnsi="Times New Roman" w:eastAsia="方正仿宋_GBK" w:cs="Times New Roman"/>
                <w:color w:val="auto"/>
                <w:spacing w:val="-6"/>
                <w:kern w:val="0"/>
                <w:sz w:val="24"/>
                <w:szCs w:val="24"/>
                <w:highlight w:val="none"/>
                <w:lang w:val="en-US" w:eastAsia="zh-CN" w:bidi="ar"/>
              </w:rPr>
              <w:t>以上。</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spacing w:val="-17"/>
                <w:kern w:val="0"/>
                <w:sz w:val="24"/>
                <w:szCs w:val="24"/>
                <w:highlight w:val="none"/>
                <w:lang w:val="en-US" w:eastAsia="zh-CN" w:bidi="ar"/>
              </w:rPr>
              <w:t>区公安分局</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区教委、区城市管理局、区交通运输委、区商务委、区文化旅游委、区市场监管局，各街道办事处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11</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spacing w:val="-6"/>
                <w:kern w:val="0"/>
                <w:sz w:val="24"/>
                <w:szCs w:val="24"/>
                <w:highlight w:val="none"/>
                <w:lang w:val="en-US" w:eastAsia="zh-CN" w:bidi="ar"/>
              </w:rPr>
              <w:t>教育领域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全覆盖贯通应用市教育安全信息传播平台和校园安全信息管理平台。完成教育系统安全生产轮训，覆盖各级教育行政部门和各类学校主要负责人、分管负责人，以及负责消防、基建工程、实验室、实习实训等工作人员。组织开展行业领域综合指导，推进重大事故隐患动态清零。</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区教委</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区经济信息委、区公安分局、区人力社保局、区城市管理局、区市场监管局、团区委、区消</w:t>
            </w:r>
            <w:r>
              <w:rPr>
                <w:rFonts w:hint="default" w:ascii="Times New Roman" w:hAnsi="Times New Roman" w:eastAsia="方正仿宋_GBK" w:cs="Times New Roman"/>
                <w:color w:val="auto"/>
                <w:spacing w:val="-11"/>
                <w:kern w:val="0"/>
                <w:sz w:val="24"/>
                <w:szCs w:val="24"/>
                <w:highlight w:val="none"/>
                <w:lang w:val="en-US" w:eastAsia="zh-CN" w:bidi="ar"/>
              </w:rPr>
              <w:t>防救援局，各街道办事处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12</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特种设备领域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持续开展电梯维保质量提升、场（厂）内专用机动车辆使用安全治理专项行动、锅炉安全提升行动；推进城镇燃气安全问题、氧气瓶保压阀特种设备等排查整治。</w:t>
            </w:r>
            <w:r>
              <w:rPr>
                <w:rFonts w:hint="default" w:ascii="Times New Roman" w:hAnsi="Times New Roman" w:eastAsia="宋体" w:cs="Times New Roman"/>
                <w:color w:val="auto"/>
                <w:kern w:val="0"/>
                <w:sz w:val="24"/>
                <w:szCs w:val="24"/>
                <w:highlight w:val="none"/>
                <w:lang w:val="en-US" w:eastAsia="zh-CN" w:bidi="ar"/>
              </w:rPr>
              <w:t>2026</w:t>
            </w:r>
            <w:r>
              <w:rPr>
                <w:rFonts w:hint="default" w:ascii="Times New Roman" w:hAnsi="Times New Roman" w:eastAsia="方正仿宋_GBK" w:cs="Times New Roman"/>
                <w:color w:val="auto"/>
                <w:kern w:val="0"/>
                <w:sz w:val="24"/>
                <w:szCs w:val="24"/>
                <w:highlight w:val="none"/>
                <w:lang w:val="en-US" w:eastAsia="zh-CN" w:bidi="ar"/>
              </w:rPr>
              <w:t>年底前，实现新生产和在用的工业氧气瓶</w:t>
            </w:r>
            <w:r>
              <w:rPr>
                <w:rFonts w:hint="default" w:ascii="Times New Roman" w:hAnsi="Times New Roman" w:eastAsia="宋体" w:cs="Times New Roman"/>
                <w:color w:val="auto"/>
                <w:kern w:val="0"/>
                <w:sz w:val="24"/>
                <w:szCs w:val="24"/>
                <w:highlight w:val="none"/>
                <w:lang w:val="en-US" w:eastAsia="zh-CN" w:bidi="ar"/>
              </w:rPr>
              <w:t>100%</w:t>
            </w:r>
            <w:r>
              <w:rPr>
                <w:rFonts w:hint="default" w:ascii="Times New Roman" w:hAnsi="Times New Roman" w:eastAsia="方正仿宋_GBK" w:cs="Times New Roman"/>
                <w:color w:val="auto"/>
                <w:kern w:val="0"/>
                <w:sz w:val="24"/>
                <w:szCs w:val="24"/>
                <w:highlight w:val="none"/>
                <w:lang w:val="en-US" w:eastAsia="zh-CN" w:bidi="ar"/>
              </w:rPr>
              <w:t>采用保压阀；燃气调压装置法定检验率高于</w:t>
            </w:r>
            <w:r>
              <w:rPr>
                <w:rFonts w:hint="default" w:ascii="Times New Roman" w:hAnsi="Times New Roman" w:eastAsia="宋体" w:cs="Times New Roman"/>
                <w:color w:val="auto"/>
                <w:kern w:val="0"/>
                <w:sz w:val="24"/>
                <w:szCs w:val="24"/>
                <w:highlight w:val="none"/>
                <w:lang w:val="en-US" w:eastAsia="zh-CN" w:bidi="ar"/>
              </w:rPr>
              <w:t>95%</w:t>
            </w:r>
            <w:r>
              <w:rPr>
                <w:rFonts w:hint="default" w:ascii="Times New Roman" w:hAnsi="Times New Roman" w:eastAsia="方正仿宋_GBK" w:cs="Times New Roman"/>
                <w:color w:val="auto"/>
                <w:kern w:val="0"/>
                <w:sz w:val="24"/>
                <w:szCs w:val="24"/>
                <w:highlight w:val="none"/>
                <w:lang w:val="en-US" w:eastAsia="zh-CN" w:bidi="ar"/>
              </w:rPr>
              <w:t>。全区电梯故障困人率低于</w:t>
            </w:r>
            <w:r>
              <w:rPr>
                <w:rFonts w:hint="default" w:ascii="Times New Roman" w:hAnsi="Times New Roman" w:eastAsia="宋体" w:cs="Times New Roman"/>
                <w:color w:val="auto"/>
                <w:kern w:val="0"/>
                <w:sz w:val="24"/>
                <w:szCs w:val="24"/>
                <w:highlight w:val="none"/>
                <w:lang w:val="en-US" w:eastAsia="zh-CN" w:bidi="ar"/>
              </w:rPr>
              <w:t>0.5%</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全区电梯无纸化维保率高于</w:t>
            </w:r>
            <w:r>
              <w:rPr>
                <w:rFonts w:hint="default" w:ascii="Times New Roman" w:hAnsi="Times New Roman" w:eastAsia="宋体" w:cs="Times New Roman"/>
                <w:color w:val="auto"/>
                <w:kern w:val="0"/>
                <w:sz w:val="24"/>
                <w:szCs w:val="24"/>
                <w:highlight w:val="none"/>
                <w:lang w:val="en-US" w:eastAsia="zh-CN" w:bidi="ar"/>
              </w:rPr>
              <w:t>95%</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新增接入物联感知电梯。</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区市场监管局</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区教委、区经济信息委、区住房城市建委、区城市管理局、区交通运输委、区商务委、区文化旅游委、区卫生健康委，各街道办事处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13</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spacing w:val="-6"/>
                <w:kern w:val="0"/>
                <w:sz w:val="24"/>
                <w:szCs w:val="24"/>
                <w:highlight w:val="none"/>
                <w:lang w:val="en-US" w:eastAsia="zh-CN" w:bidi="ar"/>
              </w:rPr>
              <w:t>商务领域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进一步推进再生资源回收行业安全专项整治工作；加强酒店住宿业安全监管；持续开展大型商业综合体安全专项整治，确保排查率</w:t>
            </w:r>
            <w:r>
              <w:rPr>
                <w:rFonts w:hint="default" w:ascii="Times New Roman" w:hAnsi="Times New Roman" w:eastAsia="宋体" w:cs="Times New Roman"/>
                <w:color w:val="auto"/>
                <w:kern w:val="0"/>
                <w:sz w:val="24"/>
                <w:szCs w:val="24"/>
                <w:highlight w:val="none"/>
                <w:lang w:val="en-US" w:eastAsia="zh-CN" w:bidi="ar"/>
              </w:rPr>
              <w:t>100%</w:t>
            </w:r>
            <w:r>
              <w:rPr>
                <w:rFonts w:hint="default" w:ascii="Times New Roman" w:hAnsi="Times New Roman" w:eastAsia="方正仿宋_GBK" w:cs="Times New Roman"/>
                <w:color w:val="auto"/>
                <w:kern w:val="0"/>
                <w:sz w:val="24"/>
                <w:szCs w:val="24"/>
                <w:highlight w:val="none"/>
                <w:lang w:val="en-US" w:eastAsia="zh-CN" w:bidi="ar"/>
              </w:rPr>
              <w:t>；重点开展商场超市、旧货流通、展览行业集中培训，做好大型商业综合体消防安全责任人培训。持续开展餐饮燃气安全专项整治和打击整治黑加油点专项行动，确保线索核查率、问题整改率</w:t>
            </w:r>
            <w:r>
              <w:rPr>
                <w:rFonts w:hint="default" w:ascii="Times New Roman" w:hAnsi="Times New Roman" w:eastAsia="宋体" w:cs="Times New Roman"/>
                <w:color w:val="auto"/>
                <w:kern w:val="0"/>
                <w:sz w:val="24"/>
                <w:szCs w:val="24"/>
                <w:highlight w:val="none"/>
                <w:lang w:val="en-US" w:eastAsia="zh-CN" w:bidi="ar"/>
              </w:rPr>
              <w:t>100%。</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区商务委</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区经济信息委、区公安分局、区住房城市建委、区城市管理局、区应急管理局、区市场监管局、区消防救援局，各街道办事处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14</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洪水灾害防治领域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持续推进城市内涝、长江和嘉陵江综合治理，加快推进</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两江四岸</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治理提升工程建设。</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区交通运输委、区住</w:t>
            </w:r>
            <w:r>
              <w:rPr>
                <w:rFonts w:hint="default" w:ascii="Times New Roman" w:hAnsi="Times New Roman" w:eastAsia="方正仿宋_GBK" w:cs="Times New Roman"/>
                <w:color w:val="auto"/>
                <w:spacing w:val="-11"/>
                <w:kern w:val="0"/>
                <w:sz w:val="24"/>
                <w:szCs w:val="24"/>
                <w:highlight w:val="none"/>
                <w:lang w:val="en-US" w:eastAsia="zh-CN" w:bidi="ar"/>
              </w:rPr>
              <w:t>房城市建委</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相关沿江街道办事处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15</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地质灾害防治领域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持续强化监测预警，</w:t>
            </w:r>
            <w:r>
              <w:rPr>
                <w:rFonts w:hint="default" w:ascii="Times New Roman" w:hAnsi="Times New Roman" w:eastAsia="方正仿宋_GBK" w:cs="Times New Roman"/>
                <w:strike w:val="0"/>
                <w:dstrike w:val="0"/>
                <w:color w:val="auto"/>
                <w:kern w:val="0"/>
                <w:sz w:val="24"/>
                <w:szCs w:val="24"/>
                <w:highlight w:val="none"/>
                <w:lang w:val="en-US" w:eastAsia="zh-CN" w:bidi="ar"/>
              </w:rPr>
              <w:t>推动</w:t>
            </w:r>
            <w:r>
              <w:rPr>
                <w:rFonts w:hint="default" w:ascii="Times New Roman" w:hAnsi="Times New Roman" w:eastAsia="方正仿宋_GBK" w:cs="Times New Roman"/>
                <w:color w:val="auto"/>
                <w:kern w:val="0"/>
                <w:sz w:val="24"/>
                <w:szCs w:val="24"/>
                <w:highlight w:val="none"/>
                <w:lang w:val="en-US" w:eastAsia="zh-CN" w:bidi="ar"/>
              </w:rPr>
              <w:t>地质灾害隐患监测覆盖率</w:t>
            </w:r>
            <w:r>
              <w:rPr>
                <w:rFonts w:hint="default" w:ascii="Times New Roman" w:hAnsi="Times New Roman" w:eastAsia="宋体" w:cs="Times New Roman"/>
                <w:color w:val="auto"/>
                <w:kern w:val="0"/>
                <w:sz w:val="24"/>
                <w:szCs w:val="24"/>
                <w:highlight w:val="none"/>
                <w:lang w:val="en-US" w:eastAsia="zh-CN" w:bidi="ar"/>
              </w:rPr>
              <w:t>100%</w:t>
            </w:r>
            <w:r>
              <w:rPr>
                <w:rFonts w:hint="default" w:ascii="Times New Roman" w:hAnsi="Times New Roman" w:eastAsia="方正仿宋_GBK" w:cs="Times New Roman"/>
                <w:color w:val="auto"/>
                <w:kern w:val="0"/>
                <w:sz w:val="24"/>
                <w:szCs w:val="24"/>
                <w:highlight w:val="none"/>
                <w:lang w:val="en-US" w:eastAsia="zh-CN" w:bidi="ar"/>
              </w:rPr>
              <w:t>。统筹实施综合治理，完成地质灾害工程治理和排危除险。不断优化</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一点一策</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防控措施覆盖率</w:t>
            </w:r>
            <w:r>
              <w:rPr>
                <w:rFonts w:hint="default" w:ascii="Times New Roman" w:hAnsi="Times New Roman" w:eastAsia="宋体" w:cs="Times New Roman"/>
                <w:color w:val="auto"/>
                <w:kern w:val="0"/>
                <w:sz w:val="24"/>
                <w:szCs w:val="24"/>
                <w:highlight w:val="none"/>
                <w:lang w:val="en-US" w:eastAsia="zh-CN" w:bidi="ar"/>
              </w:rPr>
              <w:t>100%</w:t>
            </w:r>
            <w:r>
              <w:rPr>
                <w:rFonts w:hint="default" w:ascii="Times New Roman" w:hAnsi="Times New Roman" w:eastAsia="方正仿宋_GBK" w:cs="Times New Roman"/>
                <w:color w:val="auto"/>
                <w:kern w:val="0"/>
                <w:sz w:val="24"/>
                <w:szCs w:val="24"/>
                <w:highlight w:val="none"/>
                <w:lang w:val="en-US" w:eastAsia="zh-CN" w:bidi="ar"/>
              </w:rPr>
              <w:t>。</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区规划自然资源局</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16</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公园（城市绿地）火灾防治领域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规范开展查处违规用火行为、涉公园旅游景区禁烟、用火管理、电力线路设施隐患排查整治专项行动。防火期巡护员在线率不低于</w:t>
            </w:r>
            <w:r>
              <w:rPr>
                <w:rFonts w:hint="default" w:ascii="Times New Roman" w:hAnsi="Times New Roman" w:eastAsia="宋体" w:cs="Times New Roman"/>
                <w:color w:val="auto"/>
                <w:kern w:val="0"/>
                <w:sz w:val="24"/>
                <w:szCs w:val="24"/>
                <w:highlight w:val="none"/>
                <w:lang w:val="en-US" w:eastAsia="zh-CN" w:bidi="ar"/>
              </w:rPr>
              <w:t>90%</w:t>
            </w:r>
            <w:r>
              <w:rPr>
                <w:rFonts w:hint="default" w:ascii="Times New Roman" w:hAnsi="Times New Roman" w:eastAsia="方正仿宋_GBK" w:cs="Times New Roman"/>
                <w:color w:val="auto"/>
                <w:kern w:val="0"/>
                <w:sz w:val="24"/>
                <w:szCs w:val="24"/>
                <w:highlight w:val="none"/>
                <w:lang w:val="en-US" w:eastAsia="zh-CN" w:bidi="ar"/>
              </w:rPr>
              <w:t>、火情报警信息处置率不低于</w:t>
            </w:r>
            <w:r>
              <w:rPr>
                <w:rFonts w:hint="default" w:ascii="Times New Roman" w:hAnsi="Times New Roman" w:eastAsia="宋体" w:cs="Times New Roman"/>
                <w:color w:val="auto"/>
                <w:kern w:val="0"/>
                <w:sz w:val="24"/>
                <w:szCs w:val="24"/>
                <w:highlight w:val="none"/>
                <w:lang w:val="en-US" w:eastAsia="zh-CN" w:bidi="ar"/>
              </w:rPr>
              <w:t>95%</w:t>
            </w:r>
            <w:r>
              <w:rPr>
                <w:rFonts w:hint="default" w:ascii="Times New Roman" w:hAnsi="Times New Roman" w:eastAsia="方正仿宋_GBK" w:cs="Times New Roman"/>
                <w:color w:val="auto"/>
                <w:kern w:val="0"/>
                <w:sz w:val="24"/>
                <w:szCs w:val="24"/>
                <w:highlight w:val="none"/>
                <w:lang w:val="en-US" w:eastAsia="zh-CN" w:bidi="ar"/>
              </w:rPr>
              <w:t>。深入开展公园（</w:t>
            </w:r>
            <w:r>
              <w:rPr>
                <w:rFonts w:hint="default" w:ascii="Times New Roman" w:hAnsi="Times New Roman" w:cs="Times New Roman"/>
                <w:color w:val="auto"/>
                <w:kern w:val="0"/>
                <w:sz w:val="24"/>
                <w:szCs w:val="24"/>
                <w:highlight w:val="none"/>
                <w:lang w:val="en-US" w:eastAsia="zh-CN" w:bidi="ar"/>
              </w:rPr>
              <w:t>城市</w:t>
            </w:r>
            <w:r>
              <w:rPr>
                <w:rFonts w:hint="default" w:ascii="Times New Roman" w:hAnsi="Times New Roman" w:eastAsia="方正仿宋_GBK" w:cs="Times New Roman"/>
                <w:color w:val="auto"/>
                <w:kern w:val="0"/>
                <w:sz w:val="24"/>
                <w:szCs w:val="24"/>
                <w:highlight w:val="none"/>
                <w:lang w:val="en-US" w:eastAsia="zh-CN" w:bidi="ar"/>
              </w:rPr>
              <w:t>绿地）电力设施火灾隐患排查整治，及时清理高压铁塔塔基林下可燃物，消除超高绿植，隐患综合整治率不低于</w:t>
            </w:r>
            <w:r>
              <w:rPr>
                <w:rFonts w:hint="default" w:ascii="Times New Roman" w:hAnsi="Times New Roman" w:eastAsia="宋体" w:cs="Times New Roman"/>
                <w:color w:val="auto"/>
                <w:kern w:val="0"/>
                <w:sz w:val="24"/>
                <w:szCs w:val="24"/>
                <w:highlight w:val="none"/>
                <w:lang w:val="en-US" w:eastAsia="zh-CN" w:bidi="ar"/>
              </w:rPr>
              <w:t>90%</w:t>
            </w:r>
            <w:r>
              <w:rPr>
                <w:rFonts w:hint="default" w:ascii="Times New Roman" w:hAnsi="Times New Roman" w:eastAsia="方正仿宋_GBK" w:cs="Times New Roman"/>
                <w:color w:val="auto"/>
                <w:kern w:val="0"/>
                <w:sz w:val="24"/>
                <w:szCs w:val="24"/>
                <w:highlight w:val="none"/>
                <w:lang w:val="en-US" w:eastAsia="zh-CN" w:bidi="ar"/>
              </w:rPr>
              <w:t>。</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区城市管理局</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区文化旅游委、区经济信息委，各街道办事处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17</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排水防涝领域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完善城市内涝积水风险点位前端感知和预警阈值，按照市级部署，绘制排涝作战态势感知</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一张图</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。按照</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一点一案一策</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原则推进城市内涝积水风险整治，推动改造雨水管网</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排水管网、地下空间防淹防倒灌措施建设，差异化</w:t>
            </w:r>
            <w:r>
              <w:rPr>
                <w:rFonts w:hint="default" w:ascii="Times New Roman" w:hAnsi="Times New Roman" w:eastAsia="方正仿宋_GBK" w:cs="Times New Roman"/>
                <w:color w:val="auto"/>
                <w:spacing w:val="6"/>
                <w:kern w:val="0"/>
                <w:sz w:val="24"/>
                <w:szCs w:val="24"/>
                <w:highlight w:val="none"/>
                <w:lang w:val="en-US" w:eastAsia="zh-CN" w:bidi="ar"/>
              </w:rPr>
              <w:t>整治积水风险点位。深化</w:t>
            </w:r>
            <w:r>
              <w:rPr>
                <w:rFonts w:hint="eastAsia" w:ascii="Times New Roman" w:hAnsi="Times New Roman" w:cs="Times New Roman"/>
                <w:color w:val="auto"/>
                <w:spacing w:val="6"/>
                <w:kern w:val="0"/>
                <w:sz w:val="24"/>
                <w:szCs w:val="24"/>
                <w:highlight w:val="none"/>
                <w:lang w:val="en-US" w:eastAsia="zh-CN" w:bidi="ar"/>
              </w:rPr>
              <w:t>“</w:t>
            </w:r>
            <w:r>
              <w:rPr>
                <w:rFonts w:hint="default" w:ascii="Times New Roman" w:hAnsi="Times New Roman" w:eastAsia="方正仿宋_GBK" w:cs="Times New Roman"/>
                <w:color w:val="auto"/>
                <w:spacing w:val="6"/>
                <w:kern w:val="0"/>
                <w:sz w:val="24"/>
                <w:szCs w:val="24"/>
                <w:highlight w:val="none"/>
                <w:lang w:val="en-US" w:eastAsia="zh-CN" w:bidi="ar"/>
              </w:rPr>
              <w:t>厂网一体</w:t>
            </w:r>
            <w:r>
              <w:rPr>
                <w:rFonts w:hint="eastAsia" w:ascii="Times New Roman" w:hAnsi="Times New Roman" w:cs="Times New Roman"/>
                <w:color w:val="auto"/>
                <w:spacing w:val="6"/>
                <w:kern w:val="0"/>
                <w:sz w:val="24"/>
                <w:szCs w:val="24"/>
                <w:highlight w:val="none"/>
                <w:lang w:val="en-US" w:eastAsia="zh-CN" w:bidi="ar"/>
              </w:rPr>
              <w:t>”</w:t>
            </w:r>
            <w:r>
              <w:rPr>
                <w:rFonts w:hint="default" w:ascii="Times New Roman" w:hAnsi="Times New Roman" w:eastAsia="方正仿宋_GBK" w:cs="Times New Roman"/>
                <w:color w:val="auto"/>
                <w:spacing w:val="6"/>
                <w:kern w:val="0"/>
                <w:sz w:val="24"/>
                <w:szCs w:val="24"/>
                <w:highlight w:val="none"/>
                <w:lang w:val="en-US" w:eastAsia="zh-CN" w:bidi="ar"/>
              </w:rPr>
              <w:t>改革，推动雨污管网统一管理、专业运维。</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区住房城市建委</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区城市管理局，各街道办事处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18</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地震灾害防御领域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开展重大建设工程和可能产生严重次生灾害建设工程的监督检查，确保重大工程地震安全性评价</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应评尽评</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。重大建设工程依法开展地震安全性评价比例达到</w:t>
            </w:r>
            <w:r>
              <w:rPr>
                <w:rFonts w:hint="default" w:ascii="Times New Roman" w:hAnsi="Times New Roman" w:eastAsia="宋体" w:cs="Times New Roman"/>
                <w:color w:val="auto"/>
                <w:kern w:val="0"/>
                <w:sz w:val="24"/>
                <w:szCs w:val="24"/>
                <w:highlight w:val="none"/>
                <w:lang w:val="en-US" w:eastAsia="zh-CN" w:bidi="ar"/>
              </w:rPr>
              <w:t>100%</w:t>
            </w:r>
            <w:r>
              <w:rPr>
                <w:rFonts w:hint="default" w:ascii="Times New Roman" w:hAnsi="Times New Roman" w:eastAsia="方正仿宋_GBK" w:cs="Times New Roman"/>
                <w:color w:val="auto"/>
                <w:kern w:val="0"/>
                <w:sz w:val="24"/>
                <w:szCs w:val="24"/>
                <w:highlight w:val="none"/>
                <w:lang w:val="en-US" w:eastAsia="zh-CN" w:bidi="ar"/>
              </w:rPr>
              <w:t>。全面拓展地震预警</w:t>
            </w:r>
            <w:r>
              <w:rPr>
                <w:rFonts w:hint="default" w:ascii="Times New Roman" w:hAnsi="Times New Roman" w:eastAsia="方正仿宋_GBK" w:cs="Times New Roman"/>
                <w:color w:val="auto"/>
                <w:spacing w:val="-11"/>
                <w:kern w:val="0"/>
                <w:sz w:val="24"/>
                <w:szCs w:val="24"/>
                <w:highlight w:val="none"/>
                <w:lang w:val="en-US" w:eastAsia="zh-CN" w:bidi="ar"/>
              </w:rPr>
              <w:t>信息服务，实现全区域秒级地震预警能力。</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区应急管理局</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区住房城市建委</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区规划自然资源局，各街道办事处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19</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气象灾害防御领域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按照市级部署，用好重庆气象综合预警平台、</w:t>
            </w:r>
            <w:r>
              <w:rPr>
                <w:rFonts w:hint="default" w:ascii="Times New Roman" w:hAnsi="Times New Roman" w:eastAsia="宋体" w:cs="Times New Roman"/>
                <w:color w:val="auto"/>
                <w:kern w:val="0"/>
                <w:sz w:val="24"/>
                <w:szCs w:val="24"/>
                <w:highlight w:val="none"/>
                <w:lang w:val="en-US" w:eastAsia="zh-CN" w:bidi="ar"/>
              </w:rPr>
              <w:t>APP</w:t>
            </w:r>
            <w:r>
              <w:rPr>
                <w:rFonts w:hint="default" w:ascii="Times New Roman" w:hAnsi="Times New Roman" w:eastAsia="方正仿宋_GBK" w:cs="Times New Roman"/>
                <w:color w:val="auto"/>
                <w:kern w:val="0"/>
                <w:sz w:val="24"/>
                <w:szCs w:val="24"/>
                <w:highlight w:val="none"/>
                <w:lang w:val="en-US" w:eastAsia="zh-CN" w:bidi="ar"/>
              </w:rPr>
              <w:t>，提升监测预警实效，落实《重庆市突发事件预警信息发布管理办法》，预警信息人口覆盖率</w:t>
            </w:r>
            <w:r>
              <w:rPr>
                <w:rFonts w:hint="default" w:ascii="Times New Roman" w:hAnsi="Times New Roman" w:eastAsia="宋体" w:cs="Times New Roman"/>
                <w:color w:val="auto"/>
                <w:kern w:val="0"/>
                <w:sz w:val="24"/>
                <w:szCs w:val="24"/>
                <w:highlight w:val="none"/>
                <w:lang w:val="en-US" w:eastAsia="zh-CN" w:bidi="ar"/>
              </w:rPr>
              <w:t>99%</w:t>
            </w:r>
            <w:r>
              <w:rPr>
                <w:rFonts w:hint="default" w:ascii="Times New Roman" w:hAnsi="Times New Roman" w:eastAsia="方正仿宋_GBK" w:cs="Times New Roman"/>
                <w:color w:val="auto"/>
                <w:kern w:val="0"/>
                <w:sz w:val="24"/>
                <w:szCs w:val="24"/>
                <w:highlight w:val="none"/>
                <w:lang w:val="en-US" w:eastAsia="zh-CN" w:bidi="ar"/>
              </w:rPr>
              <w:t>以上。</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区应急管理局</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区防减救灾委各成员单位</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20</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新能源汽车充电基础</w:t>
            </w:r>
            <w:r>
              <w:rPr>
                <w:rFonts w:hint="default" w:ascii="Times New Roman" w:hAnsi="Times New Roman" w:eastAsia="方正仿宋_GBK" w:cs="Times New Roman"/>
                <w:color w:val="auto"/>
                <w:spacing w:val="-6"/>
                <w:kern w:val="0"/>
                <w:sz w:val="24"/>
                <w:szCs w:val="24"/>
                <w:highlight w:val="none"/>
                <w:lang w:val="en-US" w:eastAsia="zh-CN" w:bidi="ar"/>
              </w:rPr>
              <w:t>设施领域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推动全区充换电设施接入市级车桩监测平台，加强对电动汽车充换电设施运行监测管理；综合考虑充电基础设施分布现状、供需关系、服务特点等因素，科学指导建设运营企业按需优化</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饱和区</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、加密</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潜力区</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建设一批充电基础设施；新建充电基础设施全面落实《电动汽车传导充电系统安全要求》《电动汽车供电设备安全要求》等强制性国家标准。</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区经济信息委</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区市场监管局等，各街道办事处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6" w:lineRule="exac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r>
              <w:rPr>
                <w:rFonts w:hint="default" w:ascii="Times New Roman" w:hAnsi="Times New Roman" w:eastAsia="方正仿宋_GBK" w:cs="Times New Roman"/>
                <w:color w:val="auto"/>
                <w:kern w:val="0"/>
                <w:sz w:val="24"/>
                <w:szCs w:val="24"/>
                <w:highlight w:val="none"/>
                <w:vertAlign w:val="baseline"/>
                <w:lang w:val="en-US" w:eastAsia="zh-CN" w:bidi="ar"/>
              </w:rPr>
              <w:t>21</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spacing w:val="-6"/>
                <w:kern w:val="0"/>
                <w:sz w:val="24"/>
                <w:szCs w:val="24"/>
                <w:highlight w:val="none"/>
                <w:lang w:val="en-US" w:eastAsia="zh-CN" w:bidi="ar"/>
              </w:rPr>
              <w:t>民爆领域</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紧盯民爆销售企业重点场所和环节，实现行业安全检查覆盖率</w:t>
            </w:r>
            <w:r>
              <w:rPr>
                <w:rFonts w:hint="default" w:ascii="Times New Roman" w:hAnsi="Times New Roman" w:eastAsia="宋体" w:cs="Times New Roman"/>
                <w:color w:val="auto"/>
                <w:kern w:val="0"/>
                <w:sz w:val="24"/>
                <w:szCs w:val="24"/>
                <w:highlight w:val="none"/>
                <w:lang w:val="en-US" w:eastAsia="zh-CN" w:bidi="ar"/>
              </w:rPr>
              <w:t>100%</w:t>
            </w:r>
            <w:r>
              <w:rPr>
                <w:rFonts w:hint="default" w:ascii="Times New Roman" w:hAnsi="Times New Roman" w:eastAsia="方正仿宋_GBK" w:cs="Times New Roman"/>
                <w:color w:val="auto"/>
                <w:kern w:val="0"/>
                <w:sz w:val="24"/>
                <w:szCs w:val="24"/>
                <w:highlight w:val="none"/>
                <w:lang w:val="en-US" w:eastAsia="zh-CN" w:bidi="ar"/>
              </w:rPr>
              <w:t>，企业主要负责人和安全管理人员新训率</w:t>
            </w:r>
            <w:r>
              <w:rPr>
                <w:rFonts w:hint="default" w:ascii="Times New Roman" w:hAnsi="Times New Roman" w:eastAsia="宋体" w:cs="Times New Roman"/>
                <w:color w:val="auto"/>
                <w:kern w:val="0"/>
                <w:sz w:val="24"/>
                <w:szCs w:val="24"/>
                <w:highlight w:val="none"/>
                <w:lang w:val="en-US" w:eastAsia="zh-CN" w:bidi="ar"/>
              </w:rPr>
              <w:t>100%</w:t>
            </w:r>
            <w:r>
              <w:rPr>
                <w:rFonts w:hint="default" w:ascii="Times New Roman" w:hAnsi="Times New Roman" w:eastAsia="方正仿宋_GBK" w:cs="Times New Roman"/>
                <w:color w:val="auto"/>
                <w:kern w:val="0"/>
                <w:sz w:val="24"/>
                <w:szCs w:val="24"/>
                <w:highlight w:val="none"/>
                <w:lang w:val="en-US" w:eastAsia="zh-CN" w:bidi="ar"/>
              </w:rPr>
              <w:t>，严厉整治</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四超</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（超员、超量、超时、超产）、</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三违法</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方正仿宋_GBK" w:cs="Times New Roman"/>
                <w:color w:val="auto"/>
                <w:kern w:val="0"/>
                <w:sz w:val="24"/>
                <w:szCs w:val="24"/>
                <w:highlight w:val="none"/>
                <w:lang w:val="en-US" w:eastAsia="zh-CN" w:bidi="ar"/>
              </w:rPr>
              <w:t>（违章</w:t>
            </w:r>
            <w:r>
              <w:rPr>
                <w:rFonts w:hint="default" w:ascii="Times New Roman" w:hAnsi="Times New Roman" w:eastAsia="方正仿宋_GBK" w:cs="Times New Roman"/>
                <w:color w:val="auto"/>
                <w:spacing w:val="-6"/>
                <w:kern w:val="0"/>
                <w:sz w:val="24"/>
                <w:szCs w:val="24"/>
                <w:highlight w:val="none"/>
                <w:lang w:val="en-US" w:eastAsia="zh-CN" w:bidi="ar"/>
              </w:rPr>
              <w:t>操作、违章指挥、违反劳动纪律）等行为。</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区经济信息委</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方正仿宋_GBK" w:cs="Times New Roman"/>
                <w:color w:val="auto"/>
                <w:kern w:val="0"/>
                <w:sz w:val="24"/>
                <w:szCs w:val="24"/>
                <w:highlight w:val="none"/>
                <w:lang w:val="en-US" w:eastAsia="zh-CN" w:bidi="ar"/>
              </w:rPr>
            </w:pPr>
            <w:r>
              <w:rPr>
                <w:rFonts w:hint="default" w:ascii="Times New Roman" w:hAnsi="Times New Roman" w:eastAsia="方正仿宋_GBK" w:cs="Times New Roman"/>
                <w:color w:val="auto"/>
                <w:kern w:val="0"/>
                <w:sz w:val="24"/>
                <w:szCs w:val="24"/>
                <w:highlight w:val="none"/>
                <w:lang w:val="en-US" w:eastAsia="zh-CN" w:bidi="ar"/>
              </w:rPr>
              <w:t>区公安分局，各街道办事处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仿宋_GBK" w:cs="Times New Roman"/>
                <w:color w:val="auto"/>
                <w:kern w:val="0"/>
                <w:sz w:val="24"/>
                <w:szCs w:val="24"/>
                <w:highlight w:val="none"/>
                <w:vertAlign w:val="baseline"/>
                <w:lang w:val="en-US" w:eastAsia="zh-CN" w:bidi="ar"/>
              </w:rPr>
            </w:pPr>
          </w:p>
        </w:tc>
      </w:tr>
    </w:tbl>
    <w:p>
      <w:pPr>
        <w:keepNext w:val="0"/>
        <w:keepLines w:val="0"/>
        <w:pageBreakBefore w:val="0"/>
        <w:widowControl/>
        <w:suppressLineNumbers w:val="0"/>
        <w:kinsoku/>
        <w:wordWrap/>
        <w:overflowPunct/>
        <w:topLinePunct w:val="0"/>
        <w:autoSpaceDE/>
        <w:autoSpaceDN/>
        <w:bidi w:val="0"/>
        <w:adjustRightInd/>
        <w:snapToGrid/>
        <w:spacing w:line="620" w:lineRule="exact"/>
        <w:jc w:val="left"/>
        <w:textAlignment w:val="auto"/>
        <w:rPr>
          <w:rFonts w:hint="default" w:ascii="Times New Roman" w:hAnsi="Times New Roman" w:eastAsia="方正黑体_GBK" w:cs="Times New Roman"/>
          <w:color w:val="auto"/>
          <w:kern w:val="0"/>
          <w:sz w:val="31"/>
          <w:szCs w:val="31"/>
          <w:highlight w:val="none"/>
          <w:lang w:val="en-US" w:eastAsia="zh-CN" w:bidi="ar"/>
        </w:rPr>
      </w:pPr>
      <w:r>
        <w:rPr>
          <w:rFonts w:hint="default" w:ascii="Times New Roman" w:hAnsi="Times New Roman" w:eastAsia="方正黑体_GBK" w:cs="Times New Roman"/>
          <w:color w:val="auto"/>
          <w:kern w:val="0"/>
          <w:sz w:val="31"/>
          <w:szCs w:val="31"/>
          <w:highlight w:val="none"/>
          <w:lang w:val="en-US" w:eastAsia="zh-CN" w:bidi="ar"/>
        </w:rPr>
        <w:t>三、重点应用/平台</w:t>
      </w:r>
    </w:p>
    <w:tbl>
      <w:tblPr>
        <w:tblStyle w:val="27"/>
        <w:tblW w:w="10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153"/>
        <w:gridCol w:w="4220"/>
        <w:gridCol w:w="1307"/>
        <w:gridCol w:w="2561"/>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黑体_GBK" w:cs="Times New Roman"/>
                <w:color w:val="auto"/>
                <w:kern w:val="0"/>
                <w:sz w:val="24"/>
                <w:szCs w:val="24"/>
                <w:highlight w:val="none"/>
                <w:vertAlign w:val="baseline"/>
                <w:lang w:val="en-US" w:eastAsia="zh-CN" w:bidi="ar"/>
              </w:rPr>
            </w:pPr>
            <w:r>
              <w:rPr>
                <w:rFonts w:hint="default" w:ascii="Times New Roman" w:hAnsi="Times New Roman" w:eastAsia="方正黑体_GBK" w:cs="Times New Roman"/>
                <w:color w:val="auto"/>
                <w:kern w:val="0"/>
                <w:sz w:val="24"/>
                <w:szCs w:val="24"/>
                <w:highlight w:val="none"/>
                <w:lang w:val="en-US" w:eastAsia="zh-CN" w:bidi="ar"/>
              </w:rPr>
              <w:t>序号</w:t>
            </w:r>
          </w:p>
        </w:tc>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黑体_GBK" w:cs="Times New Roman"/>
                <w:color w:val="auto"/>
                <w:kern w:val="0"/>
                <w:sz w:val="24"/>
                <w:szCs w:val="24"/>
                <w:highlight w:val="none"/>
                <w:vertAlign w:val="baseline"/>
                <w:lang w:val="en-US" w:eastAsia="zh-CN" w:bidi="ar"/>
              </w:rPr>
            </w:pPr>
            <w:r>
              <w:rPr>
                <w:rFonts w:hint="default" w:ascii="Times New Roman" w:hAnsi="Times New Roman" w:eastAsia="方正黑体_GBK" w:cs="Times New Roman"/>
                <w:color w:val="auto"/>
                <w:kern w:val="0"/>
                <w:sz w:val="24"/>
                <w:szCs w:val="24"/>
                <w:highlight w:val="none"/>
                <w:lang w:val="en-US" w:eastAsia="zh-CN" w:bidi="ar"/>
              </w:rPr>
              <w:t>名称</w:t>
            </w:r>
          </w:p>
        </w:tc>
        <w:tc>
          <w:tcPr>
            <w:tcW w:w="42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黑体_GBK"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lang w:val="en-US" w:eastAsia="zh-CN" w:bidi="ar"/>
              </w:rPr>
              <w:t>2026</w:t>
            </w:r>
            <w:r>
              <w:rPr>
                <w:rFonts w:hint="default" w:ascii="Times New Roman" w:hAnsi="Times New Roman" w:eastAsia="方正黑体_GBK" w:cs="Times New Roman"/>
                <w:color w:val="auto"/>
                <w:kern w:val="0"/>
                <w:sz w:val="24"/>
                <w:szCs w:val="24"/>
                <w:highlight w:val="none"/>
                <w:lang w:val="en-US" w:eastAsia="zh-CN" w:bidi="ar"/>
              </w:rPr>
              <w:t>年目标（内容）</w:t>
            </w:r>
          </w:p>
        </w:tc>
        <w:tc>
          <w:tcPr>
            <w:tcW w:w="13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方正黑体_GBK" w:cs="Times New Roman"/>
                <w:color w:val="auto"/>
                <w:kern w:val="0"/>
                <w:sz w:val="24"/>
                <w:szCs w:val="24"/>
                <w:highlight w:val="none"/>
                <w:lang w:val="en-US" w:eastAsia="zh-CN" w:bidi="ar"/>
              </w:rPr>
              <w:t>牵头单位</w:t>
            </w:r>
          </w:p>
        </w:tc>
        <w:tc>
          <w:tcPr>
            <w:tcW w:w="25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黑体_GBK" w:cs="Times New Roman"/>
                <w:color w:val="auto"/>
                <w:kern w:val="0"/>
                <w:sz w:val="24"/>
                <w:szCs w:val="24"/>
                <w:highlight w:val="none"/>
                <w:vertAlign w:val="baseline"/>
                <w:lang w:val="en-US" w:eastAsia="zh-CN" w:bidi="ar"/>
              </w:rPr>
            </w:pPr>
            <w:r>
              <w:rPr>
                <w:rFonts w:hint="default" w:ascii="Times New Roman" w:hAnsi="Times New Roman" w:eastAsia="方正黑体_GBK" w:cs="Times New Roman"/>
                <w:color w:val="auto"/>
                <w:kern w:val="0"/>
                <w:sz w:val="24"/>
                <w:szCs w:val="24"/>
                <w:highlight w:val="none"/>
                <w:lang w:val="en-US" w:eastAsia="zh-CN" w:bidi="ar"/>
              </w:rPr>
              <w:t>责任单位</w:t>
            </w:r>
          </w:p>
        </w:tc>
        <w:tc>
          <w:tcPr>
            <w:tcW w:w="7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黑体_GBK" w:cs="Times New Roman"/>
                <w:color w:val="auto"/>
                <w:kern w:val="0"/>
                <w:sz w:val="24"/>
                <w:szCs w:val="24"/>
                <w:highlight w:val="none"/>
                <w:vertAlign w:val="baseline"/>
                <w:lang w:val="en-US" w:eastAsia="zh-CN" w:bidi="ar"/>
              </w:rPr>
            </w:pPr>
            <w:r>
              <w:rPr>
                <w:rFonts w:hint="default" w:ascii="Times New Roman" w:hAnsi="Times New Roman" w:eastAsia="方正黑体_GBK" w:cs="Times New Roman"/>
                <w:color w:val="auto"/>
                <w:kern w:val="0"/>
                <w:sz w:val="24"/>
                <w:szCs w:val="24"/>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0" w:lineRule="exact"/>
              <w:ind w:left="0" w:right="0"/>
              <w:jc w:val="center"/>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1</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危岩地灾风险管控</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按全市统一部署，配合开展地质灾害风险高质量数据集框架建设，推广危岩裂缝识别等智能体，建设智能防范、智能救援、智慧治理等子场景。</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区规划自然资源局</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lang w:val="en-US" w:eastAsia="zh-CN" w:bidi="ar"/>
              </w:rPr>
            </w:pPr>
            <w:r>
              <w:rPr>
                <w:rFonts w:hint="default" w:ascii="Times New Roman" w:hAnsi="Times New Roman" w:eastAsia="方正仿宋_GBK" w:cs="Times New Roman"/>
                <w:color w:val="auto"/>
                <w:spacing w:val="0"/>
                <w:kern w:val="0"/>
                <w:sz w:val="24"/>
                <w:szCs w:val="24"/>
                <w:lang w:val="en-US" w:eastAsia="zh-CN" w:bidi="ar"/>
              </w:rPr>
              <w:t>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spacing w:val="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0" w:lineRule="exact"/>
              <w:ind w:left="0" w:right="0"/>
              <w:jc w:val="center"/>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2</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6"/>
                <w:kern w:val="0"/>
                <w:sz w:val="24"/>
                <w:szCs w:val="24"/>
                <w:highlight w:val="none"/>
                <w:lang w:val="en-US" w:eastAsia="zh-CN" w:bidi="ar"/>
              </w:rPr>
              <w:t>工程智管</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按照全市统一部署，配合增加消防安全检查模块，实现检查全过程数字化闭环留痕、隐患全量自动落图。</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区住房城市建委</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lang w:val="en-US" w:eastAsia="zh-CN" w:bidi="ar"/>
              </w:rPr>
            </w:pPr>
            <w:r>
              <w:rPr>
                <w:rFonts w:hint="default" w:ascii="Times New Roman" w:hAnsi="Times New Roman" w:eastAsia="方正仿宋_GBK" w:cs="Times New Roman"/>
                <w:color w:val="auto"/>
                <w:spacing w:val="0"/>
                <w:kern w:val="0"/>
                <w:sz w:val="24"/>
                <w:szCs w:val="24"/>
                <w:lang w:val="en-US" w:eastAsia="zh-CN" w:bidi="ar"/>
              </w:rPr>
              <w:t>区大数据发展局、各街道办事处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0" w:lineRule="exact"/>
              <w:ind w:left="0" w:right="0"/>
              <w:jc w:val="center"/>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3</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城市内涝治理</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按照全市统一部署，配合构建中心城区</w:t>
            </w:r>
            <w:r>
              <w:rPr>
                <w:rFonts w:hint="default" w:ascii="Times New Roman" w:hAnsi="Times New Roman" w:eastAsia="方正仿宋_GBK" w:cs="Times New Roman"/>
                <w:color w:val="auto"/>
                <w:spacing w:val="-11"/>
                <w:kern w:val="0"/>
                <w:sz w:val="24"/>
                <w:szCs w:val="24"/>
                <w:highlight w:val="none"/>
                <w:lang w:val="en-US" w:eastAsia="zh-CN" w:bidi="ar"/>
              </w:rPr>
              <w:t>内涝预警模型，推广城市防涝人工智能体。</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区住房城市建委</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lang w:val="en-US" w:eastAsia="zh-CN" w:bidi="ar"/>
              </w:rPr>
            </w:pPr>
            <w:r>
              <w:rPr>
                <w:rFonts w:hint="default" w:ascii="Times New Roman" w:hAnsi="Times New Roman" w:eastAsia="方正仿宋_GBK" w:cs="Times New Roman"/>
                <w:color w:val="auto"/>
                <w:spacing w:val="0"/>
                <w:kern w:val="0"/>
                <w:sz w:val="24"/>
                <w:szCs w:val="24"/>
                <w:lang w:val="en-US" w:eastAsia="zh-CN" w:bidi="ar"/>
              </w:rPr>
              <w:t>区城市管理局、各街道办事处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spacing w:val="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0" w:lineRule="exact"/>
              <w:ind w:left="0" w:right="0"/>
              <w:jc w:val="center"/>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4</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渝运安</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按照全市统一部署，迭代应用，配合推动向网约出租、水上客渡等领域拓展。</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区交通运输委</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spacing w:val="0"/>
                <w:kern w:val="0"/>
                <w:sz w:val="24"/>
                <w:szCs w:val="24"/>
                <w:lang w:val="en-US" w:eastAsia="zh-CN" w:bidi="ar"/>
              </w:rPr>
            </w:pPr>
            <w:r>
              <w:rPr>
                <w:rFonts w:hint="default" w:ascii="Times New Roman" w:hAnsi="Times New Roman" w:eastAsia="方正仿宋_GBK" w:cs="Times New Roman"/>
                <w:color w:val="auto"/>
                <w:spacing w:val="0"/>
                <w:kern w:val="0"/>
                <w:sz w:val="24"/>
                <w:szCs w:val="24"/>
                <w:lang w:val="en-US" w:eastAsia="zh-CN" w:bidi="ar"/>
              </w:rPr>
              <w:t>/</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spacing w:val="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0" w:lineRule="exact"/>
              <w:ind w:left="0" w:right="0"/>
              <w:jc w:val="center"/>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5</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水旱灾害防御</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按照全市统一部署，配合迭代风险预警产品，加强洪水预报演进、淹没等模型参数率定。</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区交通运输委</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spacing w:val="0"/>
                <w:kern w:val="0"/>
                <w:sz w:val="24"/>
                <w:szCs w:val="24"/>
                <w:lang w:val="en-US" w:eastAsia="zh-CN" w:bidi="ar"/>
              </w:rPr>
            </w:pPr>
            <w:r>
              <w:rPr>
                <w:rFonts w:hint="default" w:ascii="Times New Roman" w:hAnsi="Times New Roman" w:eastAsia="方正仿宋_GBK" w:cs="Times New Roman"/>
                <w:color w:val="auto"/>
                <w:spacing w:val="0"/>
                <w:kern w:val="0"/>
                <w:sz w:val="24"/>
                <w:szCs w:val="24"/>
                <w:lang w:val="en-US" w:eastAsia="zh-CN" w:bidi="ar"/>
              </w:rPr>
              <w:t>/</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spacing w:val="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0" w:lineRule="exact"/>
              <w:ind w:left="0" w:right="0"/>
              <w:jc w:val="center"/>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6</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惠游重庆、巴渝文物</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按照全市统一部署，覆盖全市98%以</w:t>
            </w:r>
            <w:r>
              <w:rPr>
                <w:rFonts w:hint="default" w:ascii="Times New Roman" w:hAnsi="Times New Roman" w:eastAsia="方正仿宋_GBK" w:cs="Times New Roman"/>
                <w:color w:val="auto"/>
                <w:spacing w:val="-11"/>
                <w:kern w:val="0"/>
                <w:sz w:val="24"/>
                <w:szCs w:val="24"/>
                <w:highlight w:val="none"/>
                <w:lang w:val="en-US" w:eastAsia="zh-CN" w:bidi="ar"/>
              </w:rPr>
              <w:t>上的重点文物保护和重点公共文化设施。</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区文化旅游委</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lang w:val="en-US" w:eastAsia="zh-CN" w:bidi="ar"/>
              </w:rPr>
            </w:pPr>
            <w:r>
              <w:rPr>
                <w:rFonts w:hint="default" w:ascii="Times New Roman" w:hAnsi="Times New Roman" w:eastAsia="方正仿宋_GBK" w:cs="Times New Roman"/>
                <w:color w:val="auto"/>
                <w:spacing w:val="0"/>
                <w:kern w:val="0"/>
                <w:sz w:val="24"/>
                <w:szCs w:val="24"/>
                <w:lang w:val="en-US" w:eastAsia="zh-CN" w:bidi="ar"/>
              </w:rPr>
              <w:t>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spacing w:val="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0" w:lineRule="exact"/>
              <w:ind w:left="0" w:right="0"/>
              <w:jc w:val="center"/>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7</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zh-TW" w:eastAsia="zh-CN" w:bidi="ar"/>
              </w:rPr>
              <w:t>政务</w:t>
            </w:r>
            <w:r>
              <w:rPr>
                <w:rFonts w:hint="default" w:ascii="Times New Roman" w:hAnsi="Times New Roman" w:eastAsia="方正仿宋_GBK" w:cs="Times New Roman"/>
                <w:color w:val="auto"/>
                <w:spacing w:val="0"/>
                <w:kern w:val="0"/>
                <w:sz w:val="24"/>
                <w:szCs w:val="24"/>
                <w:highlight w:val="none"/>
                <w:lang w:val="en-US" w:eastAsia="zh-CN" w:bidi="ar"/>
              </w:rPr>
              <w:t>·</w:t>
            </w:r>
            <w:r>
              <w:rPr>
                <w:rFonts w:hint="default" w:ascii="Times New Roman" w:hAnsi="Times New Roman" w:eastAsia="方正仿宋_GBK" w:cs="Times New Roman"/>
                <w:color w:val="auto"/>
                <w:spacing w:val="0"/>
                <w:kern w:val="0"/>
                <w:sz w:val="24"/>
                <w:szCs w:val="24"/>
                <w:highlight w:val="none"/>
                <w:lang w:val="zh-TW" w:eastAsia="zh-CN" w:bidi="ar"/>
              </w:rPr>
              <w:t>特种设备在线</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按照全市统一部署，配合建设运行设备智管专区，加强物联感知数据接入，强化电梯维保过程监管，增强信息预警和提示功能。</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区市场监管局</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lang w:val="en-US" w:eastAsia="zh-CN" w:bidi="ar"/>
              </w:rPr>
            </w:pPr>
            <w:r>
              <w:rPr>
                <w:rFonts w:hint="default" w:ascii="Times New Roman" w:hAnsi="Times New Roman" w:eastAsia="方正仿宋_GBK" w:cs="Times New Roman"/>
                <w:color w:val="auto"/>
                <w:spacing w:val="0"/>
                <w:kern w:val="0"/>
                <w:sz w:val="24"/>
                <w:szCs w:val="24"/>
                <w:lang w:val="en-US" w:eastAsia="zh-CN" w:bidi="ar"/>
              </w:rPr>
              <w:t>区大数据发展局、各街道办事处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0" w:lineRule="exact"/>
              <w:ind w:left="0" w:right="0"/>
              <w:jc w:val="center"/>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8</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6"/>
                <w:kern w:val="0"/>
                <w:sz w:val="24"/>
                <w:szCs w:val="24"/>
                <w:highlight w:val="none"/>
                <w:lang w:val="en-US" w:eastAsia="zh-CN" w:bidi="ar"/>
              </w:rPr>
              <w:t>能源保障</w:t>
            </w:r>
            <w:r>
              <w:rPr>
                <w:rFonts w:hint="default" w:ascii="Times New Roman" w:hAnsi="Times New Roman" w:eastAsia="方正黑体_GBK" w:cs="Times New Roman"/>
                <w:color w:val="auto"/>
                <w:spacing w:val="0"/>
                <w:kern w:val="0"/>
                <w:sz w:val="24"/>
                <w:szCs w:val="24"/>
                <w:highlight w:val="none"/>
                <w:lang w:val="en-US" w:eastAsia="zh-CN" w:bidi="ar"/>
              </w:rPr>
              <w:t>E</w:t>
            </w:r>
            <w:r>
              <w:rPr>
                <w:rFonts w:hint="default" w:ascii="Times New Roman" w:hAnsi="Times New Roman" w:eastAsia="方正仿宋_GBK" w:cs="Times New Roman"/>
                <w:color w:val="auto"/>
                <w:spacing w:val="0"/>
                <w:kern w:val="0"/>
                <w:sz w:val="24"/>
                <w:szCs w:val="24"/>
                <w:highlight w:val="none"/>
                <w:lang w:val="en-US" w:eastAsia="zh-CN" w:bidi="ar"/>
              </w:rPr>
              <w:t>本账</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按照全市统一部署，上线运行。</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区发展改革委</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lang w:val="en-US" w:eastAsia="zh-CN" w:bidi="ar"/>
              </w:rPr>
            </w:pPr>
            <w:r>
              <w:rPr>
                <w:rFonts w:hint="default" w:ascii="Times New Roman" w:hAnsi="Times New Roman" w:eastAsia="方正仿宋_GBK" w:cs="Times New Roman"/>
                <w:color w:val="auto"/>
                <w:spacing w:val="0"/>
                <w:kern w:val="0"/>
                <w:sz w:val="24"/>
                <w:szCs w:val="24"/>
                <w:lang w:val="en-US" w:eastAsia="zh-CN" w:bidi="ar"/>
              </w:rPr>
              <w:t>区大数据发展局</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auto"/>
              <w:rPr>
                <w:rFonts w:hint="default" w:ascii="Times New Roman" w:hAnsi="Times New Roman" w:eastAsia="方正仿宋_GBK" w:cs="Times New Roman"/>
                <w:color w:val="auto"/>
                <w:spacing w:val="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0" w:lineRule="exact"/>
              <w:ind w:left="0" w:right="0"/>
              <w:jc w:val="center"/>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9</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重庆气象综合预警</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按照全市统一部署，配合推广风险研判智能体，形成</w:t>
            </w:r>
            <w:r>
              <w:rPr>
                <w:rFonts w:hint="eastAsia" w:ascii="Times New Roman" w:hAnsi="Times New Roman" w:cs="Times New Roman"/>
                <w:color w:val="auto"/>
                <w:spacing w:val="0"/>
                <w:kern w:val="0"/>
                <w:sz w:val="24"/>
                <w:szCs w:val="24"/>
                <w:highlight w:val="none"/>
                <w:lang w:val="en-US" w:eastAsia="zh-CN" w:bidi="ar"/>
              </w:rPr>
              <w:t>“</w:t>
            </w:r>
            <w:r>
              <w:rPr>
                <w:rFonts w:hint="default" w:ascii="Times New Roman" w:hAnsi="Times New Roman" w:eastAsia="方正仿宋_GBK" w:cs="Times New Roman"/>
                <w:color w:val="auto"/>
                <w:spacing w:val="0"/>
                <w:kern w:val="0"/>
                <w:sz w:val="24"/>
                <w:szCs w:val="24"/>
                <w:highlight w:val="none"/>
                <w:lang w:val="en-US" w:eastAsia="zh-CN" w:bidi="ar"/>
              </w:rPr>
              <w:t>风险清单一张表、风险预警一张图、风险研判一份报告</w:t>
            </w:r>
            <w:r>
              <w:rPr>
                <w:rFonts w:hint="eastAsia" w:ascii="Times New Roman" w:hAnsi="Times New Roman" w:cs="Times New Roman"/>
                <w:color w:val="auto"/>
                <w:spacing w:val="0"/>
                <w:kern w:val="0"/>
                <w:sz w:val="24"/>
                <w:szCs w:val="24"/>
                <w:highlight w:val="none"/>
                <w:lang w:val="en-US" w:eastAsia="zh-CN" w:bidi="ar"/>
              </w:rPr>
              <w:t>”</w:t>
            </w:r>
            <w:r>
              <w:rPr>
                <w:rFonts w:hint="default" w:ascii="Times New Roman" w:hAnsi="Times New Roman" w:eastAsia="方正仿宋_GBK" w:cs="Times New Roman"/>
                <w:color w:val="auto"/>
                <w:spacing w:val="0"/>
                <w:kern w:val="0"/>
                <w:sz w:val="24"/>
                <w:szCs w:val="24"/>
                <w:highlight w:val="none"/>
                <w:lang w:val="en-US" w:eastAsia="zh-CN" w:bidi="ar"/>
              </w:rPr>
              <w:t>，基本实现</w:t>
            </w:r>
            <w:r>
              <w:rPr>
                <w:rFonts w:hint="eastAsia" w:ascii="Times New Roman" w:hAnsi="Times New Roman" w:cs="Times New Roman"/>
                <w:color w:val="auto"/>
                <w:spacing w:val="0"/>
                <w:kern w:val="0"/>
                <w:sz w:val="24"/>
                <w:szCs w:val="24"/>
                <w:highlight w:val="none"/>
                <w:lang w:val="en-US" w:eastAsia="zh-CN" w:bidi="ar"/>
              </w:rPr>
              <w:t>“</w:t>
            </w:r>
            <w:r>
              <w:rPr>
                <w:rFonts w:hint="default" w:ascii="Times New Roman" w:hAnsi="Times New Roman" w:eastAsia="方正仿宋_GBK" w:cs="Times New Roman"/>
                <w:color w:val="auto"/>
                <w:spacing w:val="0"/>
                <w:kern w:val="0"/>
                <w:sz w:val="24"/>
                <w:szCs w:val="24"/>
                <w:highlight w:val="none"/>
                <w:lang w:val="en-US" w:eastAsia="zh-CN" w:bidi="ar"/>
              </w:rPr>
              <w:t>风险智识、预案智配、预警智达、效能智评</w:t>
            </w:r>
            <w:r>
              <w:rPr>
                <w:rFonts w:hint="eastAsia" w:ascii="Times New Roman" w:hAnsi="Times New Roman" w:cs="Times New Roman"/>
                <w:color w:val="auto"/>
                <w:spacing w:val="0"/>
                <w:kern w:val="0"/>
                <w:sz w:val="24"/>
                <w:szCs w:val="24"/>
                <w:highlight w:val="none"/>
                <w:lang w:val="en-US" w:eastAsia="zh-CN" w:bidi="ar"/>
              </w:rPr>
              <w:t>”</w:t>
            </w:r>
            <w:r>
              <w:rPr>
                <w:rFonts w:hint="default" w:ascii="Times New Roman" w:hAnsi="Times New Roman" w:eastAsia="方正仿宋_GBK" w:cs="Times New Roman"/>
                <w:color w:val="auto"/>
                <w:spacing w:val="0"/>
                <w:kern w:val="0"/>
                <w:sz w:val="24"/>
                <w:szCs w:val="24"/>
                <w:highlight w:val="none"/>
                <w:lang w:val="en-US" w:eastAsia="zh-CN" w:bidi="ar"/>
              </w:rPr>
              <w:t>。</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区应急管理局</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lang w:val="en-US" w:eastAsia="zh-CN" w:bidi="ar"/>
              </w:rPr>
            </w:pPr>
            <w:r>
              <w:rPr>
                <w:rFonts w:hint="default" w:ascii="Times New Roman" w:hAnsi="Times New Roman" w:eastAsia="方正仿宋_GBK" w:cs="Times New Roman"/>
                <w:color w:val="auto"/>
                <w:spacing w:val="0"/>
                <w:kern w:val="0"/>
                <w:sz w:val="24"/>
                <w:szCs w:val="24"/>
                <w:lang w:val="en-US" w:eastAsia="zh-CN" w:bidi="ar"/>
              </w:rPr>
              <w:t>区防减救灾委各成员单位、各街道办事处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auto"/>
              <w:rPr>
                <w:rFonts w:hint="default" w:ascii="Times New Roman" w:hAnsi="Times New Roman" w:eastAsia="方正仿宋_GBK" w:cs="Times New Roman"/>
                <w:color w:val="auto"/>
                <w:spacing w:val="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0" w:lineRule="exact"/>
              <w:ind w:left="0" w:right="0"/>
              <w:jc w:val="center"/>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10</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社会·渝震安</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按照全市统一部署，实现市、区县、街道三级贯通。</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区应急管理局</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default" w:ascii="Times New Roman" w:hAnsi="Times New Roman" w:eastAsia="方正仿宋_GBK" w:cs="Times New Roman"/>
                <w:color w:val="auto"/>
                <w:spacing w:val="0"/>
                <w:kern w:val="0"/>
                <w:sz w:val="24"/>
                <w:szCs w:val="24"/>
                <w:lang w:val="en-US" w:eastAsia="zh-CN" w:bidi="ar"/>
              </w:rPr>
            </w:pPr>
            <w:r>
              <w:rPr>
                <w:rFonts w:hint="default" w:ascii="Times New Roman" w:hAnsi="Times New Roman" w:eastAsia="方正仿宋_GBK" w:cs="Times New Roman"/>
                <w:color w:val="auto"/>
                <w:spacing w:val="0"/>
                <w:kern w:val="0"/>
                <w:sz w:val="24"/>
                <w:szCs w:val="24"/>
                <w:lang w:val="en-US" w:eastAsia="zh-CN" w:bidi="ar"/>
              </w:rPr>
              <w:t>区大数据发展局、各街道办事处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default" w:ascii="Times New Roman" w:hAnsi="Times New Roman" w:eastAsia="方正仿宋_GBK" w:cs="Times New Roman"/>
                <w:color w:val="auto"/>
                <w:spacing w:val="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11</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住改仓安全监管应用</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完善</w:t>
            </w:r>
            <w:r>
              <w:rPr>
                <w:rFonts w:hint="eastAsia" w:ascii="Times New Roman" w:hAnsi="Times New Roman" w:cs="Times New Roman"/>
                <w:color w:val="auto"/>
                <w:spacing w:val="0"/>
                <w:kern w:val="0"/>
                <w:sz w:val="24"/>
                <w:szCs w:val="24"/>
                <w:highlight w:val="none"/>
                <w:lang w:val="en-US" w:eastAsia="zh-CN" w:bidi="ar"/>
              </w:rPr>
              <w:t>“</w:t>
            </w:r>
            <w:r>
              <w:rPr>
                <w:rFonts w:hint="default" w:ascii="Times New Roman" w:hAnsi="Times New Roman" w:eastAsia="方正仿宋_GBK" w:cs="Times New Roman"/>
                <w:color w:val="auto"/>
                <w:spacing w:val="0"/>
                <w:kern w:val="0"/>
                <w:sz w:val="24"/>
                <w:szCs w:val="24"/>
                <w:highlight w:val="none"/>
                <w:lang w:val="en-US" w:eastAsia="zh-CN" w:bidi="ar"/>
              </w:rPr>
              <w:t>线上+线下</w:t>
            </w:r>
            <w:r>
              <w:rPr>
                <w:rFonts w:hint="eastAsia" w:ascii="Times New Roman" w:hAnsi="Times New Roman" w:cs="Times New Roman"/>
                <w:color w:val="auto"/>
                <w:spacing w:val="0"/>
                <w:kern w:val="0"/>
                <w:sz w:val="24"/>
                <w:szCs w:val="24"/>
                <w:highlight w:val="none"/>
                <w:lang w:val="en-US" w:eastAsia="zh-CN" w:bidi="ar"/>
              </w:rPr>
              <w:t>”</w:t>
            </w:r>
            <w:r>
              <w:rPr>
                <w:rFonts w:hint="default" w:ascii="Times New Roman" w:hAnsi="Times New Roman" w:eastAsia="方正仿宋_GBK" w:cs="Times New Roman"/>
                <w:color w:val="auto"/>
                <w:spacing w:val="0"/>
                <w:kern w:val="0"/>
                <w:sz w:val="24"/>
                <w:szCs w:val="24"/>
                <w:highlight w:val="none"/>
                <w:lang w:val="en-US" w:eastAsia="zh-CN" w:bidi="ar"/>
              </w:rPr>
              <w:t>监管模式，以</w:t>
            </w:r>
            <w:r>
              <w:rPr>
                <w:rFonts w:hint="eastAsia" w:ascii="Times New Roman" w:hAnsi="Times New Roman" w:cs="Times New Roman"/>
                <w:color w:val="auto"/>
                <w:spacing w:val="0"/>
                <w:kern w:val="0"/>
                <w:sz w:val="24"/>
                <w:szCs w:val="24"/>
                <w:highlight w:val="none"/>
                <w:lang w:val="en-US" w:eastAsia="zh-CN" w:bidi="ar"/>
              </w:rPr>
              <w:t>“</w:t>
            </w:r>
            <w:r>
              <w:rPr>
                <w:rFonts w:hint="default" w:ascii="Times New Roman" w:hAnsi="Times New Roman" w:eastAsia="方正仿宋_GBK" w:cs="Times New Roman"/>
                <w:color w:val="auto"/>
                <w:spacing w:val="0"/>
                <w:kern w:val="0"/>
                <w:sz w:val="24"/>
                <w:szCs w:val="24"/>
                <w:highlight w:val="none"/>
                <w:lang w:val="en-US" w:eastAsia="zh-CN" w:bidi="ar"/>
              </w:rPr>
              <w:t>住改仓</w:t>
            </w:r>
            <w:r>
              <w:rPr>
                <w:rFonts w:hint="eastAsia" w:ascii="Times New Roman" w:hAnsi="Times New Roman" w:cs="Times New Roman"/>
                <w:color w:val="auto"/>
                <w:spacing w:val="0"/>
                <w:kern w:val="0"/>
                <w:sz w:val="24"/>
                <w:szCs w:val="24"/>
                <w:highlight w:val="none"/>
                <w:lang w:val="en-US" w:eastAsia="zh-CN" w:bidi="ar"/>
              </w:rPr>
              <w:t>”</w:t>
            </w:r>
            <w:r>
              <w:rPr>
                <w:rFonts w:hint="default" w:ascii="Times New Roman" w:hAnsi="Times New Roman" w:eastAsia="方正仿宋_GBK" w:cs="Times New Roman"/>
                <w:color w:val="auto"/>
                <w:spacing w:val="0"/>
                <w:kern w:val="0"/>
                <w:sz w:val="24"/>
                <w:szCs w:val="24"/>
                <w:highlight w:val="none"/>
                <w:lang w:val="en-US" w:eastAsia="zh-CN" w:bidi="ar"/>
              </w:rPr>
              <w:t>为基础，不断探索完善，提升系统的实用性和针对性，提升应用活跃度和事件流转率，通过数字赋能，提升安全生产监管水平。</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区住房城市建委、区</w:t>
            </w:r>
            <w:r>
              <w:rPr>
                <w:rFonts w:hint="default" w:ascii="Times New Roman" w:hAnsi="Times New Roman" w:eastAsia="方正仿宋_GBK" w:cs="Times New Roman"/>
                <w:color w:val="auto"/>
                <w:spacing w:val="-11"/>
                <w:kern w:val="0"/>
                <w:sz w:val="24"/>
                <w:szCs w:val="24"/>
                <w:highlight w:val="none"/>
                <w:lang w:val="en-US" w:eastAsia="zh-CN" w:bidi="ar"/>
              </w:rPr>
              <w:t>应急管理局</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方正仿宋_GBK" w:cs="Times New Roman"/>
                <w:color w:val="auto"/>
                <w:spacing w:val="0"/>
                <w:kern w:val="0"/>
                <w:sz w:val="24"/>
                <w:szCs w:val="24"/>
                <w:lang w:val="en-US" w:eastAsia="zh-CN" w:bidi="ar"/>
              </w:rPr>
            </w:pPr>
            <w:r>
              <w:rPr>
                <w:rFonts w:hint="default" w:ascii="Times New Roman" w:hAnsi="Times New Roman" w:eastAsia="方正仿宋_GBK" w:cs="Times New Roman"/>
                <w:color w:val="auto"/>
                <w:spacing w:val="0"/>
                <w:kern w:val="0"/>
                <w:sz w:val="24"/>
                <w:szCs w:val="24"/>
                <w:lang w:val="en-US" w:eastAsia="zh-CN" w:bidi="ar"/>
              </w:rPr>
              <w:t>区大数据发展局、区住房城市建委、各街道办事处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方正仿宋_GBK" w:cs="Times New Roman"/>
                <w:color w:val="auto"/>
                <w:spacing w:val="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12</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公共安全智控</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接入全市数字应急体系</w:t>
            </w:r>
            <w:r>
              <w:rPr>
                <w:rFonts w:hint="default" w:ascii="Times New Roman" w:hAnsi="Times New Roman" w:cs="Times New Roman"/>
                <w:color w:val="auto"/>
                <w:spacing w:val="0"/>
                <w:kern w:val="0"/>
                <w:sz w:val="24"/>
                <w:szCs w:val="24"/>
                <w:highlight w:val="none"/>
                <w:lang w:val="en-US" w:eastAsia="zh-CN" w:bidi="ar"/>
              </w:rPr>
              <w:t>，提升实战实效水平。</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区应急管理局</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方正仿宋_GBK" w:cs="Times New Roman"/>
                <w:color w:val="auto"/>
                <w:spacing w:val="0"/>
                <w:kern w:val="0"/>
                <w:sz w:val="24"/>
                <w:szCs w:val="24"/>
                <w:lang w:val="en-US" w:eastAsia="zh-CN" w:bidi="ar"/>
              </w:rPr>
            </w:pPr>
            <w:r>
              <w:rPr>
                <w:rFonts w:hint="default" w:ascii="Times New Roman" w:hAnsi="Times New Roman" w:eastAsia="方正仿宋_GBK" w:cs="Times New Roman"/>
                <w:color w:val="auto"/>
                <w:spacing w:val="0"/>
                <w:kern w:val="0"/>
                <w:sz w:val="24"/>
                <w:szCs w:val="24"/>
                <w:lang w:val="en-US" w:eastAsia="zh-CN" w:bidi="ar"/>
              </w:rPr>
              <w:t>区大数据发展局、各街道办事处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方正仿宋_GBK" w:cs="Times New Roman"/>
                <w:color w:val="auto"/>
                <w:spacing w:val="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13</w:t>
            </w:r>
          </w:p>
        </w:tc>
        <w:tc>
          <w:tcPr>
            <w:tcW w:w="11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住改商智慧监</w:t>
            </w:r>
            <w:r>
              <w:rPr>
                <w:rFonts w:hint="default" w:ascii="Times New Roman" w:hAnsi="Times New Roman" w:eastAsia="方正仿宋_GBK" w:cs="Times New Roman"/>
                <w:color w:val="auto"/>
                <w:spacing w:val="-6"/>
                <w:kern w:val="0"/>
                <w:sz w:val="24"/>
                <w:szCs w:val="24"/>
                <w:highlight w:val="none"/>
                <w:lang w:val="en-US" w:eastAsia="zh-CN" w:bidi="ar"/>
              </w:rPr>
              <w:t>管子场景</w:t>
            </w:r>
          </w:p>
        </w:tc>
        <w:tc>
          <w:tcPr>
            <w:tcW w:w="42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持续完善</w:t>
            </w:r>
            <w:r>
              <w:rPr>
                <w:rFonts w:hint="eastAsia" w:ascii="Times New Roman" w:hAnsi="Times New Roman" w:cs="Times New Roman"/>
                <w:color w:val="auto"/>
                <w:spacing w:val="0"/>
                <w:kern w:val="0"/>
                <w:sz w:val="24"/>
                <w:szCs w:val="24"/>
                <w:highlight w:val="none"/>
                <w:lang w:val="en-US" w:eastAsia="zh-CN" w:bidi="ar"/>
              </w:rPr>
              <w:t>“</w:t>
            </w:r>
            <w:r>
              <w:rPr>
                <w:rFonts w:hint="default" w:ascii="Times New Roman" w:hAnsi="Times New Roman" w:eastAsia="方正仿宋_GBK" w:cs="Times New Roman"/>
                <w:color w:val="auto"/>
                <w:spacing w:val="0"/>
                <w:kern w:val="0"/>
                <w:sz w:val="24"/>
                <w:szCs w:val="24"/>
                <w:highlight w:val="none"/>
                <w:lang w:val="en-US" w:eastAsia="zh-CN" w:bidi="ar"/>
              </w:rPr>
              <w:t>住改商</w:t>
            </w:r>
            <w:r>
              <w:rPr>
                <w:rFonts w:hint="eastAsia" w:ascii="Times New Roman" w:hAnsi="Times New Roman" w:cs="Times New Roman"/>
                <w:color w:val="auto"/>
                <w:spacing w:val="0"/>
                <w:kern w:val="0"/>
                <w:sz w:val="24"/>
                <w:szCs w:val="24"/>
                <w:highlight w:val="none"/>
                <w:lang w:val="en-US" w:eastAsia="zh-CN" w:bidi="ar"/>
              </w:rPr>
              <w:t>”</w:t>
            </w:r>
            <w:r>
              <w:rPr>
                <w:rFonts w:hint="default" w:ascii="Times New Roman" w:hAnsi="Times New Roman" w:eastAsia="方正仿宋_GBK" w:cs="Times New Roman"/>
                <w:color w:val="auto"/>
                <w:spacing w:val="0"/>
                <w:kern w:val="0"/>
                <w:sz w:val="24"/>
                <w:szCs w:val="24"/>
                <w:highlight w:val="none"/>
                <w:lang w:val="en-US" w:eastAsia="zh-CN" w:bidi="ar"/>
              </w:rPr>
              <w:t>智慧监管子场景实战实效。</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区市场监</w:t>
            </w:r>
            <w:r>
              <w:rPr>
                <w:rFonts w:hint="default" w:ascii="Times New Roman" w:hAnsi="Times New Roman" w:eastAsia="方正仿宋_GBK" w:cs="Times New Roman"/>
                <w:color w:val="auto"/>
                <w:spacing w:val="-6"/>
                <w:kern w:val="0"/>
                <w:sz w:val="24"/>
                <w:szCs w:val="24"/>
                <w:highlight w:val="none"/>
                <w:lang w:val="en-US" w:eastAsia="zh-CN" w:bidi="ar"/>
              </w:rPr>
              <w:t>管局、区应急管理局</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r>
              <w:rPr>
                <w:rFonts w:hint="default" w:ascii="Times New Roman" w:hAnsi="Times New Roman" w:eastAsia="方正仿宋_GBK" w:cs="Times New Roman"/>
                <w:color w:val="auto"/>
                <w:spacing w:val="0"/>
                <w:kern w:val="0"/>
                <w:sz w:val="24"/>
                <w:szCs w:val="24"/>
                <w:highlight w:val="none"/>
                <w:lang w:val="en-US" w:eastAsia="zh-CN" w:bidi="ar"/>
              </w:rPr>
              <w:t>区大数据发展局、各街道办事处</w:t>
            </w:r>
          </w:p>
        </w:tc>
        <w:tc>
          <w:tcPr>
            <w:tcW w:w="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方正仿宋_GBK" w:cs="Times New Roman"/>
                <w:color w:val="auto"/>
                <w:spacing w:val="0"/>
                <w:kern w:val="0"/>
                <w:sz w:val="24"/>
                <w:szCs w:val="24"/>
                <w:highlight w:val="none"/>
                <w:lang w:val="en-US" w:eastAsia="zh-CN" w:bidi="ar"/>
              </w:rPr>
            </w:pPr>
          </w:p>
        </w:tc>
      </w:tr>
    </w:tbl>
    <w:p>
      <w:pPr>
        <w:keepNext w:val="0"/>
        <w:keepLines w:val="0"/>
        <w:pageBreakBefore w:val="0"/>
        <w:widowControl w:val="0"/>
        <w:kinsoku/>
        <w:wordWrap/>
        <w:overflowPunct/>
        <w:topLinePunct w:val="0"/>
        <w:autoSpaceDE/>
        <w:autoSpaceDN/>
        <w:bidi w:val="0"/>
        <w:adjustRightInd/>
        <w:snapToGrid/>
        <w:spacing w:line="666" w:lineRule="exact"/>
        <w:ind w:right="-225" w:rightChars="-70"/>
        <w:textAlignment w:val="auto"/>
        <w:rPr>
          <w:rFonts w:ascii="Times New Roman" w:hAnsi="Times New Roman" w:eastAsia="仿宋_GB2312"/>
          <w:color w:val="000000"/>
          <w:kern w:val="0"/>
          <w:szCs w:val="28"/>
        </w:rPr>
      </w:pPr>
    </w:p>
    <w:p>
      <w:pPr>
        <w:keepNext w:val="0"/>
        <w:keepLines w:val="0"/>
        <w:pageBreakBefore w:val="0"/>
        <w:widowControl w:val="0"/>
        <w:kinsoku/>
        <w:wordWrap/>
        <w:overflowPunct/>
        <w:topLinePunct w:val="0"/>
        <w:autoSpaceDE/>
        <w:autoSpaceDN/>
        <w:bidi w:val="0"/>
        <w:adjustRightInd/>
        <w:snapToGrid/>
        <w:spacing w:line="666" w:lineRule="exact"/>
        <w:ind w:right="-225" w:rightChars="-70"/>
        <w:textAlignment w:val="auto"/>
        <w:rPr>
          <w:rFonts w:ascii="Times New Roman" w:hAnsi="Times New Roman" w:eastAsia="仿宋_GB2312"/>
          <w:color w:val="000000"/>
          <w:kern w:val="0"/>
          <w:szCs w:val="28"/>
        </w:rPr>
      </w:pPr>
    </w:p>
    <w:p>
      <w:pPr>
        <w:keepNext w:val="0"/>
        <w:keepLines w:val="0"/>
        <w:pageBreakBefore w:val="0"/>
        <w:widowControl w:val="0"/>
        <w:kinsoku/>
        <w:wordWrap/>
        <w:overflowPunct/>
        <w:topLinePunct w:val="0"/>
        <w:autoSpaceDE/>
        <w:autoSpaceDN/>
        <w:bidi w:val="0"/>
        <w:adjustRightInd/>
        <w:snapToGrid/>
        <w:spacing w:line="666" w:lineRule="exact"/>
        <w:ind w:right="-225" w:rightChars="-70"/>
        <w:textAlignment w:val="auto"/>
        <w:rPr>
          <w:rFonts w:ascii="Times New Roman" w:hAnsi="Times New Roman" w:eastAsia="仿宋_GB2312"/>
          <w:color w:val="000000"/>
          <w:kern w:val="0"/>
          <w:szCs w:val="28"/>
        </w:rPr>
      </w:pPr>
    </w:p>
    <w:p>
      <w:pPr>
        <w:keepNext w:val="0"/>
        <w:keepLines w:val="0"/>
        <w:pageBreakBefore w:val="0"/>
        <w:widowControl w:val="0"/>
        <w:kinsoku/>
        <w:wordWrap/>
        <w:overflowPunct/>
        <w:topLinePunct w:val="0"/>
        <w:autoSpaceDE/>
        <w:autoSpaceDN/>
        <w:bidi w:val="0"/>
        <w:adjustRightInd/>
        <w:snapToGrid/>
        <w:spacing w:line="666" w:lineRule="exact"/>
        <w:ind w:right="-225" w:rightChars="-70"/>
        <w:textAlignment w:val="auto"/>
        <w:rPr>
          <w:rFonts w:ascii="Times New Roman" w:hAnsi="Times New Roman" w:eastAsia="仿宋_GB2312"/>
          <w:color w:val="000000"/>
          <w:kern w:val="0"/>
          <w:szCs w:val="28"/>
        </w:rPr>
      </w:pPr>
    </w:p>
    <w:p>
      <w:pPr>
        <w:keepNext w:val="0"/>
        <w:keepLines w:val="0"/>
        <w:pageBreakBefore w:val="0"/>
        <w:widowControl w:val="0"/>
        <w:kinsoku/>
        <w:wordWrap/>
        <w:overflowPunct/>
        <w:topLinePunct w:val="0"/>
        <w:autoSpaceDE/>
        <w:autoSpaceDN/>
        <w:bidi w:val="0"/>
        <w:adjustRightInd/>
        <w:snapToGrid/>
        <w:spacing w:line="666" w:lineRule="exact"/>
        <w:ind w:right="-225" w:rightChars="-70"/>
        <w:textAlignment w:val="auto"/>
        <w:rPr>
          <w:rFonts w:ascii="Times New Roman" w:hAnsi="Times New Roman" w:eastAsia="仿宋_GB2312"/>
          <w:color w:val="000000"/>
          <w:kern w:val="0"/>
          <w:szCs w:val="28"/>
        </w:rPr>
      </w:pPr>
    </w:p>
    <w:p>
      <w:pPr>
        <w:keepNext w:val="0"/>
        <w:keepLines w:val="0"/>
        <w:pageBreakBefore w:val="0"/>
        <w:widowControl w:val="0"/>
        <w:kinsoku/>
        <w:wordWrap/>
        <w:overflowPunct/>
        <w:topLinePunct w:val="0"/>
        <w:autoSpaceDE/>
        <w:autoSpaceDN/>
        <w:bidi w:val="0"/>
        <w:adjustRightInd/>
        <w:snapToGrid/>
        <w:spacing w:line="666" w:lineRule="exact"/>
        <w:ind w:right="-225" w:rightChars="-70"/>
        <w:textAlignment w:val="auto"/>
        <w:rPr>
          <w:rFonts w:ascii="Times New Roman" w:hAnsi="Times New Roman" w:eastAsia="仿宋_GB2312"/>
          <w:color w:val="000000"/>
          <w:kern w:val="0"/>
          <w:szCs w:val="28"/>
        </w:rPr>
      </w:pPr>
    </w:p>
    <w:p>
      <w:pPr>
        <w:keepNext w:val="0"/>
        <w:keepLines w:val="0"/>
        <w:pageBreakBefore w:val="0"/>
        <w:widowControl w:val="0"/>
        <w:kinsoku/>
        <w:wordWrap/>
        <w:overflowPunct/>
        <w:topLinePunct w:val="0"/>
        <w:autoSpaceDE/>
        <w:autoSpaceDN/>
        <w:bidi w:val="0"/>
        <w:adjustRightInd/>
        <w:snapToGrid/>
        <w:spacing w:line="666" w:lineRule="exact"/>
        <w:ind w:right="-225" w:rightChars="-70"/>
        <w:textAlignment w:val="auto"/>
        <w:rPr>
          <w:rFonts w:ascii="Times New Roman" w:hAnsi="Times New Roman" w:eastAsia="仿宋_GB2312"/>
          <w:color w:val="000000"/>
          <w:kern w:val="0"/>
          <w:szCs w:val="28"/>
        </w:rPr>
      </w:pPr>
    </w:p>
    <w:p>
      <w:pPr>
        <w:keepNext w:val="0"/>
        <w:keepLines w:val="0"/>
        <w:pageBreakBefore w:val="0"/>
        <w:widowControl w:val="0"/>
        <w:kinsoku/>
        <w:wordWrap/>
        <w:overflowPunct/>
        <w:topLinePunct w:val="0"/>
        <w:autoSpaceDE/>
        <w:autoSpaceDN/>
        <w:bidi w:val="0"/>
        <w:adjustRightInd/>
        <w:snapToGrid/>
        <w:spacing w:line="666" w:lineRule="exact"/>
        <w:ind w:right="-225" w:rightChars="-70"/>
        <w:textAlignment w:val="auto"/>
        <w:rPr>
          <w:rFonts w:ascii="Times New Roman" w:hAnsi="Times New Roman" w:eastAsia="仿宋_GB2312"/>
          <w:color w:val="000000"/>
          <w:kern w:val="0"/>
          <w:szCs w:val="28"/>
        </w:rPr>
      </w:pPr>
    </w:p>
    <w:p>
      <w:pPr>
        <w:keepNext w:val="0"/>
        <w:keepLines w:val="0"/>
        <w:pageBreakBefore w:val="0"/>
        <w:widowControl w:val="0"/>
        <w:kinsoku/>
        <w:wordWrap/>
        <w:overflowPunct/>
        <w:topLinePunct w:val="0"/>
        <w:autoSpaceDE/>
        <w:autoSpaceDN/>
        <w:bidi w:val="0"/>
        <w:adjustRightInd/>
        <w:snapToGrid/>
        <w:spacing w:line="666" w:lineRule="exact"/>
        <w:ind w:right="-225" w:rightChars="-70"/>
        <w:textAlignment w:val="auto"/>
        <w:rPr>
          <w:rFonts w:ascii="Times New Roman" w:hAnsi="Times New Roman" w:eastAsia="仿宋_GB2312"/>
          <w:color w:val="000000"/>
          <w:kern w:val="0"/>
          <w:szCs w:val="28"/>
        </w:rPr>
      </w:pPr>
    </w:p>
    <w:p>
      <w:pPr>
        <w:keepNext w:val="0"/>
        <w:keepLines w:val="0"/>
        <w:pageBreakBefore w:val="0"/>
        <w:widowControl w:val="0"/>
        <w:kinsoku/>
        <w:wordWrap/>
        <w:overflowPunct/>
        <w:topLinePunct w:val="0"/>
        <w:autoSpaceDE/>
        <w:autoSpaceDN/>
        <w:bidi w:val="0"/>
        <w:adjustRightInd/>
        <w:snapToGrid/>
        <w:spacing w:line="666" w:lineRule="exact"/>
        <w:ind w:right="-225" w:rightChars="-70"/>
        <w:textAlignment w:val="auto"/>
        <w:rPr>
          <w:rFonts w:ascii="Times New Roman" w:hAnsi="Times New Roman" w:eastAsia="仿宋_GB2312"/>
          <w:color w:val="000000"/>
          <w:kern w:val="0"/>
          <w:szCs w:val="28"/>
        </w:rPr>
      </w:pPr>
    </w:p>
    <w:p>
      <w:pPr>
        <w:keepNext w:val="0"/>
        <w:keepLines w:val="0"/>
        <w:pageBreakBefore w:val="0"/>
        <w:widowControl w:val="0"/>
        <w:kinsoku/>
        <w:wordWrap/>
        <w:overflowPunct/>
        <w:topLinePunct w:val="0"/>
        <w:autoSpaceDE/>
        <w:autoSpaceDN/>
        <w:bidi w:val="0"/>
        <w:adjustRightInd/>
        <w:snapToGrid/>
        <w:spacing w:line="666" w:lineRule="exact"/>
        <w:ind w:right="-225" w:rightChars="-70"/>
        <w:textAlignment w:val="auto"/>
        <w:rPr>
          <w:rFonts w:ascii="Times New Roman" w:hAnsi="Times New Roman" w:eastAsia="仿宋_GB2312"/>
          <w:color w:val="000000"/>
          <w:kern w:val="0"/>
          <w:szCs w:val="28"/>
        </w:rPr>
      </w:pPr>
    </w:p>
    <w:p>
      <w:pPr>
        <w:keepNext w:val="0"/>
        <w:keepLines w:val="0"/>
        <w:pageBreakBefore w:val="0"/>
        <w:widowControl w:val="0"/>
        <w:kinsoku/>
        <w:wordWrap/>
        <w:overflowPunct/>
        <w:topLinePunct w:val="0"/>
        <w:autoSpaceDE/>
        <w:autoSpaceDN/>
        <w:bidi w:val="0"/>
        <w:adjustRightInd/>
        <w:snapToGrid/>
        <w:spacing w:line="666" w:lineRule="exact"/>
        <w:ind w:right="-225" w:rightChars="-70"/>
        <w:textAlignment w:val="auto"/>
        <w:rPr>
          <w:rFonts w:ascii="Times New Roman" w:hAnsi="Times New Roman" w:eastAsia="仿宋_GB2312"/>
          <w:color w:val="000000"/>
          <w:kern w:val="0"/>
          <w:szCs w:val="28"/>
        </w:rPr>
      </w:pPr>
    </w:p>
    <w:p>
      <w:pPr>
        <w:keepNext w:val="0"/>
        <w:keepLines w:val="0"/>
        <w:pageBreakBefore w:val="0"/>
        <w:widowControl w:val="0"/>
        <w:kinsoku/>
        <w:wordWrap/>
        <w:overflowPunct/>
        <w:topLinePunct w:val="0"/>
        <w:autoSpaceDE/>
        <w:autoSpaceDN/>
        <w:bidi w:val="0"/>
        <w:adjustRightInd/>
        <w:snapToGrid/>
        <w:spacing w:line="666" w:lineRule="exact"/>
        <w:ind w:right="-225" w:rightChars="-70"/>
        <w:textAlignment w:val="auto"/>
        <w:rPr>
          <w:rFonts w:ascii="Times New Roman" w:hAnsi="Times New Roman" w:eastAsia="仿宋_GB2312"/>
          <w:color w:val="000000"/>
          <w:kern w:val="0"/>
          <w:szCs w:val="28"/>
        </w:rPr>
      </w:pPr>
    </w:p>
    <w:p>
      <w:pPr>
        <w:spacing w:line="620" w:lineRule="exact"/>
        <w:ind w:firstLine="141" w:firstLineChars="50"/>
        <w:jc w:val="left"/>
        <w:rPr>
          <w:rFonts w:hint="eastAsia" w:ascii="Times New Roman" w:hAnsi="Times New Roman" w:eastAsia="方正仿宋_GBK" w:cs="Times New Roman"/>
          <w:bCs/>
          <w:sz w:val="32"/>
          <w:szCs w:val="32"/>
          <w:lang w:val="en-US" w:eastAsia="zh-CN"/>
        </w:rPr>
      </w:pPr>
      <w:r>
        <w:rPr>
          <w:rFonts w:hint="default" w:ascii="Times New Roman" w:hAnsi="Times New Roman" w:cs="Times New Roman"/>
          <w:sz w:val="28"/>
        </w:rPr>
        <mc:AlternateContent>
          <mc:Choice Requires="wps">
            <w:drawing>
              <wp:anchor distT="0" distB="0" distL="114300" distR="114300" simplePos="0" relativeHeight="251663360" behindDoc="0" locked="0" layoutInCell="1" allowOverlap="1">
                <wp:simplePos x="0" y="0"/>
                <wp:positionH relativeFrom="column">
                  <wp:posOffset>-8255</wp:posOffset>
                </wp:positionH>
                <wp:positionV relativeFrom="paragraph">
                  <wp:posOffset>48895</wp:posOffset>
                </wp:positionV>
                <wp:extent cx="5544185" cy="635"/>
                <wp:effectExtent l="0" t="0" r="0" b="0"/>
                <wp:wrapNone/>
                <wp:docPr id="4" name="直线 12"/>
                <wp:cNvGraphicFramePr/>
                <a:graphic xmlns:a="http://schemas.openxmlformats.org/drawingml/2006/main">
                  <a:graphicData uri="http://schemas.microsoft.com/office/word/2010/wordprocessingShape">
                    <wps:wsp>
                      <wps:cNvCnPr/>
                      <wps:spPr>
                        <a:xfrm>
                          <a:off x="0" y="0"/>
                          <a:ext cx="554418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 o:spid="_x0000_s1026" o:spt="20" style="position:absolute;left:0pt;margin-left:-0.65pt;margin-top:3.85pt;height:0.05pt;width:436.55pt;z-index:251663360;mso-width-relative:page;mso-height-relative:page;" filled="f" stroked="t" coordsize="21600,21600" o:gfxdata="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iWu8R1AAA&#10;AAYBAAAPAAAAAAAAAAEAIAAAACIAAABkcnMvZG93bnJldi54bWxQSwECFAAUAAAACACHTuJAUkUG&#10;FukBAADeAwAADgAAAAAAAAABACAAAAAjAQAAZHJzL2Uyb0RvYy54bWxQSwUGAAAAAAYABgBZAQAA&#10;fgUAAAAA&#10;">
                <v:fill on="f" focussize="0,0"/>
                <v:stroke color="#000000" joinstyle="round"/>
                <v:imagedata o:title=""/>
                <o:lock v:ext="edit" aspectratio="f"/>
              </v:line>
            </w:pict>
          </mc:Fallback>
        </mc:AlternateContent>
      </w:r>
      <w:r>
        <w:rPr>
          <w:rFonts w:hint="default" w:ascii="Times New Roman" w:hAnsi="Times New Roman" w:cs="Times New Roman"/>
          <w:sz w:val="28"/>
        </w:rPr>
        <mc:AlternateContent>
          <mc:Choice Requires="wps">
            <w:drawing>
              <wp:anchor distT="0" distB="0" distL="114300" distR="114300" simplePos="0" relativeHeight="251662336" behindDoc="0" locked="0" layoutInCell="1" allowOverlap="1">
                <wp:simplePos x="0" y="0"/>
                <wp:positionH relativeFrom="column">
                  <wp:posOffset>1270</wp:posOffset>
                </wp:positionH>
                <wp:positionV relativeFrom="paragraph">
                  <wp:posOffset>404495</wp:posOffset>
                </wp:positionV>
                <wp:extent cx="5544185" cy="635"/>
                <wp:effectExtent l="0" t="0" r="0" b="0"/>
                <wp:wrapNone/>
                <wp:docPr id="1" name="直线 13"/>
                <wp:cNvGraphicFramePr/>
                <a:graphic xmlns:a="http://schemas.openxmlformats.org/drawingml/2006/main">
                  <a:graphicData uri="http://schemas.microsoft.com/office/word/2010/wordprocessingShape">
                    <wps:wsp>
                      <wps:cNvCnPr/>
                      <wps:spPr>
                        <a:xfrm>
                          <a:off x="0" y="0"/>
                          <a:ext cx="554418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3" o:spid="_x0000_s1026" o:spt="20" style="position:absolute;left:0pt;margin-left:0.1pt;margin-top:31.85pt;height:0.05pt;width:436.55pt;z-index:251662336;mso-width-relative:page;mso-height-relative:page;" filled="f" stroked="t" coordsize="21600,21600" o:gfxdata="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yIdzNQA&#10;AAAGAQAADwAAAAAAAAABACAAAAAiAAAAZHJzL2Rvd25yZXYueG1sUEsBAhQAFAAAAAgAh07iQFnV&#10;MJHqAQAA3gMAAA4AAAAAAAAAAQAgAAAAIwEAAGRycy9lMm9Eb2MueG1sUEsFBgAAAAAGAAYAWQEA&#10;AH8FAAAAAA==&#10;">
                <v:fill on="f" focussize="0,0"/>
                <v:stroke color="#000000" joinstyle="round"/>
                <v:imagedata o:title=""/>
                <o:lock v:ext="edit" aspectratio="f"/>
              </v:line>
            </w:pict>
          </mc:Fallback>
        </mc:AlternateContent>
      </w:r>
      <w:r>
        <w:rPr>
          <w:rFonts w:hint="default" w:ascii="Times New Roman" w:hAnsi="Times New Roman" w:eastAsia="方正仿宋_GBK" w:cs="Times New Roman"/>
          <w:sz w:val="28"/>
          <w:szCs w:val="28"/>
        </w:rPr>
        <w:t xml:space="preserve">重庆市渝中区人民政府办公室           </w:t>
      </w:r>
      <w:r>
        <w:rPr>
          <w:rFonts w:hint="eastAsia" w:eastAsia="方正仿宋_GBK" w:cs="Times New Roman"/>
          <w:sz w:val="28"/>
          <w:szCs w:val="28"/>
          <w:lang w:val="en-US" w:eastAsia="zh-CN"/>
        </w:rPr>
        <w:t xml:space="preserve"> </w:t>
      </w:r>
      <w:r>
        <w:rPr>
          <w:rFonts w:hint="default" w:ascii="Times New Roman" w:hAnsi="Times New Roman" w:eastAsia="方正仿宋_GBK" w:cs="Times New Roman"/>
          <w:sz w:val="28"/>
          <w:szCs w:val="28"/>
        </w:rPr>
        <w:t xml:space="preserve">  202</w:t>
      </w:r>
      <w:r>
        <w:rPr>
          <w:rFonts w:hint="eastAsia" w:eastAsia="方正仿宋_GBK" w:cs="Times New Roman"/>
          <w:sz w:val="28"/>
          <w:szCs w:val="28"/>
          <w:lang w:val="en-US" w:eastAsia="zh-CN"/>
        </w:rPr>
        <w:t>6</w:t>
      </w:r>
      <w:r>
        <w:rPr>
          <w:rFonts w:hint="default" w:ascii="Times New Roman" w:hAnsi="Times New Roman" w:eastAsia="方正仿宋_GBK" w:cs="Times New Roman"/>
          <w:sz w:val="28"/>
          <w:szCs w:val="28"/>
        </w:rPr>
        <w:t>年</w:t>
      </w:r>
      <w:r>
        <w:rPr>
          <w:rFonts w:hint="eastAsia" w:cs="Times New Roman"/>
          <w:sz w:val="28"/>
          <w:szCs w:val="28"/>
          <w:lang w:val="en-US" w:eastAsia="zh-CN"/>
        </w:rPr>
        <w:t>3</w:t>
      </w:r>
      <w:r>
        <w:rPr>
          <w:rFonts w:hint="default" w:ascii="Times New Roman" w:hAnsi="Times New Roman" w:eastAsia="方正仿宋_GBK" w:cs="Times New Roman"/>
          <w:sz w:val="28"/>
          <w:szCs w:val="28"/>
        </w:rPr>
        <w:t>月</w:t>
      </w:r>
      <w:r>
        <w:rPr>
          <w:rFonts w:hint="eastAsia" w:cs="Times New Roman"/>
          <w:sz w:val="28"/>
          <w:szCs w:val="28"/>
          <w:lang w:val="en-US" w:eastAsia="zh-CN"/>
        </w:rPr>
        <w:t>24</w:t>
      </w:r>
      <w:r>
        <w:rPr>
          <w:rFonts w:hint="default" w:ascii="Times New Roman" w:hAnsi="Times New Roman" w:eastAsia="方正仿宋_GBK" w:cs="Times New Roman"/>
          <w:sz w:val="28"/>
          <w:szCs w:val="28"/>
        </w:rPr>
        <w:t>日印发</w:t>
      </w:r>
      <w:bookmarkStart w:id="7" w:name="_Hlk37239649"/>
      <w:bookmarkEnd w:id="7"/>
      <w:bookmarkStart w:id="8" w:name="fh"/>
      <w:bookmarkEnd w:id="8"/>
    </w:p>
    <w:sectPr>
      <w:headerReference r:id="rId7" w:type="default"/>
      <w:footerReference r:id="rId8" w:type="default"/>
      <w:pgSz w:w="11905" w:h="16838"/>
      <w:pgMar w:top="1417" w:right="1587" w:bottom="1417" w:left="1587" w:header="851" w:footer="992" w:gutter="0"/>
      <w:paperSrc/>
      <w:pgBorders>
        <w:top w:val="none" w:sz="0" w:space="0"/>
        <w:left w:val="none" w:sz="0" w:space="0"/>
        <w:bottom w:val="none" w:sz="0" w:space="0"/>
        <w:right w:val="none" w:sz="0" w:space="0"/>
      </w:pgBorders>
      <w:pgNumType w:fmt="decimal"/>
      <w:cols w:space="0" w:num="1"/>
      <w:rtlGutter w:val="0"/>
      <w:docGrid w:type="linesAndChars" w:linePitch="609" w:charSpace="61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A04BB2A-A3FB-40AB-B449-2E32FD738A86}"/>
  </w:font>
  <w:font w:name="Arial">
    <w:panose1 w:val="020B0604020202020204"/>
    <w:charset w:val="01"/>
    <w:family w:val="swiss"/>
    <w:pitch w:val="default"/>
    <w:sig w:usb0="E0002AFF" w:usb1="C0007843" w:usb2="00000009" w:usb3="00000000" w:csb0="400001FF" w:csb1="FFFF0000"/>
    <w:embedRegular r:id="rId2" w:fontKey="{31987FFF-2B6D-480B-8A07-8769A699203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1B76B187-D7A8-4C79-AFFB-FFEE6070D00D}"/>
  </w:font>
  <w:font w:name="Symbol">
    <w:panose1 w:val="05050102010706020507"/>
    <w:charset w:val="02"/>
    <w:family w:val="roman"/>
    <w:pitch w:val="default"/>
    <w:sig w:usb0="00000000" w:usb1="00000000" w:usb2="00000000" w:usb3="00000000" w:csb0="80000000" w:csb1="00000000"/>
    <w:embedRegular r:id="rId4" w:fontKey="{5F8ACEE1-AD5F-4C5A-B845-7CE1B50AD1B1}"/>
  </w:font>
  <w:font w:name="Calibri">
    <w:panose1 w:val="020F0502020204030204"/>
    <w:charset w:val="00"/>
    <w:family w:val="swiss"/>
    <w:pitch w:val="default"/>
    <w:sig w:usb0="E10002FF" w:usb1="4000ACFF" w:usb2="00000009" w:usb3="00000000" w:csb0="2000019F" w:csb1="00000000"/>
    <w:embedRegular r:id="rId5" w:fontKey="{519FD1F4-B293-4710-9EA7-6A63B8EAE9E7}"/>
  </w:font>
  <w:font w:name="方正仿宋_GBK">
    <w:panose1 w:val="03000509000000000000"/>
    <w:charset w:val="86"/>
    <w:family w:val="script"/>
    <w:pitch w:val="default"/>
    <w:sig w:usb0="00000001" w:usb1="080E0000" w:usb2="00000000" w:usb3="00000000" w:csb0="00040000" w:csb1="00000000"/>
    <w:embedRegular r:id="rId6" w:fontKey="{D22739D7-7FBB-4F70-9B4C-ECAFEC4BF12D}"/>
  </w:font>
  <w:font w:name="Calibri Light">
    <w:panose1 w:val="020F0302020204030204"/>
    <w:charset w:val="00"/>
    <w:family w:val="swiss"/>
    <w:pitch w:val="default"/>
    <w:sig w:usb0="00000000" w:usb1="00000000" w:usb2="00000000" w:usb3="00000000" w:csb0="00000000" w:csb1="00000000"/>
    <w:embedRegular r:id="rId7" w:fontKey="{B062FFEC-94E7-4714-B1DF-A78BA84FB598}"/>
  </w:font>
  <w:font w:name="仿宋_GB2312">
    <w:panose1 w:val="02010609030101010101"/>
    <w:charset w:val="86"/>
    <w:family w:val="modern"/>
    <w:pitch w:val="default"/>
    <w:sig w:usb0="00000000" w:usb1="00000000" w:usb2="00000000" w:usb3="00000000" w:csb0="00000000" w:csb1="00000000"/>
    <w:embedRegular r:id="rId8" w:fontKey="{DC190EB4-BD6A-488E-B246-28E868359DB4}"/>
  </w:font>
  <w:font w:name="Cambria">
    <w:panose1 w:val="02040503050406030204"/>
    <w:charset w:val="00"/>
    <w:family w:val="roman"/>
    <w:pitch w:val="default"/>
    <w:sig w:usb0="E00002FF" w:usb1="400004FF" w:usb2="00000000" w:usb3="00000000" w:csb0="2000019F" w:csb1="00000000"/>
    <w:embedRegular r:id="rId9" w:fontKey="{11C21831-AFE1-4C74-8FEE-BB42DF9440A4}"/>
  </w:font>
  <w:font w:name="Helvetica">
    <w:altName w:val="Arial"/>
    <w:panose1 w:val="020B0604020202030204"/>
    <w:charset w:val="00"/>
    <w:family w:val="swiss"/>
    <w:pitch w:val="default"/>
    <w:sig w:usb0="00000000" w:usb1="00000000" w:usb2="00000000" w:usb3="00000000" w:csb0="00000093" w:csb1="00000000"/>
    <w:embedRegular r:id="rId10" w:fontKey="{78F7F5DB-A8BE-46E2-BDAA-189B7E5BD3A4}"/>
  </w:font>
  <w:font w:name="Arial Unicode MS">
    <w:altName w:val="宋体"/>
    <w:panose1 w:val="020B0604020202020204"/>
    <w:charset w:val="86"/>
    <w:family w:val="swiss"/>
    <w:pitch w:val="default"/>
    <w:sig w:usb0="00000000" w:usb1="00000000" w:usb2="0000003F" w:usb3="00000000" w:csb0="603F01FF" w:csb1="FFFF0000"/>
  </w:font>
  <w:font w:name="方正黑体_GBK">
    <w:panose1 w:val="03000509000000000000"/>
    <w:charset w:val="86"/>
    <w:family w:val="script"/>
    <w:pitch w:val="default"/>
    <w:sig w:usb0="00000001" w:usb1="080E0000" w:usb2="00000000" w:usb3="00000000" w:csb0="00040000" w:csb1="00000000"/>
    <w:embedRegular r:id="rId11" w:fontKey="{4C3F611B-BB98-4C57-8953-D9924D377AB9}"/>
  </w:font>
  <w:font w:name="方正小标宋_GBK">
    <w:panose1 w:val="03000509000000000000"/>
    <w:charset w:val="86"/>
    <w:family w:val="script"/>
    <w:pitch w:val="default"/>
    <w:sig w:usb0="00000001" w:usb1="080E0000" w:usb2="00000000" w:usb3="00000000" w:csb0="00040000" w:csb1="00000000"/>
    <w:embedRegular r:id="rId12" w:fontKey="{C2D53D81-4904-48FC-96E7-1A894129C5B9}"/>
  </w:font>
  <w:font w:name="Tahoma">
    <w:panose1 w:val="020B0604030504040204"/>
    <w:charset w:val="00"/>
    <w:family w:val="swiss"/>
    <w:pitch w:val="default"/>
    <w:sig w:usb0="E1002EFF" w:usb1="C000605B" w:usb2="00000029" w:usb3="00000000" w:csb0="200101FF" w:csb1="20280000"/>
    <w:embedRegular r:id="rId13" w:fontKey="{FB49A938-30F9-44FD-89F5-71B21AC69F7A}"/>
  </w:font>
  <w:font w:name="仿宋">
    <w:panose1 w:val="02010609060101010101"/>
    <w:charset w:val="86"/>
    <w:family w:val="modern"/>
    <w:pitch w:val="default"/>
    <w:sig w:usb0="800002BF" w:usb1="38CF7CFA" w:usb2="00000016" w:usb3="00000000" w:csb0="00040001" w:csb1="00000000"/>
  </w:font>
  <w:font w:name="方正楷体_GBK">
    <w:panose1 w:val="03000509000000000000"/>
    <w:charset w:val="86"/>
    <w:family w:val="script"/>
    <w:pitch w:val="default"/>
    <w:sig w:usb0="00000001" w:usb1="080E0000" w:usb2="00000000" w:usb3="00000000" w:csb0="00040000" w:csb1="00000000"/>
    <w:embedRegular r:id="rId14" w:fontKey="{7B17D3F1-4237-42C5-81A9-A57A25F381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posOffset>4566285</wp:posOffset>
              </wp:positionH>
              <wp:positionV relativeFrom="paragraph">
                <wp:posOffset>-132715</wp:posOffset>
              </wp:positionV>
              <wp:extent cx="977900" cy="270510"/>
              <wp:effectExtent l="0" t="0" r="0" b="0"/>
              <wp:wrapNone/>
              <wp:docPr id="7" name="文本框 7"/>
              <wp:cNvGraphicFramePr/>
              <a:graphic xmlns:a="http://schemas.openxmlformats.org/drawingml/2006/main">
                <a:graphicData uri="http://schemas.microsoft.com/office/word/2010/wordprocessingShape">
                  <wps:wsp>
                    <wps:cNvSpPr txBox="1"/>
                    <wps:spPr>
                      <a:xfrm>
                        <a:off x="0" y="0"/>
                        <a:ext cx="977900" cy="27051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ind w:firstLine="280" w:firstLineChars="100"/>
                            <w:rPr>
                              <w:rFonts w:hint="eastAsia" w:eastAsia="方正仿宋_GBK"/>
                              <w:sz w:val="28"/>
                              <w:szCs w:val="28"/>
                              <w:lang w:eastAsia="zh-CN"/>
                            </w:rPr>
                          </w:pPr>
                          <w:r>
                            <w:rPr>
                              <w:rFonts w:hint="eastAsia"/>
                              <w:sz w:val="28"/>
                              <w:szCs w:val="28"/>
                              <w:lang w:eastAsia="zh-CN"/>
                            </w:rPr>
                            <w:t>—</w:t>
                          </w: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val="en-US" w:eastAsia="zh-CN"/>
                            </w:rPr>
                            <w:t xml:space="preserve"> </w:t>
                          </w:r>
                          <w:r>
                            <w:rPr>
                              <w:rFonts w:hint="eastAsia"/>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59.55pt;margin-top:-10.45pt;height:21.3pt;width:77pt;mso-position-horizontal-relative:margin;z-index:251663360;mso-width-relative:page;mso-height-relative:page;" filled="f" stroked="f" coordsize="21600,21600" o:gfxdata="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FiYPoTZAAAACgEAAA8AAAAAAAAAAQAgAAAAIgAAAGRycy9kb3du&#10;cmV2LnhtbFBLAQIUABQAAAAIAIdO4kAptW7r4gIAACQGAAAOAAAAAAAAAAEAIAAAACgBAABkcnMv&#10;ZTJvRG9jLnhtbFBLBQYAAAAABgAGAFkBAAB8BgAAAAA=&#10;">
              <v:fill on="f" focussize="0,0"/>
              <v:stroke on="f" weight="0.5pt"/>
              <v:imagedata o:title=""/>
              <o:lock v:ext="edit" aspectratio="f"/>
              <v:textbox inset="0mm,0mm,0mm,0mm">
                <w:txbxContent>
                  <w:p>
                    <w:pPr>
                      <w:pStyle w:val="18"/>
                      <w:ind w:firstLine="280" w:firstLineChars="100"/>
                      <w:rPr>
                        <w:rFonts w:hint="eastAsia" w:eastAsia="方正仿宋_GBK"/>
                        <w:sz w:val="28"/>
                        <w:szCs w:val="28"/>
                        <w:lang w:eastAsia="zh-CN"/>
                      </w:rPr>
                    </w:pPr>
                    <w:r>
                      <w:rPr>
                        <w:rFonts w:hint="eastAsia"/>
                        <w:sz w:val="28"/>
                        <w:szCs w:val="28"/>
                        <w:lang w:eastAsia="zh-CN"/>
                      </w:rPr>
                      <w:t>—</w:t>
                    </w: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val="en-US" w:eastAsia="zh-CN"/>
                      </w:rPr>
                      <w:t xml:space="preserve"> </w:t>
                    </w:r>
                    <w:r>
                      <w:rPr>
                        <w:rFonts w:hint="eastAsia"/>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4384" behindDoc="0" locked="0" layoutInCell="1" allowOverlap="1">
              <wp:simplePos x="0" y="0"/>
              <wp:positionH relativeFrom="margin">
                <wp:posOffset>0</wp:posOffset>
              </wp:positionH>
              <wp:positionV relativeFrom="paragraph">
                <wp:posOffset>-142240</wp:posOffset>
              </wp:positionV>
              <wp:extent cx="1072515" cy="280035"/>
              <wp:effectExtent l="0" t="0" r="0" b="0"/>
              <wp:wrapNone/>
              <wp:docPr id="8" name="文本框 8"/>
              <wp:cNvGraphicFramePr/>
              <a:graphic xmlns:a="http://schemas.openxmlformats.org/drawingml/2006/main">
                <a:graphicData uri="http://schemas.microsoft.com/office/word/2010/wordprocessingShape">
                  <wps:wsp>
                    <wps:cNvSpPr txBox="1"/>
                    <wps:spPr>
                      <a:xfrm>
                        <a:off x="0" y="0"/>
                        <a:ext cx="1072515" cy="28003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ind w:firstLine="280" w:firstLineChars="100"/>
                            <w:rPr>
                              <w:rFonts w:hint="eastAsia" w:eastAsia="方正仿宋_GBK"/>
                              <w:sz w:val="28"/>
                              <w:szCs w:val="28"/>
                              <w:lang w:eastAsia="zh-CN"/>
                            </w:rPr>
                          </w:pPr>
                          <w:r>
                            <w:rPr>
                              <w:rFonts w:hint="eastAsia"/>
                              <w:sz w:val="28"/>
                              <w:szCs w:val="28"/>
                              <w:lang w:eastAsia="zh-CN"/>
                            </w:rPr>
                            <w:t>—</w:t>
                          </w: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r>
                            <w:rPr>
                              <w:rFonts w:hint="eastAsia"/>
                              <w:sz w:val="28"/>
                              <w:szCs w:val="28"/>
                              <w:lang w:val="en-US" w:eastAsia="zh-CN"/>
                            </w:rPr>
                            <w:t xml:space="preserve"> </w:t>
                          </w:r>
                          <w:r>
                            <w:rPr>
                              <w:rFonts w:hint="eastAsia"/>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pt;margin-top:-11.2pt;height:22.05pt;width:84.45pt;mso-position-horizontal-relative:margin;z-index:251664384;mso-width-relative:page;mso-height-relative:page;" filled="f" stroked="f" coordsize="21600,21600" o:gfxdata="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ow6KAtYAAAAHAQAADwAAAAAAAAABACAAAAAiAAAAZHJzL2Rvd25yZXYu&#10;eG1sUEsBAhQAFAAAAAgAh07iQITV1ELhAgAAJQYAAA4AAAAAAAAAAQAgAAAAJQEAAGRycy9lMm9E&#10;b2MueG1sUEsFBgAAAAAGAAYAWQEAAHgGAAAAAA==&#10;">
              <v:fill on="f" focussize="0,0"/>
              <v:stroke on="f" weight="0.5pt"/>
              <v:imagedata o:title=""/>
              <o:lock v:ext="edit" aspectratio="f"/>
              <v:textbox inset="0mm,0mm,0mm,0mm">
                <w:txbxContent>
                  <w:p>
                    <w:pPr>
                      <w:pStyle w:val="18"/>
                      <w:ind w:firstLine="280" w:firstLineChars="100"/>
                      <w:rPr>
                        <w:rFonts w:hint="eastAsia" w:eastAsia="方正仿宋_GBK"/>
                        <w:sz w:val="28"/>
                        <w:szCs w:val="28"/>
                        <w:lang w:eastAsia="zh-CN"/>
                      </w:rPr>
                    </w:pPr>
                    <w:r>
                      <w:rPr>
                        <w:rFonts w:hint="eastAsia"/>
                        <w:sz w:val="28"/>
                        <w:szCs w:val="28"/>
                        <w:lang w:eastAsia="zh-CN"/>
                      </w:rPr>
                      <w:t>—</w:t>
                    </w: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r>
                      <w:rPr>
                        <w:rFonts w:hint="eastAsia"/>
                        <w:sz w:val="28"/>
                        <w:szCs w:val="28"/>
                        <w:lang w:val="en-US" w:eastAsia="zh-CN"/>
                      </w:rPr>
                      <w:t xml:space="preserve"> </w:t>
                    </w:r>
                    <w:r>
                      <w:rPr>
                        <w:rFonts w:hint="eastAsia"/>
                        <w:sz w:val="28"/>
                        <w:szCs w:val="28"/>
                        <w:lang w:eastAsia="zh-CN"/>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2"/>
        <w:sz w:val="18"/>
        <w:szCs w:val="24"/>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posOffset>4526915</wp:posOffset>
              </wp:positionH>
              <wp:positionV relativeFrom="paragraph">
                <wp:posOffset>-123190</wp:posOffset>
              </wp:positionV>
              <wp:extent cx="1017270" cy="25971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01727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ind w:firstLine="280" w:firstLineChars="100"/>
                            <w:rPr>
                              <w:rFonts w:hint="default" w:ascii="Times New Roman" w:hAnsi="Times New Roman" w:eastAsia="方正仿宋_GBK" w:cs="Times New Roman"/>
                              <w:sz w:val="28"/>
                              <w:szCs w:val="28"/>
                              <w:lang w:eastAsia="zh-CN"/>
                            </w:rPr>
                          </w:pPr>
                          <w:r>
                            <w:rPr>
                              <w:rFonts w:hint="eastAsia" w:ascii="方正仿宋_GBK" w:hAnsi="方正仿宋_GBK" w:eastAsia="方正仿宋_GBK" w:cs="方正仿宋_GBK"/>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7</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r>
                            <w:rPr>
                              <w:rFonts w:hint="eastAsia" w:ascii="方正仿宋_GBK" w:hAnsi="方正仿宋_GBK" w:eastAsia="方正仿宋_GBK" w:cs="方正仿宋_GBK"/>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56.45pt;margin-top:-9.7pt;height:20.45pt;width:80.1pt;mso-position-horizontal-relative:margin;z-index:251663360;mso-width-relative:page;mso-height-relative:page;" filled="f" stroked="f" coordsize="21600,21600" o:gfxdata="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1uJJ9MAAAAEAQAADwAAAAAAAAABACAAAAAiAAAAZHJzL2Rvd25yZXYueG1s&#10;UEsBAhQAFAAAAAgAh07iQFqMk1w2AgAAZAQAAA4AAAAAAAAAAQAgAAAAIgEAAGRycy9lMm9Eb2Mu&#10;eG1sUEsFBgAAAAAGAAYAWQEAAMoFAAAAAA==&#10;">
              <v:fill on="f" focussize="0,0"/>
              <v:stroke on="f" weight="0.5pt"/>
              <v:imagedata o:title=""/>
              <o:lock v:ext="edit" aspectratio="f"/>
              <v:textbox inset="0mm,0mm,0mm,0mm">
                <w:txbxContent>
                  <w:p>
                    <w:pPr>
                      <w:pStyle w:val="18"/>
                      <w:ind w:firstLine="280" w:firstLineChars="100"/>
                      <w:rPr>
                        <w:rFonts w:hint="default" w:ascii="Times New Roman" w:hAnsi="Times New Roman" w:eastAsia="方正仿宋_GBK" w:cs="Times New Roman"/>
                        <w:sz w:val="28"/>
                        <w:szCs w:val="28"/>
                        <w:lang w:eastAsia="zh-CN"/>
                      </w:rPr>
                    </w:pPr>
                    <w:r>
                      <w:rPr>
                        <w:rFonts w:hint="eastAsia" w:ascii="方正仿宋_GBK" w:hAnsi="方正仿宋_GBK" w:eastAsia="方正仿宋_GBK" w:cs="方正仿宋_GBK"/>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7</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r>
                      <w:rPr>
                        <w:rFonts w:hint="eastAsia" w:ascii="方正仿宋_GBK" w:hAnsi="方正仿宋_GBK" w:eastAsia="方正仿宋_GBK" w:cs="方正仿宋_GBK"/>
                        <w:sz w:val="28"/>
                        <w:szCs w:val="28"/>
                        <w:lang w:eastAsia="zh-CN"/>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uppressAutoHyphens/>
      <w:wordWrap w:val="0"/>
      <w:bidi w:val="0"/>
      <w:snapToGrid w:val="0"/>
      <w:jc w:val="right"/>
      <w:rPr>
        <w:rFonts w:hint="default" w:ascii="Calibri" w:hAnsi="Calibri" w:eastAsia="宋体" w:cs="Times New Roman"/>
        <w:color w:val="auto"/>
        <w:kern w:val="2"/>
        <w:sz w:val="18"/>
        <w:szCs w:val="24"/>
        <w:lang w:val="en-US" w:eastAsia="zh-CN" w:bidi="ar-SA"/>
      </w:rPr>
    </w:pPr>
    <w:r>
      <w:rPr>
        <w:rFonts w:ascii="Calibri" w:hAnsi="Calibri" w:eastAsia="方正仿宋_GBK" w:cs="Times New Roman"/>
        <w:color w:val="auto"/>
        <w:kern w:val="2"/>
        <w:sz w:val="18"/>
        <w:szCs w:val="24"/>
        <w:lang w:val="en-US" w:eastAsia="zh-CN" w:bidi="ar-SA"/>
      </w:rPr>
      <mc:AlternateContent>
        <mc:Choice Requires="wps">
          <w:drawing>
            <wp:anchor distT="0" distB="0" distL="114300" distR="114300" simplePos="0" relativeHeight="251664384" behindDoc="0" locked="0" layoutInCell="1" allowOverlap="1">
              <wp:simplePos x="0" y="0"/>
              <wp:positionH relativeFrom="margin">
                <wp:posOffset>4502785</wp:posOffset>
              </wp:positionH>
              <wp:positionV relativeFrom="paragraph">
                <wp:posOffset>-132715</wp:posOffset>
              </wp:positionV>
              <wp:extent cx="1041400" cy="27622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041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uppressAutoHyphens/>
                            <w:wordWrap w:val="0"/>
                            <w:bidi w:val="0"/>
                            <w:snapToGrid w:val="0"/>
                            <w:jc w:val="center"/>
                            <w:rPr>
                              <w:rFonts w:hint="default" w:ascii="Times New Roman" w:hAnsi="Times New Roman" w:eastAsia="方正仿宋_GBK" w:cs="Times New Roman"/>
                              <w:color w:val="auto"/>
                              <w:kern w:val="2"/>
                              <w:sz w:val="28"/>
                              <w:szCs w:val="28"/>
                              <w:lang w:val="en-US" w:eastAsia="zh-CN" w:bidi="ar-SA"/>
                            </w:rPr>
                          </w:pPr>
                          <w:r>
                            <w:rPr>
                              <w:rFonts w:hint="eastAsia" w:ascii="方正仿宋_GBK" w:hAnsi="方正仿宋_GBK" w:eastAsia="方正仿宋_GBK" w:cs="方正仿宋_GBK"/>
                              <w:color w:val="auto"/>
                              <w:kern w:val="2"/>
                              <w:sz w:val="28"/>
                              <w:szCs w:val="28"/>
                              <w:lang w:val="en-US" w:eastAsia="zh-CN" w:bidi="ar-SA"/>
                            </w:rPr>
                            <w:t>—</w:t>
                          </w:r>
                          <w:r>
                            <w:rPr>
                              <w:rFonts w:hint="default" w:ascii="Times New Roman" w:hAnsi="Times New Roman" w:eastAsia="宋体" w:cs="Times New Roman"/>
                              <w:color w:val="auto"/>
                              <w:kern w:val="2"/>
                              <w:sz w:val="28"/>
                              <w:szCs w:val="28"/>
                              <w:lang w:val="en-US" w:eastAsia="zh-CN" w:bidi="ar-SA"/>
                            </w:rPr>
                            <w:t xml:space="preserve"> </w:t>
                          </w:r>
                          <w:r>
                            <w:rPr>
                              <w:rFonts w:hint="default" w:ascii="Times New Roman" w:hAnsi="Times New Roman" w:eastAsia="宋体" w:cs="Times New Roman"/>
                              <w:color w:val="auto"/>
                              <w:kern w:val="2"/>
                              <w:sz w:val="28"/>
                              <w:szCs w:val="28"/>
                              <w:lang w:val="en-US" w:eastAsia="zh-CN" w:bidi="ar-SA"/>
                            </w:rPr>
                            <w:fldChar w:fldCharType="begin"/>
                          </w:r>
                          <w:r>
                            <w:rPr>
                              <w:rFonts w:hint="default" w:ascii="Times New Roman" w:hAnsi="Times New Roman" w:eastAsia="宋体" w:cs="Times New Roman"/>
                              <w:color w:val="auto"/>
                              <w:kern w:val="2"/>
                              <w:sz w:val="28"/>
                              <w:szCs w:val="28"/>
                              <w:lang w:val="en-US" w:eastAsia="zh-CN" w:bidi="ar-SA"/>
                            </w:rPr>
                            <w:instrText xml:space="preserve"> PAGE  \* MERGEFORMAT </w:instrText>
                          </w:r>
                          <w:r>
                            <w:rPr>
                              <w:rFonts w:hint="default" w:ascii="Times New Roman" w:hAnsi="Times New Roman" w:eastAsia="宋体" w:cs="Times New Roman"/>
                              <w:color w:val="auto"/>
                              <w:kern w:val="2"/>
                              <w:sz w:val="28"/>
                              <w:szCs w:val="28"/>
                              <w:lang w:val="en-US" w:eastAsia="zh-CN" w:bidi="ar-SA"/>
                            </w:rPr>
                            <w:fldChar w:fldCharType="separate"/>
                          </w:r>
                          <w:r>
                            <w:rPr>
                              <w:rFonts w:hint="default" w:ascii="Times New Roman" w:hAnsi="Times New Roman" w:eastAsia="宋体" w:cs="Times New Roman"/>
                              <w:color w:val="auto"/>
                              <w:kern w:val="2"/>
                              <w:sz w:val="28"/>
                              <w:szCs w:val="28"/>
                              <w:lang w:val="en-US" w:eastAsia="zh-CN" w:bidi="ar-SA"/>
                            </w:rPr>
                            <w:t>1</w:t>
                          </w:r>
                          <w:r>
                            <w:rPr>
                              <w:rFonts w:hint="default" w:ascii="Times New Roman" w:hAnsi="Times New Roman" w:eastAsia="宋体" w:cs="Times New Roman"/>
                              <w:color w:val="auto"/>
                              <w:kern w:val="2"/>
                              <w:sz w:val="28"/>
                              <w:szCs w:val="28"/>
                              <w:lang w:val="en-US" w:eastAsia="zh-CN" w:bidi="ar-SA"/>
                            </w:rPr>
                            <w:fldChar w:fldCharType="end"/>
                          </w:r>
                          <w:r>
                            <w:rPr>
                              <w:rFonts w:hint="default" w:ascii="Times New Roman" w:hAnsi="Times New Roman" w:eastAsia="宋体" w:cs="Times New Roman"/>
                              <w:color w:val="auto"/>
                              <w:kern w:val="2"/>
                              <w:sz w:val="28"/>
                              <w:szCs w:val="28"/>
                              <w:lang w:val="en-US" w:eastAsia="zh-CN" w:bidi="ar-SA"/>
                            </w:rPr>
                            <w:t xml:space="preserve"> </w:t>
                          </w:r>
                          <w:r>
                            <w:rPr>
                              <w:rFonts w:hint="eastAsia" w:ascii="方正仿宋_GBK" w:hAnsi="方正仿宋_GBK" w:eastAsia="方正仿宋_GBK" w:cs="方正仿宋_GBK"/>
                              <w:color w:val="auto"/>
                              <w:kern w:val="2"/>
                              <w:sz w:val="28"/>
                              <w:szCs w:val="28"/>
                              <w:lang w:val="en-US" w:eastAsia="zh-CN" w:bidi="ar-SA"/>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54.55pt;margin-top:-10.45pt;height:21.75pt;width:82pt;mso-position-horizontal-relative:margin;z-index:251664384;mso-width-relative:page;mso-height-relative:page;" filled="f" stroked="f" coordsize="21600,21600" o:gfxdata="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xTMwtMAAAAEAQAADwAAAAAAAAABACAAAAAiAAAAZHJzL2Rv&#10;d25yZXYueG1sUEsBAhQAFAAAAAgAh07iQAAzJV4/AgAAcgQAAA4AAAAAAAAAAQAgAAAAIgEAAGRy&#10;cy9lMm9Eb2MueG1sUEsFBgAAAAAGAAYAWQEAANMFAAAAAA==&#10;">
              <v:fill on="f" focussize="0,0"/>
              <v:stroke on="f" weight="0.5pt"/>
              <v:imagedata o:title=""/>
              <o:lock v:ext="edit" aspectratio="f"/>
              <v:textbox inset="0mm,0mm,0mm,0mm">
                <w:txbxContent>
                  <w:p>
                    <w:pPr>
                      <w:widowControl w:val="0"/>
                      <w:tabs>
                        <w:tab w:val="center" w:pos="4153"/>
                        <w:tab w:val="right" w:pos="8306"/>
                      </w:tabs>
                      <w:suppressAutoHyphens/>
                      <w:wordWrap w:val="0"/>
                      <w:bidi w:val="0"/>
                      <w:snapToGrid w:val="0"/>
                      <w:jc w:val="center"/>
                      <w:rPr>
                        <w:rFonts w:hint="default" w:ascii="Times New Roman" w:hAnsi="Times New Roman" w:eastAsia="方正仿宋_GBK" w:cs="Times New Roman"/>
                        <w:color w:val="auto"/>
                        <w:kern w:val="2"/>
                        <w:sz w:val="28"/>
                        <w:szCs w:val="28"/>
                        <w:lang w:val="en-US" w:eastAsia="zh-CN" w:bidi="ar-SA"/>
                      </w:rPr>
                    </w:pPr>
                    <w:r>
                      <w:rPr>
                        <w:rFonts w:hint="eastAsia" w:ascii="方正仿宋_GBK" w:hAnsi="方正仿宋_GBK" w:eastAsia="方正仿宋_GBK" w:cs="方正仿宋_GBK"/>
                        <w:color w:val="auto"/>
                        <w:kern w:val="2"/>
                        <w:sz w:val="28"/>
                        <w:szCs w:val="28"/>
                        <w:lang w:val="en-US" w:eastAsia="zh-CN" w:bidi="ar-SA"/>
                      </w:rPr>
                      <w:t>—</w:t>
                    </w:r>
                    <w:r>
                      <w:rPr>
                        <w:rFonts w:hint="default" w:ascii="Times New Roman" w:hAnsi="Times New Roman" w:eastAsia="宋体" w:cs="Times New Roman"/>
                        <w:color w:val="auto"/>
                        <w:kern w:val="2"/>
                        <w:sz w:val="28"/>
                        <w:szCs w:val="28"/>
                        <w:lang w:val="en-US" w:eastAsia="zh-CN" w:bidi="ar-SA"/>
                      </w:rPr>
                      <w:t xml:space="preserve"> </w:t>
                    </w:r>
                    <w:r>
                      <w:rPr>
                        <w:rFonts w:hint="default" w:ascii="Times New Roman" w:hAnsi="Times New Roman" w:eastAsia="宋体" w:cs="Times New Roman"/>
                        <w:color w:val="auto"/>
                        <w:kern w:val="2"/>
                        <w:sz w:val="28"/>
                        <w:szCs w:val="28"/>
                        <w:lang w:val="en-US" w:eastAsia="zh-CN" w:bidi="ar-SA"/>
                      </w:rPr>
                      <w:fldChar w:fldCharType="begin"/>
                    </w:r>
                    <w:r>
                      <w:rPr>
                        <w:rFonts w:hint="default" w:ascii="Times New Roman" w:hAnsi="Times New Roman" w:eastAsia="宋体" w:cs="Times New Roman"/>
                        <w:color w:val="auto"/>
                        <w:kern w:val="2"/>
                        <w:sz w:val="28"/>
                        <w:szCs w:val="28"/>
                        <w:lang w:val="en-US" w:eastAsia="zh-CN" w:bidi="ar-SA"/>
                      </w:rPr>
                      <w:instrText xml:space="preserve"> PAGE  \* MERGEFORMAT </w:instrText>
                    </w:r>
                    <w:r>
                      <w:rPr>
                        <w:rFonts w:hint="default" w:ascii="Times New Roman" w:hAnsi="Times New Roman" w:eastAsia="宋体" w:cs="Times New Roman"/>
                        <w:color w:val="auto"/>
                        <w:kern w:val="2"/>
                        <w:sz w:val="28"/>
                        <w:szCs w:val="28"/>
                        <w:lang w:val="en-US" w:eastAsia="zh-CN" w:bidi="ar-SA"/>
                      </w:rPr>
                      <w:fldChar w:fldCharType="separate"/>
                    </w:r>
                    <w:r>
                      <w:rPr>
                        <w:rFonts w:hint="default" w:ascii="Times New Roman" w:hAnsi="Times New Roman" w:eastAsia="宋体" w:cs="Times New Roman"/>
                        <w:color w:val="auto"/>
                        <w:kern w:val="2"/>
                        <w:sz w:val="28"/>
                        <w:szCs w:val="28"/>
                        <w:lang w:val="en-US" w:eastAsia="zh-CN" w:bidi="ar-SA"/>
                      </w:rPr>
                      <w:t>1</w:t>
                    </w:r>
                    <w:r>
                      <w:rPr>
                        <w:rFonts w:hint="default" w:ascii="Times New Roman" w:hAnsi="Times New Roman" w:eastAsia="宋体" w:cs="Times New Roman"/>
                        <w:color w:val="auto"/>
                        <w:kern w:val="2"/>
                        <w:sz w:val="28"/>
                        <w:szCs w:val="28"/>
                        <w:lang w:val="en-US" w:eastAsia="zh-CN" w:bidi="ar-SA"/>
                      </w:rPr>
                      <w:fldChar w:fldCharType="end"/>
                    </w:r>
                    <w:r>
                      <w:rPr>
                        <w:rFonts w:hint="default" w:ascii="Times New Roman" w:hAnsi="Times New Roman" w:eastAsia="宋体" w:cs="Times New Roman"/>
                        <w:color w:val="auto"/>
                        <w:kern w:val="2"/>
                        <w:sz w:val="28"/>
                        <w:szCs w:val="28"/>
                        <w:lang w:val="en-US" w:eastAsia="zh-CN" w:bidi="ar-SA"/>
                      </w:rPr>
                      <w:t xml:space="preserve"> </w:t>
                    </w:r>
                    <w:r>
                      <w:rPr>
                        <w:rFonts w:hint="eastAsia" w:ascii="方正仿宋_GBK" w:hAnsi="方正仿宋_GBK" w:eastAsia="方正仿宋_GBK" w:cs="方正仿宋_GBK"/>
                        <w:color w:val="auto"/>
                        <w:kern w:val="2"/>
                        <w:sz w:val="28"/>
                        <w:szCs w:val="28"/>
                        <w:lang w:val="en-US" w:eastAsia="zh-CN" w:bidi="ar-SA"/>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62"/>
  <w:drawingGridVerticalSpacing w:val="304"/>
  <w:displayHorizontalDrawingGridEvery w:val="2"/>
  <w:displayVerticalDrawingGridEvery w:val="2"/>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4ZjMyMTk0NWVmOWRkNDJhNTYyZTlkMDgwMTE3MzYifQ=="/>
  </w:docVars>
  <w:rsids>
    <w:rsidRoot w:val="00172A27"/>
    <w:rsid w:val="00002EE7"/>
    <w:rsid w:val="00017933"/>
    <w:rsid w:val="00042BEF"/>
    <w:rsid w:val="000439D6"/>
    <w:rsid w:val="000C35FA"/>
    <w:rsid w:val="00112690"/>
    <w:rsid w:val="00134A7D"/>
    <w:rsid w:val="001532B6"/>
    <w:rsid w:val="0015485B"/>
    <w:rsid w:val="00172A27"/>
    <w:rsid w:val="001A62E6"/>
    <w:rsid w:val="001D7317"/>
    <w:rsid w:val="00234E42"/>
    <w:rsid w:val="00261D60"/>
    <w:rsid w:val="002C53E3"/>
    <w:rsid w:val="0037607D"/>
    <w:rsid w:val="003B72BE"/>
    <w:rsid w:val="003F48B0"/>
    <w:rsid w:val="00423E6E"/>
    <w:rsid w:val="00446FDE"/>
    <w:rsid w:val="004569FB"/>
    <w:rsid w:val="00466BBA"/>
    <w:rsid w:val="00476935"/>
    <w:rsid w:val="004956E3"/>
    <w:rsid w:val="004D5E59"/>
    <w:rsid w:val="00507FED"/>
    <w:rsid w:val="00620761"/>
    <w:rsid w:val="0077235C"/>
    <w:rsid w:val="00782376"/>
    <w:rsid w:val="007A6F07"/>
    <w:rsid w:val="007B1160"/>
    <w:rsid w:val="007B1DBE"/>
    <w:rsid w:val="008000DF"/>
    <w:rsid w:val="00866642"/>
    <w:rsid w:val="00872037"/>
    <w:rsid w:val="00892371"/>
    <w:rsid w:val="008C0FBA"/>
    <w:rsid w:val="008E10A1"/>
    <w:rsid w:val="00983DE6"/>
    <w:rsid w:val="00A4435F"/>
    <w:rsid w:val="00AD2C23"/>
    <w:rsid w:val="00AF0B9B"/>
    <w:rsid w:val="00B214B0"/>
    <w:rsid w:val="00B87D9E"/>
    <w:rsid w:val="00BA5FB6"/>
    <w:rsid w:val="00BB70DD"/>
    <w:rsid w:val="00C04F0C"/>
    <w:rsid w:val="00C1419C"/>
    <w:rsid w:val="00C23CA2"/>
    <w:rsid w:val="00C56CE8"/>
    <w:rsid w:val="00CC17AB"/>
    <w:rsid w:val="00CC7E58"/>
    <w:rsid w:val="00D07178"/>
    <w:rsid w:val="00D90535"/>
    <w:rsid w:val="00DC6C2F"/>
    <w:rsid w:val="00DE05E2"/>
    <w:rsid w:val="00E75F68"/>
    <w:rsid w:val="00F96EAA"/>
    <w:rsid w:val="01E26A4D"/>
    <w:rsid w:val="01EC59F6"/>
    <w:rsid w:val="022C097F"/>
    <w:rsid w:val="02646119"/>
    <w:rsid w:val="02B14B05"/>
    <w:rsid w:val="030049EE"/>
    <w:rsid w:val="034B2E38"/>
    <w:rsid w:val="03756C8C"/>
    <w:rsid w:val="04705FE8"/>
    <w:rsid w:val="04BC3BD8"/>
    <w:rsid w:val="053C11E9"/>
    <w:rsid w:val="05507F3D"/>
    <w:rsid w:val="0575419C"/>
    <w:rsid w:val="05C52FF4"/>
    <w:rsid w:val="06145189"/>
    <w:rsid w:val="068A1BE4"/>
    <w:rsid w:val="07570126"/>
    <w:rsid w:val="0A532C9D"/>
    <w:rsid w:val="0B8570AE"/>
    <w:rsid w:val="0BB76CC8"/>
    <w:rsid w:val="0BCF5746"/>
    <w:rsid w:val="0C606220"/>
    <w:rsid w:val="0C700E47"/>
    <w:rsid w:val="0D582AD2"/>
    <w:rsid w:val="0DA4249B"/>
    <w:rsid w:val="0DBD11FE"/>
    <w:rsid w:val="0DCB22B8"/>
    <w:rsid w:val="0F144A26"/>
    <w:rsid w:val="0F2C3683"/>
    <w:rsid w:val="0FAB7138"/>
    <w:rsid w:val="1106587D"/>
    <w:rsid w:val="1192524F"/>
    <w:rsid w:val="122535F2"/>
    <w:rsid w:val="12341296"/>
    <w:rsid w:val="1283439D"/>
    <w:rsid w:val="13C92283"/>
    <w:rsid w:val="14743555"/>
    <w:rsid w:val="14DB04C0"/>
    <w:rsid w:val="15EE32B4"/>
    <w:rsid w:val="163A59F3"/>
    <w:rsid w:val="16692D37"/>
    <w:rsid w:val="16722A1D"/>
    <w:rsid w:val="169219ED"/>
    <w:rsid w:val="1728270C"/>
    <w:rsid w:val="17BD0C12"/>
    <w:rsid w:val="18AB6EA5"/>
    <w:rsid w:val="192606C0"/>
    <w:rsid w:val="194C3B6E"/>
    <w:rsid w:val="1A2228D4"/>
    <w:rsid w:val="1A6E148E"/>
    <w:rsid w:val="1A7C48B0"/>
    <w:rsid w:val="1A983095"/>
    <w:rsid w:val="1AE3794B"/>
    <w:rsid w:val="1B011F8D"/>
    <w:rsid w:val="1B3C333B"/>
    <w:rsid w:val="1B4C426C"/>
    <w:rsid w:val="1BD611C2"/>
    <w:rsid w:val="1C7B1CA6"/>
    <w:rsid w:val="1CC83E4E"/>
    <w:rsid w:val="1CEE6163"/>
    <w:rsid w:val="1E5141B8"/>
    <w:rsid w:val="1F5627F9"/>
    <w:rsid w:val="1F651B60"/>
    <w:rsid w:val="1FEA15B7"/>
    <w:rsid w:val="204D6D3F"/>
    <w:rsid w:val="20E005E6"/>
    <w:rsid w:val="21A20C9A"/>
    <w:rsid w:val="21AE0F2A"/>
    <w:rsid w:val="21FD04DA"/>
    <w:rsid w:val="220426D8"/>
    <w:rsid w:val="22077FEC"/>
    <w:rsid w:val="227D2B29"/>
    <w:rsid w:val="22AD2D70"/>
    <w:rsid w:val="22CD2F8A"/>
    <w:rsid w:val="23C30922"/>
    <w:rsid w:val="23D9744C"/>
    <w:rsid w:val="24B46637"/>
    <w:rsid w:val="24D81136"/>
    <w:rsid w:val="24EA3E07"/>
    <w:rsid w:val="24EF52F0"/>
    <w:rsid w:val="258E2D61"/>
    <w:rsid w:val="26971D6D"/>
    <w:rsid w:val="27B04F7E"/>
    <w:rsid w:val="27CC2B05"/>
    <w:rsid w:val="27FA25B3"/>
    <w:rsid w:val="285A4215"/>
    <w:rsid w:val="28EB2C20"/>
    <w:rsid w:val="28F46223"/>
    <w:rsid w:val="29E4095D"/>
    <w:rsid w:val="2CDE381C"/>
    <w:rsid w:val="2D236ABB"/>
    <w:rsid w:val="2D7216A8"/>
    <w:rsid w:val="2DBD7048"/>
    <w:rsid w:val="2DE95338"/>
    <w:rsid w:val="2E162112"/>
    <w:rsid w:val="2E781D8B"/>
    <w:rsid w:val="2FAF6379"/>
    <w:rsid w:val="308F41DB"/>
    <w:rsid w:val="30F86498"/>
    <w:rsid w:val="32026530"/>
    <w:rsid w:val="321D4564"/>
    <w:rsid w:val="32912CF9"/>
    <w:rsid w:val="33F336CC"/>
    <w:rsid w:val="34E0494B"/>
    <w:rsid w:val="34EB1C02"/>
    <w:rsid w:val="35151C78"/>
    <w:rsid w:val="372413FB"/>
    <w:rsid w:val="37AE6338"/>
    <w:rsid w:val="38AA6235"/>
    <w:rsid w:val="38BD7E5C"/>
    <w:rsid w:val="390A2A91"/>
    <w:rsid w:val="391D0123"/>
    <w:rsid w:val="39661788"/>
    <w:rsid w:val="39B047A6"/>
    <w:rsid w:val="3AD1064D"/>
    <w:rsid w:val="3B037FE7"/>
    <w:rsid w:val="3B273268"/>
    <w:rsid w:val="3BEA06D1"/>
    <w:rsid w:val="3D474070"/>
    <w:rsid w:val="3D4A7CDD"/>
    <w:rsid w:val="3E5F288F"/>
    <w:rsid w:val="3F10276E"/>
    <w:rsid w:val="409E221E"/>
    <w:rsid w:val="40B27E51"/>
    <w:rsid w:val="40EE0E36"/>
    <w:rsid w:val="412344D1"/>
    <w:rsid w:val="415877DC"/>
    <w:rsid w:val="41DD2C99"/>
    <w:rsid w:val="423B426F"/>
    <w:rsid w:val="42F8755C"/>
    <w:rsid w:val="43CA4B7A"/>
    <w:rsid w:val="43CC0962"/>
    <w:rsid w:val="44522D71"/>
    <w:rsid w:val="44880FAF"/>
    <w:rsid w:val="44A50DF2"/>
    <w:rsid w:val="455B330B"/>
    <w:rsid w:val="45FF6884"/>
    <w:rsid w:val="460225E4"/>
    <w:rsid w:val="46274A64"/>
    <w:rsid w:val="465C7BAE"/>
    <w:rsid w:val="46A34002"/>
    <w:rsid w:val="46AF585C"/>
    <w:rsid w:val="46C97D88"/>
    <w:rsid w:val="46D07D49"/>
    <w:rsid w:val="47BB570E"/>
    <w:rsid w:val="484F3DFE"/>
    <w:rsid w:val="485B6C46"/>
    <w:rsid w:val="48C3418D"/>
    <w:rsid w:val="49CF7426"/>
    <w:rsid w:val="4BC3196D"/>
    <w:rsid w:val="4BD06CD2"/>
    <w:rsid w:val="4C0815D4"/>
    <w:rsid w:val="4C660377"/>
    <w:rsid w:val="4CC26AD8"/>
    <w:rsid w:val="4CDE35F6"/>
    <w:rsid w:val="4D515734"/>
    <w:rsid w:val="4DA51F28"/>
    <w:rsid w:val="4DA7075E"/>
    <w:rsid w:val="4DC8616A"/>
    <w:rsid w:val="4E145B68"/>
    <w:rsid w:val="506257C4"/>
    <w:rsid w:val="51DF5F02"/>
    <w:rsid w:val="522245B6"/>
    <w:rsid w:val="522B69E2"/>
    <w:rsid w:val="529C6E22"/>
    <w:rsid w:val="52F73C62"/>
    <w:rsid w:val="534338B5"/>
    <w:rsid w:val="536309AC"/>
    <w:rsid w:val="53C04111"/>
    <w:rsid w:val="53E419ED"/>
    <w:rsid w:val="53EF39DA"/>
    <w:rsid w:val="54AC5D03"/>
    <w:rsid w:val="55DD60C6"/>
    <w:rsid w:val="566B301C"/>
    <w:rsid w:val="57933A25"/>
    <w:rsid w:val="57E55D61"/>
    <w:rsid w:val="58AC2BA6"/>
    <w:rsid w:val="59651F87"/>
    <w:rsid w:val="59745E87"/>
    <w:rsid w:val="598D15D9"/>
    <w:rsid w:val="59945B14"/>
    <w:rsid w:val="5BD448EE"/>
    <w:rsid w:val="5BD85B7A"/>
    <w:rsid w:val="5C615CFB"/>
    <w:rsid w:val="5CA100B7"/>
    <w:rsid w:val="5D002691"/>
    <w:rsid w:val="5D5409EF"/>
    <w:rsid w:val="5E4D419A"/>
    <w:rsid w:val="5E5D6E1D"/>
    <w:rsid w:val="5F284B4F"/>
    <w:rsid w:val="5F332BBC"/>
    <w:rsid w:val="5F4B62EA"/>
    <w:rsid w:val="5F5046EA"/>
    <w:rsid w:val="60291303"/>
    <w:rsid w:val="610832D6"/>
    <w:rsid w:val="62CF198E"/>
    <w:rsid w:val="62D21D32"/>
    <w:rsid w:val="655D1887"/>
    <w:rsid w:val="65A37D8F"/>
    <w:rsid w:val="66564B4F"/>
    <w:rsid w:val="6722039C"/>
    <w:rsid w:val="67BF5C6D"/>
    <w:rsid w:val="6975250E"/>
    <w:rsid w:val="69AA4EE0"/>
    <w:rsid w:val="69F36887"/>
    <w:rsid w:val="6AF940FF"/>
    <w:rsid w:val="6AFD2513"/>
    <w:rsid w:val="6B171CA8"/>
    <w:rsid w:val="6B385E84"/>
    <w:rsid w:val="6BAD256C"/>
    <w:rsid w:val="6BE306CD"/>
    <w:rsid w:val="6C007039"/>
    <w:rsid w:val="6C0B4265"/>
    <w:rsid w:val="6C8C4AAA"/>
    <w:rsid w:val="6D1D02B2"/>
    <w:rsid w:val="6D4E2552"/>
    <w:rsid w:val="6DA04B32"/>
    <w:rsid w:val="6DE64DA7"/>
    <w:rsid w:val="6E304A15"/>
    <w:rsid w:val="6E92168F"/>
    <w:rsid w:val="6ED8429D"/>
    <w:rsid w:val="6EFA44F8"/>
    <w:rsid w:val="6F3E462A"/>
    <w:rsid w:val="6F423FD1"/>
    <w:rsid w:val="6F4B4A6F"/>
    <w:rsid w:val="6F9E54E7"/>
    <w:rsid w:val="70D05B50"/>
    <w:rsid w:val="710F3D18"/>
    <w:rsid w:val="72222BD2"/>
    <w:rsid w:val="72C03996"/>
    <w:rsid w:val="765B7C8E"/>
    <w:rsid w:val="76AA651F"/>
    <w:rsid w:val="789B167A"/>
    <w:rsid w:val="78D70ABD"/>
    <w:rsid w:val="78ED3235"/>
    <w:rsid w:val="79321F63"/>
    <w:rsid w:val="7B337149"/>
    <w:rsid w:val="7B3C3170"/>
    <w:rsid w:val="7B8A4CFC"/>
    <w:rsid w:val="7C410E37"/>
    <w:rsid w:val="7CAE062D"/>
    <w:rsid w:val="7D5C0462"/>
    <w:rsid w:val="7EC15E54"/>
    <w:rsid w:val="7F515A9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方正小标宋_GBK"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szCs w:val="24"/>
      <w:lang w:val="en-US" w:eastAsia="zh-CN" w:bidi="ar-SA"/>
    </w:rPr>
  </w:style>
  <w:style w:type="paragraph" w:styleId="5">
    <w:name w:val="heading 1"/>
    <w:basedOn w:val="1"/>
    <w:next w:val="1"/>
    <w:link w:val="35"/>
    <w:qFormat/>
    <w:uiPriority w:val="0"/>
    <w:pPr>
      <w:spacing w:before="100" w:beforeAutospacing="1" w:after="100" w:afterAutospacing="1"/>
      <w:jc w:val="left"/>
      <w:outlineLvl w:val="0"/>
    </w:pPr>
    <w:rPr>
      <w:rFonts w:hint="eastAsia" w:ascii="宋体" w:hAnsi="宋体" w:eastAsia="宋体"/>
      <w:b/>
      <w:bCs/>
      <w:kern w:val="44"/>
      <w:sz w:val="48"/>
      <w:szCs w:val="48"/>
    </w:rPr>
  </w:style>
  <w:style w:type="paragraph" w:styleId="6">
    <w:name w:val="heading 2"/>
    <w:basedOn w:val="1"/>
    <w:next w:val="1"/>
    <w:link w:val="36"/>
    <w:unhideWhenUsed/>
    <w:qFormat/>
    <w:uiPriority w:val="9"/>
    <w:pPr>
      <w:keepNext/>
      <w:keepLines/>
      <w:spacing w:before="260" w:after="260" w:line="416" w:lineRule="auto"/>
      <w:outlineLvl w:val="1"/>
    </w:pPr>
    <w:rPr>
      <w:rFonts w:ascii="Calibri Light" w:hAnsi="Calibri Light" w:eastAsia="宋体"/>
      <w:b/>
      <w:bCs/>
      <w:szCs w:val="32"/>
    </w:rPr>
  </w:style>
  <w:style w:type="paragraph" w:styleId="7">
    <w:name w:val="heading 3"/>
    <w:basedOn w:val="1"/>
    <w:next w:val="1"/>
    <w:link w:val="37"/>
    <w:qFormat/>
    <w:uiPriority w:val="0"/>
    <w:pPr>
      <w:spacing w:before="100" w:beforeAutospacing="1" w:after="100" w:afterAutospacing="1"/>
      <w:jc w:val="left"/>
      <w:outlineLvl w:val="2"/>
    </w:pPr>
    <w:rPr>
      <w:rFonts w:ascii="宋体" w:eastAsia="宋体"/>
      <w:b/>
      <w:kern w:val="0"/>
      <w:sz w:val="27"/>
      <w:szCs w:val="27"/>
    </w:rPr>
  </w:style>
  <w:style w:type="paragraph" w:styleId="8">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8">
    <w:name w:val="Default Paragraph Font"/>
    <w:unhideWhenUsed/>
    <w:qFormat/>
    <w:uiPriority w:val="1"/>
  </w:style>
  <w:style w:type="table" w:default="1" w:styleId="26">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Message Header"/>
    <w:basedOn w:val="1"/>
    <w:next w:val="3"/>
    <w:link w:val="33"/>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sz w:val="24"/>
    </w:rPr>
  </w:style>
  <w:style w:type="paragraph" w:styleId="3">
    <w:name w:val="Body Text"/>
    <w:basedOn w:val="1"/>
    <w:next w:val="4"/>
    <w:link w:val="34"/>
    <w:qFormat/>
    <w:uiPriority w:val="0"/>
    <w:pPr>
      <w:spacing w:after="120"/>
    </w:pPr>
    <w:rPr>
      <w:rFonts w:ascii="Calibri" w:hAnsi="Calibri"/>
      <w:kern w:val="0"/>
    </w:rPr>
  </w:style>
  <w:style w:type="paragraph" w:styleId="4">
    <w:name w:val="Body Text First Indent"/>
    <w:basedOn w:val="3"/>
    <w:next w:val="1"/>
    <w:qFormat/>
    <w:uiPriority w:val="0"/>
    <w:pPr>
      <w:ind w:firstLine="100" w:firstLineChars="100"/>
    </w:pPr>
    <w:rPr>
      <w:rFonts w:ascii="Times New Roman" w:hAnsi="Times New Roman" w:eastAsia="宋体"/>
      <w:kern w:val="2"/>
      <w:sz w:val="21"/>
      <w:szCs w:val="22"/>
    </w:rPr>
  </w:style>
  <w:style w:type="paragraph" w:styleId="9">
    <w:name w:val="table of authorities"/>
    <w:basedOn w:val="1"/>
    <w:next w:val="1"/>
    <w:qFormat/>
    <w:uiPriority w:val="0"/>
    <w:pPr>
      <w:ind w:left="420" w:leftChars="200"/>
    </w:pPr>
    <w:rPr>
      <w:rFonts w:ascii="Calibri" w:hAnsi="Calibri" w:eastAsia="仿宋_GB2312"/>
    </w:rPr>
  </w:style>
  <w:style w:type="paragraph" w:styleId="10">
    <w:name w:val="index 6"/>
    <w:basedOn w:val="1"/>
    <w:next w:val="1"/>
    <w:qFormat/>
    <w:uiPriority w:val="0"/>
    <w:pPr>
      <w:ind w:left="2100"/>
    </w:pPr>
  </w:style>
  <w:style w:type="paragraph" w:styleId="11">
    <w:name w:val="Body Text Indent"/>
    <w:basedOn w:val="1"/>
    <w:link w:val="38"/>
    <w:qFormat/>
    <w:uiPriority w:val="0"/>
    <w:pPr>
      <w:spacing w:after="120"/>
      <w:ind w:left="420" w:leftChars="200"/>
    </w:pPr>
  </w:style>
  <w:style w:type="paragraph" w:styleId="12">
    <w:name w:val="toc 5"/>
    <w:basedOn w:val="1"/>
    <w:next w:val="1"/>
    <w:qFormat/>
    <w:uiPriority w:val="0"/>
    <w:pPr>
      <w:ind w:left="1680"/>
    </w:pPr>
  </w:style>
  <w:style w:type="paragraph" w:styleId="13">
    <w:name w:val="toc 3"/>
    <w:basedOn w:val="1"/>
    <w:next w:val="1"/>
    <w:qFormat/>
    <w:uiPriority w:val="0"/>
    <w:pPr>
      <w:wordWrap w:val="0"/>
      <w:ind w:left="1193"/>
    </w:pPr>
    <w:rPr>
      <w:rFonts w:ascii="宋体" w:hAnsi="宋体"/>
      <w:szCs w:val="22"/>
    </w:rPr>
  </w:style>
  <w:style w:type="paragraph" w:styleId="14">
    <w:name w:val="Plain Text"/>
    <w:basedOn w:val="1"/>
    <w:unhideWhenUsed/>
    <w:qFormat/>
    <w:uiPriority w:val="99"/>
    <w:rPr>
      <w:rFonts w:ascii="宋体" w:hAnsi="Courier New" w:cs="Courier New"/>
      <w:szCs w:val="21"/>
    </w:rPr>
  </w:style>
  <w:style w:type="paragraph" w:styleId="15">
    <w:name w:val="Date"/>
    <w:basedOn w:val="1"/>
    <w:next w:val="1"/>
    <w:link w:val="39"/>
    <w:qFormat/>
    <w:uiPriority w:val="99"/>
    <w:pPr>
      <w:keepNext w:val="0"/>
      <w:keepLines w:val="0"/>
      <w:widowControl w:val="0"/>
      <w:suppressLineNumbers w:val="0"/>
      <w:spacing w:before="0" w:beforeAutospacing="0" w:after="0" w:afterAutospacing="0"/>
      <w:ind w:left="0" w:right="0"/>
      <w:jc w:val="both"/>
    </w:pPr>
    <w:rPr>
      <w:rFonts w:hint="default" w:ascii="Calibri" w:hAnsi="Calibri" w:eastAsia="方正仿宋_GBK" w:cs="Times New Roman"/>
      <w:kern w:val="2"/>
      <w:sz w:val="32"/>
      <w:szCs w:val="32"/>
      <w:lang w:val="en-US" w:eastAsia="zh-CN" w:bidi="ar"/>
    </w:rPr>
  </w:style>
  <w:style w:type="paragraph" w:styleId="16">
    <w:name w:val="Body Text Indent 2"/>
    <w:basedOn w:val="1"/>
    <w:qFormat/>
    <w:uiPriority w:val="0"/>
    <w:pPr>
      <w:ind w:right="-147" w:rightChars="-70" w:firstLine="640" w:firstLineChars="200"/>
    </w:pPr>
    <w:rPr>
      <w:rFonts w:ascii="仿宋_GB2312" w:hAnsi="宋体" w:eastAsia="仿宋_GB2312"/>
      <w:color w:val="000000"/>
      <w:kern w:val="0"/>
      <w:szCs w:val="28"/>
    </w:rPr>
  </w:style>
  <w:style w:type="paragraph" w:styleId="17">
    <w:name w:val="Balloon Text"/>
    <w:basedOn w:val="1"/>
    <w:link w:val="40"/>
    <w:qFormat/>
    <w:uiPriority w:val="99"/>
    <w:rPr>
      <w:sz w:val="18"/>
      <w:szCs w:val="18"/>
    </w:rPr>
  </w:style>
  <w:style w:type="paragraph" w:styleId="18">
    <w:name w:val="footer"/>
    <w:basedOn w:val="1"/>
    <w:link w:val="41"/>
    <w:qFormat/>
    <w:uiPriority w:val="99"/>
    <w:pPr>
      <w:tabs>
        <w:tab w:val="center" w:pos="4153"/>
        <w:tab w:val="right" w:pos="8306"/>
      </w:tabs>
      <w:snapToGrid w:val="0"/>
      <w:jc w:val="left"/>
    </w:pPr>
    <w:rPr>
      <w:sz w:val="18"/>
      <w:szCs w:val="18"/>
    </w:rPr>
  </w:style>
  <w:style w:type="paragraph" w:styleId="19">
    <w:name w:val="header"/>
    <w:basedOn w:val="1"/>
    <w:link w:val="42"/>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0"/>
  </w:style>
  <w:style w:type="paragraph" w:styleId="21">
    <w:name w:val="toc 4"/>
    <w:basedOn w:val="1"/>
    <w:next w:val="1"/>
    <w:qFormat/>
    <w:uiPriority w:val="0"/>
    <w:pPr>
      <w:ind w:left="1260"/>
    </w:pPr>
  </w:style>
  <w:style w:type="paragraph" w:styleId="22">
    <w:name w:val="toc 2"/>
    <w:basedOn w:val="1"/>
    <w:next w:val="1"/>
    <w:qFormat/>
    <w:uiPriority w:val="0"/>
    <w:pPr>
      <w:ind w:left="420"/>
    </w:pPr>
  </w:style>
  <w:style w:type="paragraph" w:styleId="23">
    <w:name w:val="Normal (Web)"/>
    <w:basedOn w:val="1"/>
    <w:qFormat/>
    <w:uiPriority w:val="0"/>
    <w:pPr>
      <w:widowControl/>
      <w:spacing w:before="100" w:after="100"/>
      <w:jc w:val="left"/>
    </w:pPr>
    <w:rPr>
      <w:rFonts w:hint="eastAsia" w:ascii="宋体" w:hAnsi="宋体" w:eastAsia="宋体"/>
      <w:kern w:val="0"/>
      <w:sz w:val="24"/>
      <w:szCs w:val="32"/>
    </w:rPr>
  </w:style>
  <w:style w:type="paragraph" w:styleId="24">
    <w:name w:val="Title"/>
    <w:basedOn w:val="1"/>
    <w:next w:val="1"/>
    <w:qFormat/>
    <w:uiPriority w:val="0"/>
    <w:pPr>
      <w:spacing w:before="240" w:after="60"/>
      <w:jc w:val="center"/>
      <w:outlineLvl w:val="0"/>
    </w:pPr>
    <w:rPr>
      <w:rFonts w:ascii="Cambria" w:hAnsi="Cambria" w:eastAsia="宋体"/>
      <w:b/>
      <w:bCs/>
      <w:sz w:val="30"/>
    </w:rPr>
  </w:style>
  <w:style w:type="paragraph" w:styleId="25">
    <w:name w:val="Body Text First Indent 2"/>
    <w:basedOn w:val="11"/>
    <w:next w:val="1"/>
    <w:qFormat/>
    <w:uiPriority w:val="99"/>
    <w:pPr>
      <w:spacing w:after="0"/>
      <w:ind w:firstLine="420" w:firstLineChars="200"/>
    </w:pPr>
  </w:style>
  <w:style w:type="table" w:styleId="27">
    <w:name w:val="Table Grid"/>
    <w:basedOn w:val="26"/>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9">
    <w:name w:val="Strong"/>
    <w:basedOn w:val="28"/>
    <w:qFormat/>
    <w:uiPriority w:val="0"/>
    <w:rPr>
      <w:b/>
    </w:rPr>
  </w:style>
  <w:style w:type="character" w:styleId="30">
    <w:name w:val="page number"/>
    <w:basedOn w:val="28"/>
    <w:qFormat/>
    <w:uiPriority w:val="0"/>
    <w:rPr>
      <w:rFonts w:cs="Times New Roman"/>
    </w:rPr>
  </w:style>
  <w:style w:type="character" w:styleId="31">
    <w:name w:val="Emphasis"/>
    <w:qFormat/>
    <w:uiPriority w:val="0"/>
    <w:rPr>
      <w:i/>
    </w:rPr>
  </w:style>
  <w:style w:type="character" w:styleId="32">
    <w:name w:val="Hyperlink"/>
    <w:qFormat/>
    <w:uiPriority w:val="0"/>
    <w:rPr>
      <w:rFonts w:ascii="Times New Roman" w:hAnsi="Times New Roman" w:eastAsia="宋体" w:cs="Times New Roman"/>
      <w:color w:val="0000FF"/>
      <w:u w:val="single"/>
      <w:lang w:val="en-US" w:eastAsia="zh-CN" w:bidi="ar-SA"/>
    </w:rPr>
  </w:style>
  <w:style w:type="character" w:customStyle="1" w:styleId="33">
    <w:name w:val="信息标题 字符"/>
    <w:basedOn w:val="28"/>
    <w:link w:val="2"/>
    <w:qFormat/>
    <w:uiPriority w:val="0"/>
    <w:rPr>
      <w:rFonts w:ascii="Cambria" w:hAnsi="Cambria"/>
      <w:kern w:val="2"/>
      <w:sz w:val="24"/>
      <w:szCs w:val="24"/>
      <w:shd w:val="pct20" w:color="auto" w:fill="auto"/>
    </w:rPr>
  </w:style>
  <w:style w:type="character" w:customStyle="1" w:styleId="34">
    <w:name w:val="正文文本 字符"/>
    <w:basedOn w:val="28"/>
    <w:link w:val="3"/>
    <w:qFormat/>
    <w:uiPriority w:val="0"/>
    <w:rPr>
      <w:rFonts w:ascii="Calibri" w:hAnsi="Calibri" w:eastAsia="方正仿宋_GBK"/>
      <w:sz w:val="32"/>
      <w:szCs w:val="24"/>
    </w:rPr>
  </w:style>
  <w:style w:type="character" w:customStyle="1" w:styleId="35">
    <w:name w:val="标题 1 字符"/>
    <w:basedOn w:val="28"/>
    <w:link w:val="5"/>
    <w:qFormat/>
    <w:uiPriority w:val="0"/>
    <w:rPr>
      <w:rFonts w:ascii="宋体" w:hAnsi="宋体"/>
      <w:b/>
      <w:bCs/>
      <w:kern w:val="44"/>
      <w:sz w:val="48"/>
      <w:szCs w:val="48"/>
    </w:rPr>
  </w:style>
  <w:style w:type="character" w:customStyle="1" w:styleId="36">
    <w:name w:val="标题 2 字符"/>
    <w:basedOn w:val="28"/>
    <w:link w:val="6"/>
    <w:semiHidden/>
    <w:qFormat/>
    <w:uiPriority w:val="9"/>
    <w:rPr>
      <w:rFonts w:ascii="Calibri Light" w:hAnsi="Calibri Light"/>
      <w:b/>
      <w:bCs/>
      <w:kern w:val="2"/>
      <w:sz w:val="32"/>
      <w:szCs w:val="32"/>
    </w:rPr>
  </w:style>
  <w:style w:type="character" w:customStyle="1" w:styleId="37">
    <w:name w:val="标题 3 字符"/>
    <w:basedOn w:val="28"/>
    <w:link w:val="7"/>
    <w:qFormat/>
    <w:uiPriority w:val="0"/>
    <w:rPr>
      <w:rFonts w:ascii="宋体"/>
      <w:b/>
      <w:sz w:val="27"/>
      <w:szCs w:val="27"/>
    </w:rPr>
  </w:style>
  <w:style w:type="character" w:customStyle="1" w:styleId="38">
    <w:name w:val="正文文本缩进 字符"/>
    <w:basedOn w:val="28"/>
    <w:link w:val="11"/>
    <w:qFormat/>
    <w:uiPriority w:val="0"/>
    <w:rPr>
      <w:rFonts w:eastAsia="方正仿宋_GBK"/>
      <w:kern w:val="2"/>
      <w:sz w:val="32"/>
      <w:szCs w:val="24"/>
    </w:rPr>
  </w:style>
  <w:style w:type="character" w:customStyle="1" w:styleId="39">
    <w:name w:val="日期 字符"/>
    <w:link w:val="15"/>
    <w:qFormat/>
    <w:locked/>
    <w:uiPriority w:val="99"/>
    <w:rPr>
      <w:rFonts w:eastAsia="方正仿宋_GBK" w:cs="Times New Roman"/>
      <w:kern w:val="2"/>
      <w:sz w:val="24"/>
      <w:szCs w:val="24"/>
    </w:rPr>
  </w:style>
  <w:style w:type="character" w:customStyle="1" w:styleId="40">
    <w:name w:val="批注框文本 字符"/>
    <w:link w:val="17"/>
    <w:qFormat/>
    <w:uiPriority w:val="99"/>
    <w:rPr>
      <w:rFonts w:eastAsia="方正仿宋_GBK"/>
      <w:kern w:val="2"/>
      <w:sz w:val="18"/>
      <w:szCs w:val="18"/>
    </w:rPr>
  </w:style>
  <w:style w:type="character" w:customStyle="1" w:styleId="41">
    <w:name w:val="页脚 字符"/>
    <w:link w:val="18"/>
    <w:qFormat/>
    <w:locked/>
    <w:uiPriority w:val="99"/>
    <w:rPr>
      <w:rFonts w:eastAsia="方正仿宋_GBK" w:cs="Times New Roman"/>
      <w:kern w:val="2"/>
      <w:sz w:val="18"/>
      <w:szCs w:val="18"/>
    </w:rPr>
  </w:style>
  <w:style w:type="character" w:customStyle="1" w:styleId="42">
    <w:name w:val="页眉 字符"/>
    <w:link w:val="19"/>
    <w:qFormat/>
    <w:locked/>
    <w:uiPriority w:val="99"/>
    <w:rPr>
      <w:rFonts w:eastAsia="方正仿宋_GBK" w:cs="Times New Roman"/>
      <w:kern w:val="2"/>
      <w:sz w:val="18"/>
      <w:szCs w:val="18"/>
    </w:rPr>
  </w:style>
  <w:style w:type="paragraph" w:customStyle="1" w:styleId="43">
    <w:name w:val="默认"/>
    <w:qFormat/>
    <w:uiPriority w:val="0"/>
    <w:rPr>
      <w:rFonts w:ascii="Helvetica" w:hAnsi="Helvetica" w:eastAsia="Helvetica" w:cs="Helvetica"/>
      <w:color w:val="000000"/>
      <w:sz w:val="22"/>
      <w:szCs w:val="22"/>
      <w:lang w:val="en-US" w:eastAsia="zh-CN" w:bidi="ar-SA"/>
    </w:rPr>
  </w:style>
  <w:style w:type="character" w:customStyle="1" w:styleId="44">
    <w:name w:val="font41"/>
    <w:qFormat/>
    <w:uiPriority w:val="0"/>
    <w:rPr>
      <w:rFonts w:hint="eastAsia" w:ascii="宋体" w:hAnsi="宋体" w:eastAsia="宋体" w:cs="宋体"/>
      <w:color w:val="000000"/>
      <w:sz w:val="20"/>
      <w:szCs w:val="20"/>
      <w:u w:val="none"/>
      <w:lang w:val="en-US" w:eastAsia="zh-CN" w:bidi="ar-SA"/>
    </w:rPr>
  </w:style>
  <w:style w:type="character" w:customStyle="1" w:styleId="45">
    <w:name w:val="font51"/>
    <w:basedOn w:val="28"/>
    <w:qFormat/>
    <w:uiPriority w:val="0"/>
    <w:rPr>
      <w:rFonts w:hint="eastAsia" w:ascii="宋体" w:hAnsi="宋体" w:eastAsia="宋体" w:cs="宋体"/>
      <w:color w:val="auto"/>
      <w:sz w:val="20"/>
      <w:szCs w:val="20"/>
      <w:u w:val="none"/>
      <w:lang w:val="en-US" w:eastAsia="zh-CN" w:bidi="ar-SA"/>
    </w:rPr>
  </w:style>
  <w:style w:type="character" w:customStyle="1" w:styleId="46">
    <w:name w:val="font01"/>
    <w:qFormat/>
    <w:uiPriority w:val="0"/>
    <w:rPr>
      <w:rFonts w:hint="eastAsia" w:ascii="方正仿宋_GBK" w:hAnsi="方正仿宋_GBK" w:eastAsia="方正仿宋_GBK" w:cs="方正仿宋_GBK"/>
      <w:color w:val="000000"/>
      <w:sz w:val="24"/>
      <w:szCs w:val="24"/>
      <w:u w:val="none"/>
    </w:rPr>
  </w:style>
  <w:style w:type="character" w:customStyle="1" w:styleId="47">
    <w:name w:val="font21"/>
    <w:basedOn w:val="28"/>
    <w:qFormat/>
    <w:uiPriority w:val="0"/>
    <w:rPr>
      <w:rFonts w:hint="eastAsia" w:ascii="方正仿宋_GBK" w:hAnsi="方正仿宋_GBK" w:eastAsia="方正仿宋_GBK" w:cs="方正仿宋_GBK"/>
      <w:color w:val="000000"/>
      <w:sz w:val="22"/>
      <w:szCs w:val="22"/>
      <w:u w:val="none"/>
    </w:rPr>
  </w:style>
  <w:style w:type="character" w:customStyle="1" w:styleId="48">
    <w:name w:val="font81"/>
    <w:basedOn w:val="28"/>
    <w:qFormat/>
    <w:uiPriority w:val="0"/>
    <w:rPr>
      <w:rFonts w:hint="default" w:ascii="Times New Roman" w:hAnsi="Times New Roman" w:cs="Times New Roman"/>
      <w:color w:val="000000"/>
      <w:sz w:val="22"/>
      <w:szCs w:val="22"/>
      <w:u w:val="none"/>
    </w:rPr>
  </w:style>
  <w:style w:type="character" w:customStyle="1" w:styleId="49">
    <w:name w:val="font11"/>
    <w:basedOn w:val="28"/>
    <w:qFormat/>
    <w:uiPriority w:val="0"/>
    <w:rPr>
      <w:rFonts w:hint="default" w:ascii="Times New Roman" w:hAnsi="Times New Roman" w:cs="Times New Roman"/>
      <w:color w:val="000000"/>
      <w:sz w:val="22"/>
      <w:szCs w:val="22"/>
      <w:u w:val="none"/>
    </w:rPr>
  </w:style>
  <w:style w:type="character" w:customStyle="1" w:styleId="50">
    <w:name w:val="font31"/>
    <w:basedOn w:val="28"/>
    <w:qFormat/>
    <w:uiPriority w:val="0"/>
    <w:rPr>
      <w:rFonts w:hint="eastAsia" w:ascii="宋体" w:hAnsi="宋体" w:eastAsia="宋体" w:cs="宋体"/>
      <w:color w:val="000000"/>
      <w:sz w:val="20"/>
      <w:szCs w:val="20"/>
      <w:u w:val="none"/>
      <w:lang w:val="en-US" w:eastAsia="zh-CN" w:bidi="ar-SA"/>
    </w:rPr>
  </w:style>
  <w:style w:type="character" w:customStyle="1" w:styleId="51">
    <w:name w:val="未处理的提及1"/>
    <w:unhideWhenUsed/>
    <w:qFormat/>
    <w:uiPriority w:val="99"/>
    <w:rPr>
      <w:rFonts w:ascii="Times New Roman" w:hAnsi="Times New Roman" w:eastAsia="宋体" w:cs="Times New Roman"/>
      <w:color w:val="605E5C"/>
      <w:shd w:val="clear" w:color="auto" w:fill="E1DFDD"/>
      <w:lang w:val="en-US" w:eastAsia="zh-CN" w:bidi="ar-SA"/>
    </w:rPr>
  </w:style>
  <w:style w:type="character" w:customStyle="1" w:styleId="52">
    <w:name w:val="15"/>
    <w:qFormat/>
    <w:uiPriority w:val="0"/>
    <w:rPr>
      <w:rFonts w:hint="default" w:ascii="Times New Roman" w:hAnsi="Times New Roman" w:eastAsia="宋体" w:cs="Times New Roman"/>
      <w:b/>
      <w:lang w:val="en-US" w:eastAsia="zh-CN" w:bidi="ar-SA"/>
    </w:rPr>
  </w:style>
  <w:style w:type="character" w:customStyle="1" w:styleId="53">
    <w:name w:val="font61"/>
    <w:basedOn w:val="28"/>
    <w:qFormat/>
    <w:uiPriority w:val="0"/>
    <w:rPr>
      <w:rFonts w:hint="eastAsia" w:ascii="方正仿宋_GBK" w:hAnsi="方正仿宋_GBK" w:eastAsia="方正仿宋_GBK" w:cs="方正仿宋_GBK"/>
      <w:color w:val="000000"/>
      <w:sz w:val="22"/>
      <w:szCs w:val="22"/>
      <w:u w:val="none"/>
    </w:rPr>
  </w:style>
  <w:style w:type="paragraph" w:styleId="54">
    <w:name w:val="List Paragraph"/>
    <w:basedOn w:val="1"/>
    <w:qFormat/>
    <w:uiPriority w:val="99"/>
    <w:pPr>
      <w:ind w:firstLine="420" w:firstLineChars="200"/>
    </w:pPr>
    <w:rPr>
      <w:rFonts w:ascii="Calibri" w:hAnsi="Calibri"/>
    </w:rPr>
  </w:style>
  <w:style w:type="paragraph" w:customStyle="1" w:styleId="55">
    <w:name w:val="正文 A"/>
    <w:qFormat/>
    <w:uiPriority w:val="0"/>
    <w:pPr>
      <w:widowControl w:val="0"/>
      <w:jc w:val="both"/>
    </w:pPr>
    <w:rPr>
      <w:rFonts w:hint="eastAsia" w:ascii="Arial Unicode MS" w:hAnsi="Arial Unicode MS" w:eastAsia="Arial Unicode MS" w:cs="Arial Unicode MS"/>
      <w:b/>
      <w:bCs/>
      <w:color w:val="000000"/>
      <w:sz w:val="44"/>
      <w:szCs w:val="44"/>
      <w:lang w:val="en-US" w:eastAsia="zh-CN" w:bidi="ar-SA"/>
    </w:rPr>
  </w:style>
  <w:style w:type="paragraph" w:customStyle="1" w:styleId="56">
    <w:name w:val="列出段落1"/>
    <w:basedOn w:val="1"/>
    <w:unhideWhenUsed/>
    <w:qFormat/>
    <w:uiPriority w:val="34"/>
    <w:pPr>
      <w:ind w:firstLine="420" w:firstLineChars="200"/>
    </w:pPr>
    <w:rPr>
      <w:rFonts w:ascii="Calibri" w:hAnsi="Calibri" w:eastAsia="宋体"/>
    </w:rPr>
  </w:style>
  <w:style w:type="paragraph" w:customStyle="1" w:styleId="57">
    <w:name w:val="Default"/>
    <w:basedOn w:val="14"/>
    <w:unhideWhenUsed/>
    <w:qFormat/>
    <w:uiPriority w:val="0"/>
    <w:pPr>
      <w:widowControl w:val="0"/>
      <w:autoSpaceDE w:val="0"/>
      <w:autoSpaceDN w:val="0"/>
      <w:adjustRightInd w:val="0"/>
    </w:pPr>
    <w:rPr>
      <w:rFonts w:hint="eastAsia" w:ascii="方正黑体_GBK" w:hAnsi="Times New Roman" w:eastAsia="方正黑体_GBK" w:cs="Times New Roman"/>
      <w:color w:val="000000"/>
      <w:sz w:val="24"/>
      <w:szCs w:val="22"/>
      <w:lang w:val="en-US" w:eastAsia="zh-CN" w:bidi="ar-SA"/>
    </w:rPr>
  </w:style>
  <w:style w:type="paragraph" w:customStyle="1" w:styleId="58">
    <w:name w:val="p0"/>
    <w:basedOn w:val="1"/>
    <w:qFormat/>
    <w:uiPriority w:val="0"/>
    <w:pPr>
      <w:widowControl/>
    </w:pPr>
    <w:rPr>
      <w:rFonts w:eastAsia="宋体"/>
      <w:kern w:val="0"/>
      <w:sz w:val="21"/>
      <w:szCs w:val="21"/>
    </w:rPr>
  </w:style>
  <w:style w:type="paragraph" w:customStyle="1" w:styleId="59">
    <w:name w:val="trs_editor"/>
    <w:basedOn w:val="1"/>
    <w:qFormat/>
    <w:uiPriority w:val="0"/>
    <w:pPr>
      <w:widowControl/>
      <w:spacing w:before="100" w:beforeAutospacing="1" w:after="100" w:afterAutospacing="1"/>
      <w:jc w:val="left"/>
    </w:pPr>
    <w:rPr>
      <w:rFonts w:ascii="宋体" w:eastAsia="宋体" w:cs="宋体"/>
      <w:kern w:val="0"/>
      <w:sz w:val="24"/>
    </w:rPr>
  </w:style>
  <w:style w:type="paragraph" w:customStyle="1" w:styleId="60">
    <w:name w:val="大标题"/>
    <w:basedOn w:val="23"/>
    <w:qFormat/>
    <w:uiPriority w:val="0"/>
    <w:pPr>
      <w:snapToGrid w:val="0"/>
      <w:spacing w:beforeAutospacing="1" w:afterAutospacing="1" w:line="600" w:lineRule="exact"/>
      <w:jc w:val="center"/>
    </w:pPr>
    <w:rPr>
      <w:rFonts w:eastAsia="方正小标宋_GBK"/>
      <w:color w:val="000000"/>
      <w:sz w:val="44"/>
      <w:szCs w:val="44"/>
    </w:rPr>
  </w:style>
  <w:style w:type="paragraph" w:customStyle="1" w:styleId="61">
    <w:name w:val="NormalIndent"/>
    <w:basedOn w:val="1"/>
    <w:qFormat/>
    <w:uiPriority w:val="0"/>
    <w:pPr>
      <w:ind w:firstLine="200" w:firstLineChars="200"/>
      <w:textAlignment w:val="baseline"/>
    </w:pPr>
    <w:rPr>
      <w:rFonts w:eastAsia="宋体"/>
      <w:sz w:val="21"/>
      <w:szCs w:val="22"/>
    </w:rPr>
  </w:style>
  <w:style w:type="paragraph" w:customStyle="1" w:styleId="62">
    <w:name w:val="样式 10 磅"/>
    <w:next w:val="22"/>
    <w:qFormat/>
    <w:uiPriority w:val="0"/>
    <w:pPr>
      <w:widowControl w:val="0"/>
      <w:jc w:val="both"/>
    </w:pPr>
    <w:rPr>
      <w:rFonts w:ascii="Calibri" w:hAnsi="Calibri" w:eastAsia="宋体" w:cs="Times New Roman"/>
      <w:kern w:val="2"/>
      <w:sz w:val="21"/>
      <w:szCs w:val="24"/>
      <w:lang w:val="en-US" w:eastAsia="zh-CN" w:bidi="ar-SA"/>
    </w:rPr>
  </w:style>
  <w:style w:type="paragraph" w:customStyle="1" w:styleId="63">
    <w:name w:val="样式 1 10 磅"/>
    <w:next w:val="13"/>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
    <w:name w:val="样式 三号"/>
    <w:qFormat/>
    <w:uiPriority w:val="0"/>
    <w:pPr>
      <w:widowControl w:val="0"/>
      <w:jc w:val="both"/>
    </w:pPr>
    <w:rPr>
      <w:rFonts w:ascii="Calibri" w:hAnsi="Calibri" w:eastAsia="方正仿宋_GBK" w:cs="Arial"/>
      <w:kern w:val="2"/>
      <w:sz w:val="32"/>
      <w:szCs w:val="24"/>
      <w:lang w:val="en-US" w:eastAsia="zh-CN" w:bidi="ar-SA"/>
    </w:rPr>
  </w:style>
  <w:style w:type="paragraph" w:customStyle="1" w:styleId="65">
    <w:name w:val="标题 21"/>
    <w:basedOn w:val="1"/>
    <w:next w:val="1"/>
    <w:unhideWhenUsed/>
    <w:qFormat/>
    <w:uiPriority w:val="9"/>
    <w:pPr>
      <w:keepNext/>
      <w:keepLines/>
      <w:spacing w:before="260" w:after="260" w:line="416" w:lineRule="auto"/>
      <w:outlineLvl w:val="1"/>
    </w:pPr>
    <w:rPr>
      <w:rFonts w:ascii="Calibri Light" w:hAnsi="Calibri Light" w:eastAsia="宋体"/>
      <w:b/>
      <w:bCs/>
      <w:szCs w:val="32"/>
    </w:rPr>
  </w:style>
  <w:style w:type="paragraph" w:customStyle="1" w:styleId="66">
    <w:name w:val="标题 31"/>
    <w:basedOn w:val="1"/>
    <w:next w:val="1"/>
    <w:unhideWhenUsed/>
    <w:qFormat/>
    <w:uiPriority w:val="0"/>
    <w:pPr>
      <w:keepNext/>
      <w:keepLines/>
      <w:spacing w:line="560" w:lineRule="exact"/>
      <w:ind w:firstLine="200" w:firstLineChars="200"/>
      <w:outlineLvl w:val="2"/>
    </w:pPr>
    <w:rPr>
      <w:rFonts w:ascii="Calibri" w:hAnsi="Calibri"/>
      <w:b/>
      <w:bCs/>
      <w:szCs w:val="32"/>
    </w:rPr>
  </w:style>
  <w:style w:type="table" w:customStyle="1" w:styleId="67">
    <w:name w:val="网格型1"/>
    <w:basedOn w:val="26"/>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8">
    <w:name w:val="索引 51"/>
    <w:basedOn w:val="1"/>
    <w:next w:val="1"/>
    <w:qFormat/>
    <w:uiPriority w:val="0"/>
    <w:pPr>
      <w:ind w:left="1680"/>
    </w:pPr>
  </w:style>
  <w:style w:type="paragraph" w:customStyle="1" w:styleId="69">
    <w:name w:val="Char"/>
    <w:basedOn w:val="1"/>
    <w:qFormat/>
    <w:uiPriority w:val="0"/>
    <w:pPr>
      <w:widowControl/>
      <w:adjustRightInd w:val="0"/>
      <w:snapToGrid w:val="0"/>
      <w:spacing w:after="160" w:line="240" w:lineRule="exact"/>
      <w:jc w:val="left"/>
    </w:pPr>
    <w:rPr>
      <w:rFonts w:ascii="Tahoma" w:hAnsi="Tahoma" w:cs="黑体"/>
      <w:kern w:val="0"/>
      <w:szCs w:val="20"/>
    </w:rPr>
  </w:style>
  <w:style w:type="character" w:customStyle="1" w:styleId="70">
    <w:name w:val="NormalCharacter"/>
    <w:semiHidden/>
    <w:qFormat/>
    <w:uiPriority w:val="0"/>
    <w:rPr>
      <w:rFonts w:eastAsia="方正仿宋_GBK"/>
      <w:kern w:val="2"/>
      <w:sz w:val="32"/>
      <w:szCs w:val="32"/>
      <w:lang w:val="en-US" w:eastAsia="zh-CN" w:bidi="ar-SA"/>
    </w:rPr>
  </w:style>
  <w:style w:type="paragraph" w:customStyle="1" w:styleId="71">
    <w:name w:val="Body text|1"/>
    <w:basedOn w:val="1"/>
    <w:qFormat/>
    <w:uiPriority w:val="0"/>
    <w:pPr>
      <w:spacing w:line="439" w:lineRule="auto"/>
      <w:ind w:firstLine="400"/>
    </w:pPr>
    <w:rPr>
      <w:rFonts w:ascii="宋体" w:hAnsi="宋体" w:eastAsia="宋体" w:cs="宋体"/>
      <w:sz w:val="26"/>
      <w:szCs w:val="26"/>
      <w:lang w:val="zh-TW" w:eastAsia="zh-TW" w:bidi="zh-TW"/>
    </w:rPr>
  </w:style>
  <w:style w:type="paragraph" w:customStyle="1" w:styleId="72">
    <w:name w:val="样式 小三"/>
    <w:qFormat/>
    <w:uiPriority w:val="0"/>
    <w:pPr>
      <w:widowControl w:val="0"/>
      <w:jc w:val="both"/>
    </w:pPr>
    <w:rPr>
      <w:rFonts w:ascii="Times New Roman" w:hAnsi="Times New Roman" w:eastAsia="仿宋_GB2312" w:cs="Times New Roman"/>
      <w:kern w:val="2"/>
      <w:sz w:val="30"/>
      <w:lang w:val="en-US" w:eastAsia="zh-CN" w:bidi="ar-SA"/>
    </w:rPr>
  </w:style>
  <w:style w:type="character" w:customStyle="1" w:styleId="73">
    <w:name w:val="font71"/>
    <w:basedOn w:val="28"/>
    <w:qFormat/>
    <w:uiPriority w:val="0"/>
    <w:rPr>
      <w:rFonts w:hint="eastAsia" w:ascii="仿宋" w:hAnsi="仿宋" w:eastAsia="仿宋" w:cs="仿宋"/>
      <w:b/>
      <w:bCs/>
      <w:color w:val="000000"/>
      <w:sz w:val="20"/>
      <w:szCs w:val="20"/>
      <w:u w:val="none"/>
    </w:rPr>
  </w:style>
  <w:style w:type="character" w:customStyle="1" w:styleId="74">
    <w:name w:val="标题 3 字符1"/>
    <w:basedOn w:val="28"/>
    <w:semiHidden/>
    <w:qFormat/>
    <w:uiPriority w:val="0"/>
    <w:rPr>
      <w:rFonts w:ascii="Calibri" w:hAnsi="Calibri"/>
      <w:b/>
      <w:bCs/>
      <w:kern w:val="2"/>
      <w:sz w:val="32"/>
      <w:szCs w:val="32"/>
    </w:rPr>
  </w:style>
  <w:style w:type="character" w:customStyle="1" w:styleId="75">
    <w:name w:val="标题 2 字符1"/>
    <w:basedOn w:val="28"/>
    <w:semiHidden/>
    <w:qFormat/>
    <w:uiPriority w:val="0"/>
    <w:rPr>
      <w:rFonts w:ascii="Cambria" w:hAnsi="Cambria" w:eastAsia="宋体" w:cs="Times New Roman"/>
      <w:b/>
      <w:bCs/>
      <w:kern w:val="2"/>
      <w:sz w:val="32"/>
      <w:szCs w:val="32"/>
    </w:rPr>
  </w:style>
  <w:style w:type="paragraph" w:customStyle="1" w:styleId="76">
    <w:name w:val="msolistparagraph"/>
    <w:basedOn w:val="1"/>
    <w:qFormat/>
    <w:uiPriority w:val="0"/>
    <w:pPr>
      <w:widowControl/>
      <w:ind w:firstLine="420" w:firstLineChars="200"/>
    </w:pPr>
    <w:rPr>
      <w:rFonts w:ascii="Calibri" w:hAnsi="Calibri"/>
      <w:szCs w:val="32"/>
    </w:rPr>
  </w:style>
  <w:style w:type="paragraph" w:customStyle="1" w:styleId="77">
    <w:name w:val="WPSOffice手动目录 1"/>
    <w:qFormat/>
    <w:uiPriority w:val="0"/>
    <w:rPr>
      <w:rFonts w:ascii="Times New Roman" w:hAnsi="Times New Roman" w:eastAsia="宋体" w:cs="Times New Roman"/>
      <w:lang w:val="en-US" w:eastAsia="zh-CN" w:bidi="ar-SA"/>
    </w:rPr>
  </w:style>
  <w:style w:type="paragraph" w:customStyle="1" w:styleId="78">
    <w:name w:val="正文标题"/>
    <w:basedOn w:val="1"/>
    <w:qFormat/>
    <w:uiPriority w:val="0"/>
    <w:pPr>
      <w:spacing w:line="600" w:lineRule="exact"/>
      <w:jc w:val="center"/>
    </w:pPr>
    <w:rPr>
      <w:rFonts w:ascii="方正小标宋_GBK" w:eastAsia="方正小标宋_GBK" w:cs="方正小标宋_GBK"/>
      <w:kern w:val="2"/>
      <w:sz w:val="44"/>
      <w:szCs w:val="44"/>
      <w:lang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Pages>
  <Words>4483</Words>
  <Characters>4529</Characters>
  <Lines>473</Lines>
  <Paragraphs>133</Paragraphs>
  <TotalTime>0</TotalTime>
  <ScaleCrop>false</ScaleCrop>
  <LinksUpToDate>false</LinksUpToDate>
  <CharactersWithSpaces>4529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2024-03-13T06:59:00Z</dcterms:created>
  <dc:creator>Administrator</dc:creator>
  <cp:lastModifiedBy>Administrator</cp:lastModifiedBy>
  <cp:lastPrinted>2024-03-13T09:17:00Z</cp:lastPrinted>
  <dcterms:modified xsi:type="dcterms:W3CDTF">2026-03-25T09:02:59Z</dcterms:modified>
  <dc:title>重庆市人民政府安全生产委员会</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KSOSaveFontToCloudKey">
    <vt:lpwstr>548878303_embed</vt:lpwstr>
  </property>
  <property fmtid="{D5CDD505-2E9C-101B-9397-08002B2CF9AE}" pid="4" name="ICV">
    <vt:lpwstr>7B1A7DF917AF418CAB78F8E4506B5DE5_13</vt:lpwstr>
  </property>
  <property fmtid="{D5CDD505-2E9C-101B-9397-08002B2CF9AE}" pid="5" name="KSOTemplateDocerSaveRecord">
    <vt:lpwstr>eyJoZGlkIjoiMWYxNGIwYTA2NWEzZmMwMDNlODg5Zjg2M2QwMDBjY2IiLCJ1c2VySWQiOiI0NjMyMjk4OTQifQ==</vt:lpwstr>
  </property>
</Properties>
</file>