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ascii="Times New Roman" w:eastAsia="方正小标宋_GBK" w:cs="Times New Roman" w:hAnsi="Times New Roman"/>
          <w:color w:val="000000"/>
          <w:sz w:val="44"/>
          <w:szCs w:val="44"/>
        </w:rPr>
      </w:pPr>
      <w:r>
        <w:rPr>
          <w:rFonts w:ascii="Times New Roman" w:eastAsia="方正小标宋_GBK" w:cs="Times New Roman" w:hAnsi="Times New Roman"/>
          <w:color w:val="000000"/>
          <w:sz w:val="44"/>
          <w:szCs w:val="44"/>
          <w:lang w:eastAsia="zh-CN"/>
        </w:rPr>
        <w:t>《</w:t>
      </w:r>
      <w:r>
        <w:rPr>
          <w:rFonts w:ascii="Times New Roman" w:eastAsia="方正小标宋_GBK" w:cs="Times New Roman" w:hAnsi="Times New Roman"/>
          <w:color w:val="000000"/>
          <w:sz w:val="44"/>
          <w:szCs w:val="44"/>
        </w:rPr>
        <w:t>重庆市渝中区</w:t>
      </w:r>
      <w:r>
        <w:rPr>
          <w:rFonts w:ascii="Times New Roman" w:eastAsia="方正小标宋_GBK" w:cs="Times New Roman" w:hAnsi="Times New Roman"/>
          <w:color w:val="000000"/>
          <w:sz w:val="44"/>
          <w:szCs w:val="44"/>
          <w:lang w:eastAsia="zh-CN"/>
        </w:rPr>
        <w:t>软件和信息服务</w:t>
      </w:r>
      <w:r>
        <w:rPr>
          <w:rFonts w:ascii="Times New Roman" w:eastAsia="方正小标宋_GBK" w:cs="Times New Roman" w:hAnsi="Times New Roman"/>
          <w:color w:val="000000"/>
          <w:sz w:val="44"/>
          <w:szCs w:val="44"/>
        </w:rPr>
        <w:t>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ascii="Times New Roman" w:eastAsia="方正黑体_GBK" w:cs="Times New Roman" w:hAnsi="Times New Roman"/>
          <w:color w:val="000000"/>
          <w:sz w:val="32"/>
          <w:szCs w:val="40"/>
          <w:lang w:val="en-US" w:eastAsia="zh-CN"/>
        </w:rPr>
      </w:pPr>
      <w:r>
        <w:rPr>
          <w:rFonts w:ascii="Times New Roman" w:eastAsia="方正小标宋_GBK" w:cs="Times New Roman" w:hAnsi="Times New Roman"/>
          <w:color w:val="000000"/>
          <w:sz w:val="44"/>
          <w:szCs w:val="44"/>
        </w:rPr>
        <w:t>扶持办法</w:t>
      </w:r>
      <w:r>
        <w:rPr>
          <w:rFonts w:ascii="Times New Roman" w:eastAsia="方正小标宋_GBK" w:cs="Times New Roman" w:hAnsi="Times New Roman"/>
          <w:color w:val="000000"/>
          <w:sz w:val="44"/>
          <w:szCs w:val="44"/>
          <w:lang w:eastAsia="zh-CN"/>
        </w:rPr>
        <w:t>（试行）</w:t>
      </w:r>
      <w:bookmarkStart w:id="0" w:name="_GoBack"/>
      <w:bookmarkEnd w:id="0"/>
      <w:r>
        <w:rPr>
          <w:rFonts w:ascii="Times New Roman" w:eastAsia="方正小标宋_GBK" w:cs="Times New Roman" w:hAnsi="Times New Roman"/>
          <w:color w:val="000000"/>
          <w:sz w:val="44"/>
          <w:szCs w:val="44"/>
          <w:lang w:eastAsia="zh-CN"/>
        </w:rPr>
        <w:t>》</w:t>
      </w:r>
      <w:r>
        <w:rPr>
          <w:rFonts w:ascii="Times New Roman" w:eastAsia="方正小标宋_GBK" w:cs="Times New Roman" w:hAnsi="Times New Roman"/>
          <w:color w:val="000000"/>
          <w:sz w:val="44"/>
          <w:szCs w:val="44"/>
          <w:lang w:val="en-US" w:eastAsia="zh-CN"/>
        </w:rPr>
        <w:t>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ascii="Times New Roman" w:eastAsia="方正黑体_GBK" w:cs="Times New Roman" w:hAnsi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40"/>
          <w:lang w:val="en-US" w:eastAsia="zh-CN"/>
        </w:rPr>
      </w:pPr>
      <w:r>
        <w:rPr>
          <w:rFonts w:ascii="Times New Roman" w:eastAsia="方正仿宋_GBK" w:cs="Times New Roman" w:hAnsi="Times New Roman"/>
          <w:sz w:val="32"/>
          <w:szCs w:val="40"/>
          <w:lang w:val="en-US" w:eastAsia="zh-CN"/>
        </w:rPr>
        <w:t>日前，重庆市渝中区人民政府印发了《重庆市渝中区软件和信息服务业发展扶持办法（试行）》（以下简称《扶持办法（试行）》）。现就《扶持办法（试行）》内容解读如下：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40"/>
          <w:lang w:val="en-US" w:eastAsia="zh-CN"/>
        </w:rPr>
      </w:pPr>
      <w:r>
        <w:rPr>
          <w:rFonts w:ascii="Times New Roman" w:eastAsia="方正黑体_GBK" w:cs="Times New Roman" w:hAnsi="Times New Roman"/>
          <w:sz w:val="32"/>
          <w:szCs w:val="40"/>
          <w:lang w:val="en-US" w:eastAsia="zh-CN"/>
        </w:rPr>
        <w:t>一、制定背景和依据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40"/>
          <w:lang w:val="en-US" w:eastAsia="zh-CN"/>
        </w:rPr>
      </w:pPr>
      <w:r>
        <w:rPr>
          <w:rFonts w:ascii="Times New Roman" w:eastAsia="方正仿宋_GBK" w:cs="Times New Roman" w:hAnsi="Times New Roman"/>
          <w:sz w:val="32"/>
          <w:szCs w:val="40"/>
          <w:lang w:val="en-US" w:eastAsia="zh-CN"/>
        </w:rPr>
        <w:t>《重庆市软件和信息服务业“满天星”行动计划（2022—2025年）》（渝府办〔2022〕21号）明确，要加快形成中心城区全域发展软件和信息服务企业“满天星”发展态势，加速实现“人气聚起来、楼宇用起来、产业兴起来”。渝中区深入学习习近平总书记关于数字经济的重要论述，全面贯彻市第六次党代会精神，认真按照市委、市政府关于软件产业发展系列会议安排部署，坚持产业至上、企业至上、人才至上理念，根据工作安排以及实际工作需要，制定出台《重庆市渝中区软件和信息服务业发展扶持办法（试行）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Chars="200" w:firstLine="640"/>
        <w:textAlignment w:val="auto"/>
        <w:rPr>
          <w:rFonts w:ascii="Times New Roman" w:eastAsia="方正黑体_GBK" w:cs="Times New Roman" w:hAnsi="Times New Roman"/>
          <w:sz w:val="32"/>
          <w:szCs w:val="40"/>
          <w:lang w:val="en-US" w:eastAsia="zh-CN"/>
        </w:rPr>
      </w:pPr>
      <w:r>
        <w:rPr>
          <w:rFonts w:ascii="Times New Roman" w:eastAsia="方正黑体_GBK" w:cs="Times New Roman" w:hAnsi="Times New Roman"/>
          <w:sz w:val="32"/>
          <w:szCs w:val="40"/>
          <w:lang w:val="en-US" w:eastAsia="zh-CN"/>
        </w:rPr>
        <w:t>二、制定过程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40"/>
          <w:lang w:val="en-US" w:eastAsia="zh-CN"/>
        </w:rPr>
      </w:pPr>
      <w:r>
        <w:rPr>
          <w:rFonts w:ascii="Times New Roman" w:eastAsia="方正仿宋_GBK" w:cs="Times New Roman" w:hAnsi="Times New Roman"/>
          <w:sz w:val="32"/>
          <w:szCs w:val="40"/>
          <w:lang w:val="en-US" w:eastAsia="zh-CN"/>
        </w:rPr>
        <w:t>按照工作安排，2022年1月以来，大石化管委会牵头负责</w:t>
      </w:r>
      <w:r>
        <w:rPr>
          <w:rFonts w:ascii="Times New Roman" w:eastAsia="方正仿宋_GBK" w:cs="Times New Roman" w:hAnsi="Times New Roman" w:hint="eastAsia"/>
          <w:sz w:val="32"/>
          <w:szCs w:val="40"/>
          <w:lang w:val="en-US" w:eastAsia="zh-CN"/>
        </w:rPr>
        <w:t>渝中</w:t>
      </w:r>
      <w:r>
        <w:rPr>
          <w:rFonts w:ascii="Times New Roman" w:eastAsia="方正仿宋_GBK" w:cs="Times New Roman" w:hAnsi="Times New Roman"/>
          <w:sz w:val="32"/>
          <w:szCs w:val="40"/>
          <w:lang w:val="en-US" w:eastAsia="zh-CN"/>
        </w:rPr>
        <w:t>软件和信息服务业产业发展扶持政策的制定、修订工作。</w:t>
      </w:r>
      <w:r>
        <w:rPr>
          <w:rFonts w:ascii="Times New Roman" w:eastAsia="方正仿宋_GBK" w:cs="Times New Roman" w:hAnsi="Times New Roman" w:hint="eastAsia"/>
          <w:sz w:val="32"/>
          <w:szCs w:val="40"/>
          <w:lang w:val="en-US" w:eastAsia="zh-CN"/>
        </w:rPr>
        <w:t>管委会</w:t>
      </w:r>
      <w:r>
        <w:rPr>
          <w:rFonts w:ascii="Times New Roman" w:eastAsia="方正仿宋_GBK" w:cs="Times New Roman" w:hAnsi="Times New Roman"/>
          <w:sz w:val="32"/>
          <w:szCs w:val="40"/>
          <w:lang w:val="en-US" w:eastAsia="zh-CN"/>
        </w:rPr>
        <w:t>严格按照“务实管用、具体可行、延续开放、通俗易懂”工作思路，通过资料搜集、走访调研、部门座谈、企业交流等多种方式推进政策制定修订，累计召集、参加相关会议30余场次，征求部门、企业、专家意见建议100余条次。</w:t>
      </w:r>
      <w:r>
        <w:rPr>
          <w:rFonts w:ascii="Times New Roman" w:eastAsia="方正仿宋_GBK" w:cs="Times New Roman" w:hAnsi="Times New Roman" w:hint="eastAsia"/>
          <w:sz w:val="32"/>
          <w:szCs w:val="40"/>
          <w:lang w:val="en-US" w:eastAsia="zh-CN"/>
        </w:rPr>
        <w:t>同时，</w:t>
      </w:r>
      <w:r>
        <w:rPr>
          <w:rFonts w:ascii="Times New Roman" w:eastAsia="方正仿宋_GBK" w:cs="Times New Roman" w:hAnsi="Times New Roman"/>
          <w:sz w:val="32"/>
          <w:szCs w:val="40"/>
          <w:lang w:val="en-US" w:eastAsia="zh-CN"/>
        </w:rPr>
        <w:t>《扶持办法（试行）》</w:t>
      </w:r>
      <w:r>
        <w:rPr>
          <w:rFonts w:ascii="Times New Roman" w:eastAsia="方正仿宋_GBK" w:cs="Times New Roman" w:hAnsi="Times New Roman" w:hint="eastAsia"/>
          <w:sz w:val="32"/>
          <w:szCs w:val="40"/>
          <w:lang w:val="en-US" w:eastAsia="zh-CN"/>
        </w:rPr>
        <w:t>也公开挂网进行了意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40"/>
          <w14:textFill>
            <w14:solidFill>
              <w14:srgbClr w14:val="000000"/>
            </w14:solidFill>
          </w14:textFill>
          <w:lang w:val="en-US" w:eastAsia="zh-CN"/>
        </w:rPr>
        <w:t>见建议征集</w:t>
      </w:r>
      <w:r>
        <w:rPr>
          <w:rFonts w:ascii="Times New Roman" w:eastAsia="方正仿宋_GBK" w:cs="Times New Roman" w:hAnsi="Times New Roman"/>
          <w:color w:val="000000"/>
          <w:sz w:val="32"/>
          <w:szCs w:val="40"/>
          <w14:textFill>
            <w14:solidFill>
              <w14:srgbClr w14:val="000000"/>
            </w14:solidFill>
          </w14:textFill>
          <w:lang w:val="en-US" w:eastAsia="zh-CN"/>
        </w:rPr>
        <w:t>，并通</w:t>
      </w:r>
      <w:r>
        <w:rPr>
          <w:rFonts w:ascii="Times New Roman" w:eastAsia="方正仿宋_GBK" w:cs="Times New Roman" w:hAnsi="Times New Roman"/>
          <w:sz w:val="32"/>
          <w:szCs w:val="40"/>
          <w:lang w:val="en-US" w:eastAsia="zh-CN"/>
        </w:rPr>
        <w:t>过了合法性审核和完备性审核，经十三届区委第26次常委会</w:t>
      </w:r>
      <w:r>
        <w:rPr>
          <w:rFonts w:ascii="Times New Roman" w:eastAsia="方正仿宋_GBK" w:cs="Times New Roman" w:hAnsi="Times New Roman" w:hint="eastAsia"/>
          <w:sz w:val="32"/>
          <w:szCs w:val="40"/>
          <w:lang w:val="en-US" w:eastAsia="zh-CN"/>
        </w:rPr>
        <w:t>、</w:t>
      </w:r>
      <w:r>
        <w:rPr>
          <w:rFonts w:ascii="Times New Roman" w:eastAsia="方正仿宋_GBK" w:cs="Times New Roman" w:hAnsi="Times New Roman"/>
          <w:sz w:val="32"/>
          <w:szCs w:val="40"/>
          <w:lang w:val="en-US" w:eastAsia="zh-CN"/>
        </w:rPr>
        <w:t>十四届区政府第26次常务会议审议通过。2022年9月26日，重庆市渝中区人民政府</w:t>
      </w:r>
      <w:r>
        <w:rPr>
          <w:rFonts w:ascii="Times New Roman" w:eastAsia="方正仿宋_GBK" w:cs="Times New Roman" w:hAnsi="Times New Roman" w:hint="eastAsia"/>
          <w:sz w:val="32"/>
          <w:szCs w:val="40"/>
          <w:lang w:val="en-US" w:eastAsia="zh-CN"/>
        </w:rPr>
        <w:t>正式</w:t>
      </w:r>
      <w:r>
        <w:rPr>
          <w:rFonts w:ascii="Times New Roman" w:eastAsia="方正仿宋_GBK" w:cs="Times New Roman" w:hAnsi="Times New Roman"/>
          <w:sz w:val="32"/>
          <w:szCs w:val="40"/>
          <w:lang w:val="en-US" w:eastAsia="zh-CN"/>
        </w:rPr>
        <w:t>印发《扶持办法（试行）》并实施。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40"/>
          <w:lang w:val="en-US" w:eastAsia="zh-CN"/>
        </w:rPr>
      </w:pPr>
      <w:r>
        <w:rPr>
          <w:rFonts w:ascii="Times New Roman" w:eastAsia="方正黑体_GBK" w:cs="Times New Roman" w:hAnsi="Times New Roman"/>
          <w:sz w:val="32"/>
          <w:szCs w:val="40"/>
          <w:lang w:val="en-US" w:eastAsia="zh-CN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40"/>
          <w:lang w:val="en-US" w:eastAsia="zh-CN"/>
        </w:rPr>
      </w:pPr>
      <w:r>
        <w:rPr>
          <w:rFonts w:ascii="Times New Roman" w:eastAsia="方正仿宋_GBK" w:cs="Times New Roman" w:hAnsi="Times New Roman"/>
          <w:sz w:val="32"/>
          <w:szCs w:val="40"/>
          <w:lang w:val="en-US" w:eastAsia="zh-CN"/>
        </w:rPr>
        <w:t>《扶持办法（试行）》聚焦在市场主体、研发创新、平台支撑等关键环节和领域给予支持，着力培育形成创新驱动、协同开放、富有竞争力的产业体系，助力企业快速发展。《扶持办法（试行）》共计</w:t>
      </w:r>
      <w:r>
        <w:rPr>
          <w:rFonts w:ascii="Times New Roman" w:eastAsia="方正仿宋_GBK" w:cs="Times New Roman" w:hAnsi="Times New Roman" w:hint="eastAsia"/>
          <w:sz w:val="32"/>
          <w:szCs w:val="40"/>
          <w:lang w:val="en-US" w:eastAsia="zh-CN"/>
        </w:rPr>
        <w:t>15</w:t>
      </w:r>
      <w:r>
        <w:rPr>
          <w:rFonts w:ascii="Times New Roman" w:eastAsia="方正仿宋_GBK" w:cs="Times New Roman" w:hAnsi="Times New Roman"/>
          <w:sz w:val="32"/>
          <w:szCs w:val="40"/>
          <w:lang w:val="en-US" w:eastAsia="zh-CN"/>
        </w:rPr>
        <w:t>条，主要有以下内容：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Chars="200" w:firstLine="640"/>
        <w:textAlignment w:val="auto"/>
        <w:rPr>
          <w:rFonts w:ascii="Times New Roman" w:eastAsia="方正仿宋_GBK" w:cs="Times New Roman" w:hAnsi="Times New Roman"/>
          <w:color w:val="000000"/>
          <w:sz w:val="32"/>
          <w:szCs w:val="40"/>
          <w14:textFill>
            <w14:solidFill>
              <w14:srgbClr w14:val="000000"/>
            </w14:solidFill>
          </w14:textFill>
          <w:lang w:val="en-US" w:eastAsia="zh-CN"/>
        </w:rPr>
      </w:pPr>
      <w:r>
        <w:rPr>
          <w:rFonts w:ascii="Times New Roman" w:eastAsia="方正楷体_GBK" w:cs="Times New Roman" w:hAnsi="Times New Roman"/>
          <w:color w:val="000000"/>
          <w:sz w:val="32"/>
          <w:szCs w:val="40"/>
          <w14:textFill>
            <w14:solidFill>
              <w14:srgbClr w14:val="000000"/>
            </w14:solidFill>
          </w14:textFill>
          <w:lang w:val="en-US" w:eastAsia="zh-CN"/>
        </w:rPr>
        <w:t>一是针对市场主体壮大的支持政策</w:t>
      </w:r>
      <w:r>
        <w:rPr>
          <w:rFonts w:ascii="Times New Roman" w:eastAsia="方正仿宋_GBK" w:cs="Times New Roman" w:hAnsi="Times New Roman"/>
          <w:color w:val="000000"/>
          <w:sz w:val="32"/>
          <w:szCs w:val="40"/>
          <w14:textFill>
            <w14:solidFill>
              <w14:srgbClr w14:val="000000"/>
            </w14:solidFill>
          </w14:textFill>
          <w:lang w:val="en-US" w:eastAsia="zh-CN"/>
        </w:rPr>
        <w:t>。企业是推动产业发展的关键主体，《扶持办法（试行）》提出拿出部分优质区属国企存量载体用于发展软信产业，分级分类给予优惠租金，并对国家鼓励的重点软件企业落户或设立全资子公司的，最高给予200万元奖励；同时，根据企业年度主营业务开票营收分级给予最高100万元奖励。旨在引入一批龙头企业，鼓励企业壮大规模，加快形成大企业顶天立地、中小企业铺天盖地的发展新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40"/>
          <w:lang w:val="en-US" w:eastAsia="zh-CN"/>
        </w:rPr>
      </w:pPr>
      <w:r>
        <w:rPr>
          <w:rFonts w:ascii="Times New Roman" w:eastAsia="方正楷体_GBK" w:cs="Times New Roman" w:hAnsi="Times New Roman"/>
          <w:sz w:val="32"/>
          <w:szCs w:val="40"/>
          <w:lang w:val="en-US" w:eastAsia="zh-CN"/>
        </w:rPr>
        <w:t>二是针对鼓励企业研发创新的支持政策</w:t>
      </w:r>
      <w:r>
        <w:rPr>
          <w:rFonts w:ascii="Times New Roman" w:eastAsia="方正仿宋_GBK" w:cs="Times New Roman" w:hAnsi="Times New Roman"/>
          <w:sz w:val="32"/>
          <w:szCs w:val="40"/>
          <w:lang w:val="en-US" w:eastAsia="zh-CN"/>
        </w:rPr>
        <w:t>。加强对企业研发活动的支持，引导企业加大研发投入，有助于企业开发新的技术和产品。《扶持办法（试行）》提出对建立研发准备金制度的企业，根据企业研发投入情况，按照研发费用存量不高于3%、增量不高于10%的比例给予补助；对软信企业自主研发、具有明确自主知识产权的产品，择优给予最高50万元奖励；对牵头（主导）编制并完成国际、国家标准以及新获得发明专利、测评认证、软件著作权登记的企业，最高给予50万元奖励。旨在鼓励企业加强研发创新，不断提升本土企业技术实力和市场竞争力，培育一批市级及以上重点“名企</w:t>
      </w:r>
      <w:r>
        <w:rPr>
          <w:rFonts w:ascii="Times New Roman" w:eastAsia="方正仿宋_GBK" w:cs="Times New Roman" w:hAnsi="Times New Roman" w:hint="eastAsia"/>
          <w:sz w:val="32"/>
          <w:szCs w:val="40"/>
          <w:lang w:val="en-US" w:eastAsia="zh-CN"/>
        </w:rPr>
        <w:t>”“</w:t>
      </w:r>
      <w:r>
        <w:rPr>
          <w:rFonts w:ascii="Times New Roman" w:eastAsia="方正仿宋_GBK" w:cs="Times New Roman" w:hAnsi="Times New Roman"/>
          <w:sz w:val="32"/>
          <w:szCs w:val="40"/>
          <w:lang w:val="en-US" w:eastAsia="zh-CN"/>
        </w:rPr>
        <w:t>名品</w:t>
      </w:r>
      <w:r>
        <w:rPr>
          <w:rFonts w:ascii="Times New Roman" w:eastAsia="方正仿宋_GBK" w:cs="Times New Roman" w:hAnsi="Times New Roman" w:hint="eastAsia"/>
          <w:sz w:val="32"/>
          <w:szCs w:val="40"/>
          <w:lang w:val="en-US" w:eastAsia="zh-CN"/>
        </w:rPr>
        <w:t>”</w:t>
      </w:r>
      <w:r>
        <w:rPr>
          <w:rFonts w:ascii="Times New Roman" w:eastAsia="方正仿宋_GBK" w:cs="Times New Roman" w:hAnsi="Times New Roman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40"/>
          <w:lang w:val="en-US" w:eastAsia="zh-CN"/>
        </w:rPr>
      </w:pPr>
      <w:r>
        <w:rPr>
          <w:rFonts w:ascii="Times New Roman" w:eastAsia="方正楷体_GBK" w:cs="Times New Roman" w:hAnsi="Times New Roman"/>
          <w:sz w:val="32"/>
          <w:szCs w:val="40"/>
          <w:lang w:val="en-US" w:eastAsia="zh-CN"/>
        </w:rPr>
        <w:t>三是针对加强平台支撑的支持政策</w:t>
      </w:r>
      <w:r>
        <w:rPr>
          <w:rFonts w:ascii="Times New Roman" w:eastAsia="方正仿宋_GBK" w:cs="Times New Roman" w:hAnsi="Times New Roman"/>
          <w:sz w:val="32"/>
          <w:szCs w:val="40"/>
          <w:lang w:val="en-US" w:eastAsia="zh-CN"/>
        </w:rPr>
        <w:t>。为强化人才培育和平台支撑，推动产业生态协同集聚发展，《扶持办法（试行）》提出支持企业建设国家级</w:t>
      </w:r>
      <w:r>
        <w:rPr>
          <w:rFonts w:ascii="Times New Roman" w:eastAsia="方正仿宋_GBK" w:cs="Times New Roman" w:hAnsi="Times New Roman" w:hint="eastAsia"/>
          <w:sz w:val="32"/>
          <w:szCs w:val="40"/>
          <w:lang w:val="en-US" w:eastAsia="zh-CN"/>
        </w:rPr>
        <w:t>/</w:t>
      </w:r>
      <w:r>
        <w:rPr>
          <w:rFonts w:ascii="Times New Roman" w:eastAsia="方正仿宋_GBK" w:cs="Times New Roman" w:hAnsi="Times New Roman"/>
          <w:sz w:val="32"/>
          <w:szCs w:val="40"/>
          <w:lang w:val="en-US" w:eastAsia="zh-CN"/>
        </w:rPr>
        <w:t>市级重点实验室、企业技术中心、公共服务平台等，</w:t>
      </w:r>
      <w:r>
        <w:rPr>
          <w:rFonts w:ascii="Times New Roman" w:eastAsia="方正仿宋_GBK" w:cs="Times New Roman" w:hAnsi="Times New Roman" w:hint="eastAsia"/>
          <w:sz w:val="32"/>
          <w:szCs w:val="40"/>
          <w:lang w:val="en-US" w:eastAsia="zh-CN"/>
        </w:rPr>
        <w:t>并</w:t>
      </w:r>
      <w:r>
        <w:rPr>
          <w:rFonts w:ascii="Times New Roman" w:eastAsia="方正仿宋_GBK" w:cs="Times New Roman" w:hAnsi="Times New Roman"/>
          <w:sz w:val="32"/>
          <w:szCs w:val="40"/>
          <w:lang w:val="en-US" w:eastAsia="zh-CN"/>
        </w:rPr>
        <w:t>根据运行（服务）绩效，最高给予100万元/年奖励；对</w:t>
      </w:r>
      <w:r>
        <w:rPr>
          <w:rFonts w:ascii="Times New Roman" w:eastAsia="方正仿宋_GBK" w:cs="Times New Roman" w:hAnsi="Times New Roman" w:hint="eastAsia"/>
          <w:sz w:val="32"/>
          <w:szCs w:val="40"/>
          <w:lang w:val="en-US" w:eastAsia="zh-CN"/>
        </w:rPr>
        <w:t>首次获批的国家级</w:t>
      </w:r>
      <w:r>
        <w:rPr>
          <w:rFonts w:ascii="Times New Roman" w:eastAsia="方正仿宋_GBK" w:cs="Times New Roman" w:hAnsi="Times New Roman"/>
          <w:sz w:val="32"/>
          <w:szCs w:val="40"/>
          <w:lang w:val="en-US" w:eastAsia="zh-CN"/>
        </w:rPr>
        <w:t>人才实习实训基地，最高给予100万元奖励；对入驻的国家级行业联盟（协会、联合会等）分支机构和市级行业联盟（协会、联合会等），根据运营绩效最高给予50万元/年奖励。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40"/>
          <w:lang w:val="en-US" w:eastAsia="zh-CN"/>
        </w:rPr>
      </w:pPr>
      <w:r>
        <w:rPr>
          <w:rFonts w:ascii="Times New Roman" w:eastAsia="方正楷体_GBK" w:cs="Times New Roman" w:hAnsi="Times New Roman"/>
          <w:sz w:val="32"/>
          <w:szCs w:val="40"/>
          <w:lang w:val="en-US" w:eastAsia="zh-CN"/>
        </w:rPr>
        <w:t>四是总则和附则。</w:t>
      </w:r>
      <w:r>
        <w:rPr>
          <w:rFonts w:ascii="Times New Roman" w:eastAsia="方正仿宋_GBK" w:cs="Times New Roman" w:hAnsi="Times New Roman"/>
          <w:sz w:val="32"/>
          <w:szCs w:val="40"/>
          <w:lang w:val="en-US" w:eastAsia="zh-CN"/>
        </w:rPr>
        <w:t>主要包括支持对象、适用范围以及生效时间等内容。《扶持办法（试行）》自发布之日起施行，2022年1月1日后符合本办法扶持条件的企业，可参照执行。与区级其他优惠政策内容重复或类同的，按“从高不重复”原则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40"/>
          <w:lang w:val="en-US" w:eastAsia="zh-CN"/>
        </w:rPr>
      </w:pPr>
    </w:p>
    <w:sectPr>
      <w:pgSz w:w="11906" w:h="16838"/>
      <w:pgMar w:top="1984" w:right="1446" w:bottom="1644" w:left="1446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86"/>
    <w:family w:val="auto"/>
    <w:pitch w:val="variable"/>
    <w:sig w:usb0="E0002AFF" w:usb1="C0007841" w:usb2="00000009" w:usb3="00000000" w:csb0="400001FF" w:csb1="FFFF0000"/>
  </w:font>
  <w:font w:name="方正小标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7A"/>
    <w:family w:val="auto"/>
    <w:pitch w:val="variable"/>
    <w:sig w:usb0="00000003" w:usb1="288F0000" w:usb2="0000000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altName w:val="DejaVu Sans"/>
    <w:panose1 w:val="02040503050406030204"/>
    <w:charset w:val="00"/>
    <w:family w:val="roman"/>
    <w:pitch w:val="variable"/>
    <w:sig w:usb0="E00002FF" w:usb1="400004FF" w:usb2="00000000" w:usb3="00000000" w:csb0="2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  <w:docVars>
    <w:docVar w:name="commondata" w:val="eyJoZGlkIjoiMTU5NGE5MzUzODA2NmVhOGVmZTMzYWIzYzk3ZTgyYTM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4">
    <w:name w:val="heading 4"/>
    <w:basedOn w:val="0"/>
    <w:next w:val="0"/>
    <w:pPr>
      <w:keepNext/>
      <w:keepLines/>
      <w:widowControl w:val="0"/>
      <w:spacing w:before="280" w:beforeAutospacing="0" w:after="290" w:afterAutospacing="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10">
    <w:name w:val="Default Paragraph Font"/>
  </w:style>
  <w:style w:type="paragraph" w:styleId="15">
    <w:name w:val="Message Header"/>
    <w:basedOn w:val="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00" w:hangingChars="500" w:hanging="500"/>
    </w:pPr>
    <w:rPr>
      <w:rFonts w:ascii="Cambria" w:eastAsia="宋体" w:cs="Times New Roman" w:hAnsi="Cambria"/>
      <w:sz w:val="24"/>
      <w:szCs w:val="24"/>
      <w:lang w:bidi="ar-SA"/>
    </w:rPr>
  </w:style>
  <w:style w:type="paragraph" w:styleId="16">
    <w:name w:val="Normal (Web)"/>
    <w:basedOn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17">
    <w:name w:val="NormalCharacter"/>
    <w:rPr>
      <w:rFonts w:ascii="Calibri" w:eastAsia="宋体" w:cs="Times New Roman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3</Pages>
  <Words>1476</Words>
  <Characters>1517</Characters>
  <Lines>61</Lines>
  <Paragraphs>13</Paragraphs>
  <CharactersWithSpaces>1517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hp123</dc:creator>
  <cp:lastModifiedBy>xg</cp:lastModifiedBy>
  <cp:revision>0</cp:revision>
  <dcterms:created xsi:type="dcterms:W3CDTF">2022-02-15T22:34:00Z</dcterms:created>
  <dcterms:modified xsi:type="dcterms:W3CDTF">2022-12-30T09:32:14Z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2052-11.8.2.8721</vt:lpwstr>
  </property>
  <property fmtid="{D5CDD505-2E9C-101B-9397-08002B2CF9AE}" pid="3" name="ICV">
    <vt:lpwstr>4322A3954BFD447D9D9EF3136064F415</vt:lpwstr>
  </property>
</Properties>
</file>