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黑体" w:cs="Times New Roman"/>
          <w:snapToGrid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spacing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highlight w:val="none"/>
        </w:rPr>
        <w:t>重庆市渝中区公共机构生活垃圾分类工作评价标准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after="0"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1"/>
        <w:tblW w:w="160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845"/>
        <w:gridCol w:w="1105"/>
        <w:gridCol w:w="6723"/>
        <w:gridCol w:w="6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0"/>
                <w:sz w:val="28"/>
                <w:szCs w:val="28"/>
                <w:highlight w:val="none"/>
              </w:rPr>
              <w:t>评价内容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0"/>
                <w:sz w:val="28"/>
                <w:szCs w:val="28"/>
                <w:highlight w:val="none"/>
              </w:rPr>
              <w:t>分值</w:t>
            </w:r>
          </w:p>
        </w:tc>
        <w:tc>
          <w:tcPr>
            <w:tcW w:w="6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0"/>
                <w:sz w:val="28"/>
                <w:szCs w:val="28"/>
                <w:highlight w:val="none"/>
              </w:rPr>
              <w:t>分  项</w:t>
            </w:r>
          </w:p>
        </w:tc>
        <w:tc>
          <w:tcPr>
            <w:tcW w:w="6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0"/>
                <w:sz w:val="28"/>
                <w:szCs w:val="28"/>
                <w:highlight w:val="none"/>
              </w:rPr>
              <w:t>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48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体制机制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10分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1.制定工作实施方案，落实主体责任，建立主要负责同志是第一责任人工作机制，明确日常管理机构，落实相关责任，完善生活垃圾分类工作协调机制。（2分）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1.未制定工作实施方案的，扣0.5分；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2.未成立“双组长”（党政主要负责人）工作领导小组的，扣0.5分；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3.每季度未开展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本机关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垃圾分类工作交流推进会的，扣1分。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485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各单位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党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委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会每季度1次组织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学习贯彻习近平总书记关于生活垃圾分类的重要指示精神和市、区各级政府关于生活垃圾分类工作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决策部署；主要领导每季度1次以上检查督导生活垃圾分类工作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。（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1.5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1.未组织贯彻学习垃圾分类相关工作的，扣0.5分；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2.主要领导未深入行业监管单位检查督导的，扣1分。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485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.年初有工作计划（1月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日前）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季度有自查报告（每季度末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日前）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年终有工作总结（12月1日前）。（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1.5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工作计划、自查报告、工作总结未按时报送的，1项扣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8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4.建立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垃圾分类指导员队伍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未组建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本行业垃圾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分类指导员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队伍的，扣2分。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5.制定完善本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生活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垃圾分类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检查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考核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方案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按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照《渝中区深化2022年生活垃圾分类工作实施方案》相关要求，有效组织实施。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1.未制定检查考核方案的，不得分；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2.每月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未按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照相关要求开展检查考核的，并印发考核检查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通报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的，扣2分。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exac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设施建设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25分</w:t>
            </w:r>
          </w:p>
        </w:tc>
        <w:tc>
          <w:tcPr>
            <w:tcW w:w="6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 w:bidi="zh-CN"/>
              </w:rPr>
              <w:t>1.设置垃圾分类公示引导信息牌，内容包括责任单位、责任人，分类指导员姓名和电话，分类收运及处理单位责任人和联系电话、时尚榜（红黑榜），以及管理（监督）单位及电话等相关内容。（5分）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1.未设置公示引导牌的不得分；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2.公示牌未按照要求公示相关信息或内容不完整、不准确的，发现1处扣0.5分，扣完为止。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exac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.各单位应户外场所、室内大厅（走廊）、楼层、办公室、会议室（洗手间）等处设置“两分类”（其他垃圾、可回收物）投放设施；食堂或集中就餐区应设置“两分类”（餐厨垃圾、其他垃圾）投放设施；所有分类投放点（含果皮箱）均应成组设置，不得设置单个分类设施，并配备分类投放指导牌（15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1.未按要求设置分类设施的，发现1处扣1分；最高不超过5分；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2.分类投放点（含果皮箱）设置单个分类设施的，发现1处扣1分，最高不超过5分；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3.未按照要求在分类投放点设置分类指导标识牌或标识标志不清晰、不准确的，发现1处扣1分，最高不超过5分。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 xml:space="preserve"> </w:t>
            </w: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3.有害垃圾应做到集中存放，每月预约收运一次。（2分）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1.未设置有害垃圾集中存放点的，不得分。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4.各类收集容器、收运设施做到功能完好，无破损、无脏污。（3分）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1.各类收运设施功能缺失、破损、脏污的，发现1处扣1分。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分类作业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分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1.可回收物、厨余垃圾、有害垃圾和其他垃圾要做到分类投放、分类收集、分类运输。（12分）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1.各类生活垃圾存在混装混收，未做到分类投放、分类收集、分类运输的，发现1处扣2分。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2.单位食堂（集中就餐区）餐桌应配置“两分类”（食物残渣和纸巾牙签）投放渣盘，厨余垃圾应做到日产日清，与其他垃圾分类收运。（8分）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1.餐桌上未摆放两分类渣盘的，扣3分；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2.餐厨垃圾或其他垃圾未分类收运的，扣5分。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3.各类生活垃圾应做到日产日清、应收尽收，确保不冒装、不漏洒、周边环境干净整洁。（5分）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1.各类生活垃圾随意乱堆乱放、集污容器冒装满溢漏洒、投放点周边脏污不干净的，发现1处扣1分。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exac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4.建立健全生活垃圾分类收运管理台账，详细记录可回收物、厨余垃圾、有害垃圾和其他垃圾日分类量、收运单位、处置方式等内容，确保各类数据全面、真实、准确。公示每月生活垃圾日分类量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（5分）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1.未建立分类收集、运输、处置管理台账的，扣4分；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2.管理台账数据不真实、内容不全面的，发现1处扣1分，最高不超过3分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3.未按要求公示每月生活垃圾日分类量的，扣1分。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宣传动员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5分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各单位应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大厅、楼层、电梯、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办公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区、等区域，通过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设置宣传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栏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张贴海报、绘制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墙标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悬挂横幅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形式，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广泛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开展生活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垃圾分类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倡导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光盘行动、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推行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绿色办公、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减少或限制一次性用品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等源头减量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宣传。（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1.“垃圾分类”宣传标识设置1处得1分，最高不超过5分；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2.“光盘行动”宣传标识设置1处得0.5分，最高不超过1.5分；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3.“绿色办公”宣传标识设置1处得0.5分，最高不超过1.5分；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4.“减少或限制一次性用品”宣传标识设置1处得0.5分，最高不超过1.5分。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2.各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每月分别组织开展垃圾分类“进机关”等主题宣传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培训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活动。（6分）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.每月未开展主题宣传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培训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活动的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不得分；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开展1次得2分，最高不超过6分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评分以活动台账为依据，应包含时间、地点、主题、参与人数及附带时间水印的活动图片。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3.强化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基层党组织作用，国家机关、事业单位人员，以及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党员干部带头示范，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广泛传播生活垃圾分类相关知识，积极参与垃圾分类，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不断提高知晓率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参与率。（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.受检单位随机抽查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人，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知晓垃圾分类相关知识的得1.5分，不知晓的扣1.5分，最高不超过6分。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4.加强“典型经验”和工作动态提炼总结，并及时报送行业领域宣传活动信息简报（4分）。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1.宣传活动信息简报报送1篇得0.5分，最高得4分。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通过国家、市级、区级主流媒体，以及微信公众号、美篇、微博等自媒体常态化开展主题宣传，营造良好舆论氛围。（5分）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1.市级（含）以上媒体报道1篇得2分，市级部门采用1篇得1.5分，区级政务信息或媒体报道1篇得1分，最高不超过3分；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2.自媒体报道1篇得1分，最高不超过4分；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3.同一内容被多方重复报道或采用的按最高分值计算。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.每月按时报送生活垃圾分类基础数据（20日前）和宣传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活动媒体报道统计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日前）台账。（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.各类工作台账报送每逾期1天扣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1.5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扣完为止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.制作垃圾分类告知书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倡议书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，并编印机关办公场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所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宣传资料。（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</w:rPr>
              <w:t>.未制作垃圾分类告知书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  <w:lang w:val="en-US" w:eastAsia="zh-CN"/>
              </w:rPr>
              <w:t>倡议书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</w:rPr>
              <w:t>或未履行告知义务的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</w:rPr>
              <w:t>扣1分；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</w:rPr>
              <w:t>未编印宣传资料的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</w:rPr>
              <w:t>扣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highlight w:val="none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  <w:t>正负绩效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加分项（+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1.国家级媒体（限纸媒）宣传报道，或者受到国家部委领导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（部门）肯定性批示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、通报表彰的。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（+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1.国家级媒体（限纸媒）宣传报道，或者受到国家部委领导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（部门）肯定性批示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、通报表彰的，加3分。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85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.承办市级现场会、主题宣传活动，或者受到市区领导、市级部门肯定表彰的。（+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1.承办市级现场会、主题宣传活动，或者受到市级领导（部门）肯定性批示的，加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48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承办区级现场交流会、主题宣传等活动，或者受到区领导肯定性表扬的。（+1分）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1.承办区级现场交流会、主题宣传活动，或者区级领导肯定性批示、表扬的，加1分。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.工作中有创新举措的。（+2分）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1.亮点突出，有创新性举措的1项加1分，最高不超过2分。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360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5.同一事项，满足不同加分项的，按最高分计算。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减分项（-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1.被国家级媒体、国家部委领导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（部门）通报批评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的。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（-3分）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1.被国家级媒体、国家部委领导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（部门）通报批评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的，扣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3分。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.被市级领导（主管部门）通报批评，或者被市级主流媒体曝光并被查证属实的。（-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1.被市级领导（主管部门）通报批评的，或者被市级主流媒体曝光并被查证属实的，扣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.被区级领导点名批评，或者被区级主流媒体曝光、市民投诉并被查证属实的。（-1分）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 w:val="0"/>
              <w:adjustRightInd/>
              <w:snapToGrid/>
              <w:spacing w:before="0" w:after="0" w:line="360" w:lineRule="exact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highlight w:val="none"/>
              </w:rPr>
              <w:t>1.被区级领导点名批评或被区级主流媒体曝光、市民投诉被查证属实的，扣1分。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360" w:lineRule="exact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.被第三方检查通报问题整改不到位的。（-1分）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360" w:lineRule="exact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1.被第三方检查通报问题整改不到位的，扣1分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tabs>
                <w:tab w:val="left" w:pos="0"/>
              </w:tabs>
              <w:adjustRightInd/>
              <w:snapToGrid/>
              <w:spacing w:after="0" w:line="360" w:lineRule="exact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.未按照要求参加垃圾分类工作会、未及时报送垃圾分类相关工作信息，或者未完成垃圾分类阶段性月度重点工作目标任务的。（-1分）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1.未按照相关要求参加会议、未及时报送工作信息，或者未完成月度重点工作任务的，扣1分。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3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6.同一事项，满足不同减分项的，按最高分计算。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43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说明</w:t>
            </w:r>
          </w:p>
        </w:tc>
        <w:tc>
          <w:tcPr>
            <w:tcW w:w="13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1.检查内容和评分标准如有变动的，以年度实际工作安排为准；</w:t>
            </w:r>
          </w:p>
          <w:p>
            <w:pPr>
              <w:widowControl w:val="0"/>
              <w:adjustRightInd/>
              <w:snapToGrid/>
              <w:spacing w:after="0" w:line="360" w:lineRule="exact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2.被市级部门检查扣分的事项，纳入责任单位季度考核评价，给予双倍扣分。</w:t>
            </w:r>
          </w:p>
        </w:tc>
      </w:tr>
    </w:tbl>
    <w:p>
      <w:pPr>
        <w:snapToGrid w:val="0"/>
        <w:spacing w:line="340" w:lineRule="exact"/>
        <w:rPr>
          <w:rFonts w:hint="default" w:ascii="Times New Roman" w:hAnsi="Times New Roman" w:cs="Times New Roman"/>
          <w:snapToGrid w:val="0"/>
          <w:spacing w:val="0"/>
        </w:rPr>
      </w:pPr>
    </w:p>
    <w:sectPr>
      <w:footerReference r:id="rId3" w:type="default"/>
      <w:footerReference r:id="rId4" w:type="even"/>
      <w:pgSz w:w="16840" w:h="11910" w:orient="landscape"/>
      <w:pgMar w:top="1984" w:right="1446" w:bottom="1644" w:left="1446" w:header="0" w:footer="1281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K+n0du1AQAAVQ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20277213"/>
        <w:docPartObj>
          <w:docPartGallery w:val="autotext"/>
        </w:docPartObj>
      </w:sdtPr>
      <w:sdtContent/>
    </w:sdt>
  </w:p>
  <w:p>
    <w:pPr>
      <w:pStyle w:val="7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83PtkbcBAABV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9739630</wp:posOffset>
              </wp:positionV>
              <wp:extent cx="648970" cy="22352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489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51" w:lineRule="exact"/>
                            <w:rPr>
                              <w:rFonts w:ascii="宋体" w:hAnsi="宋体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71.25pt;margin-top:766.9pt;height:17.6pt;width:51.1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fthxU9sAAAANAQAADwAA&#10;AAAAAAABACAAAAA4AAAAZHJzL2Rvd25yZXYueG1sUEsBAhQAFAAAAAgAh07iQLpOAT39AQAA0QMA&#10;AA4AAAAAAAAAAQAgAAAAQAEAAGRycy9lMm9Eb2MueG1sUEsFBgAAAAAGAAYAWQEAAK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1" w:lineRule="exact"/>
                      <w:rPr>
                        <w:rFonts w:ascii="宋体" w:hAnsi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false"/>
  <w:bordersDoNotSurroundFooter w:val="false"/>
  <w:documentProtection w:enforcement="0"/>
  <w:defaultTabStop w:val="420"/>
  <w:evenAndOddHeaders w:val="true"/>
  <w:drawingGridHorizontalSpacing w:val="11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MWVhY2MyY2JhNjNhNWNkNmZmYjcwMGEzNjM2Y2IifQ=="/>
  </w:docVars>
  <w:rsids>
    <w:rsidRoot w:val="00172A27"/>
    <w:rsid w:val="00032135"/>
    <w:rsid w:val="00032EFA"/>
    <w:rsid w:val="000358DE"/>
    <w:rsid w:val="00043361"/>
    <w:rsid w:val="00044CF5"/>
    <w:rsid w:val="0009538A"/>
    <w:rsid w:val="000961FE"/>
    <w:rsid w:val="00096B9F"/>
    <w:rsid w:val="000B235A"/>
    <w:rsid w:val="000B26D2"/>
    <w:rsid w:val="000E1CA8"/>
    <w:rsid w:val="000F14AA"/>
    <w:rsid w:val="00112838"/>
    <w:rsid w:val="00147CC7"/>
    <w:rsid w:val="00162C2E"/>
    <w:rsid w:val="00172A27"/>
    <w:rsid w:val="001C7D3E"/>
    <w:rsid w:val="001E1043"/>
    <w:rsid w:val="001F41D2"/>
    <w:rsid w:val="001F6709"/>
    <w:rsid w:val="002311B2"/>
    <w:rsid w:val="00240DB7"/>
    <w:rsid w:val="002410A2"/>
    <w:rsid w:val="00243931"/>
    <w:rsid w:val="0024610B"/>
    <w:rsid w:val="002A01C4"/>
    <w:rsid w:val="002A2CD7"/>
    <w:rsid w:val="002C2089"/>
    <w:rsid w:val="002D49B5"/>
    <w:rsid w:val="002D7DBF"/>
    <w:rsid w:val="00322D23"/>
    <w:rsid w:val="003338C3"/>
    <w:rsid w:val="003478C1"/>
    <w:rsid w:val="003F6867"/>
    <w:rsid w:val="004103EB"/>
    <w:rsid w:val="004331CB"/>
    <w:rsid w:val="00454374"/>
    <w:rsid w:val="004A008B"/>
    <w:rsid w:val="0052416A"/>
    <w:rsid w:val="00620E12"/>
    <w:rsid w:val="006358A9"/>
    <w:rsid w:val="00652D75"/>
    <w:rsid w:val="00677C80"/>
    <w:rsid w:val="00692D92"/>
    <w:rsid w:val="006D6CCA"/>
    <w:rsid w:val="00724B77"/>
    <w:rsid w:val="007515C8"/>
    <w:rsid w:val="00772F3A"/>
    <w:rsid w:val="007A7677"/>
    <w:rsid w:val="007E3BB2"/>
    <w:rsid w:val="007E6FEB"/>
    <w:rsid w:val="0085736A"/>
    <w:rsid w:val="00884637"/>
    <w:rsid w:val="008934B0"/>
    <w:rsid w:val="00893AF6"/>
    <w:rsid w:val="008F7349"/>
    <w:rsid w:val="009323AB"/>
    <w:rsid w:val="00937B29"/>
    <w:rsid w:val="00993870"/>
    <w:rsid w:val="009A3E3B"/>
    <w:rsid w:val="009A7799"/>
    <w:rsid w:val="009C2034"/>
    <w:rsid w:val="00A13EAA"/>
    <w:rsid w:val="00A15E20"/>
    <w:rsid w:val="00A4795D"/>
    <w:rsid w:val="00A6715A"/>
    <w:rsid w:val="00A752ED"/>
    <w:rsid w:val="00AA665A"/>
    <w:rsid w:val="00AD1A94"/>
    <w:rsid w:val="00B1325F"/>
    <w:rsid w:val="00B27DA4"/>
    <w:rsid w:val="00B511AE"/>
    <w:rsid w:val="00B90618"/>
    <w:rsid w:val="00C034E1"/>
    <w:rsid w:val="00C315B9"/>
    <w:rsid w:val="00C43920"/>
    <w:rsid w:val="00C641A7"/>
    <w:rsid w:val="00CB3EF1"/>
    <w:rsid w:val="00CC0E85"/>
    <w:rsid w:val="00CD2BFA"/>
    <w:rsid w:val="00D177E1"/>
    <w:rsid w:val="00E03E0A"/>
    <w:rsid w:val="00E07512"/>
    <w:rsid w:val="00E16ACC"/>
    <w:rsid w:val="00E20D09"/>
    <w:rsid w:val="00E22A02"/>
    <w:rsid w:val="00E40106"/>
    <w:rsid w:val="00E44BB6"/>
    <w:rsid w:val="00E52150"/>
    <w:rsid w:val="00E55E70"/>
    <w:rsid w:val="00E70BE7"/>
    <w:rsid w:val="00E70C9A"/>
    <w:rsid w:val="00E852D7"/>
    <w:rsid w:val="00EA764A"/>
    <w:rsid w:val="00EE65B9"/>
    <w:rsid w:val="00F200B3"/>
    <w:rsid w:val="00F53DE7"/>
    <w:rsid w:val="00F80BEA"/>
    <w:rsid w:val="00F82F34"/>
    <w:rsid w:val="012801F7"/>
    <w:rsid w:val="013B4944"/>
    <w:rsid w:val="025B2DC4"/>
    <w:rsid w:val="05B47727"/>
    <w:rsid w:val="06AB60C8"/>
    <w:rsid w:val="070B4F05"/>
    <w:rsid w:val="086504F8"/>
    <w:rsid w:val="095A5B83"/>
    <w:rsid w:val="0C6C4AD0"/>
    <w:rsid w:val="0FB15320"/>
    <w:rsid w:val="0FEB5787"/>
    <w:rsid w:val="12902616"/>
    <w:rsid w:val="1C6704E4"/>
    <w:rsid w:val="1D1B6CB9"/>
    <w:rsid w:val="1DF0665E"/>
    <w:rsid w:val="1EC51899"/>
    <w:rsid w:val="1FC102B2"/>
    <w:rsid w:val="20B47E17"/>
    <w:rsid w:val="217D46AD"/>
    <w:rsid w:val="222D1C2F"/>
    <w:rsid w:val="242F13A0"/>
    <w:rsid w:val="26177809"/>
    <w:rsid w:val="29D84B76"/>
    <w:rsid w:val="2A9C5BA4"/>
    <w:rsid w:val="2AAE58D7"/>
    <w:rsid w:val="2CE83322"/>
    <w:rsid w:val="2EC21951"/>
    <w:rsid w:val="2FCC0CD9"/>
    <w:rsid w:val="30890978"/>
    <w:rsid w:val="35496928"/>
    <w:rsid w:val="37FC5ED4"/>
    <w:rsid w:val="387719FE"/>
    <w:rsid w:val="3C243C4B"/>
    <w:rsid w:val="40185875"/>
    <w:rsid w:val="40D7128C"/>
    <w:rsid w:val="41434B73"/>
    <w:rsid w:val="42976F25"/>
    <w:rsid w:val="42B05038"/>
    <w:rsid w:val="455C6204"/>
    <w:rsid w:val="45F43A50"/>
    <w:rsid w:val="48587156"/>
    <w:rsid w:val="4AF8077D"/>
    <w:rsid w:val="4C885762"/>
    <w:rsid w:val="4DD86643"/>
    <w:rsid w:val="4F4B39D5"/>
    <w:rsid w:val="530F2C4A"/>
    <w:rsid w:val="56E12EC8"/>
    <w:rsid w:val="576266C5"/>
    <w:rsid w:val="5A0F163F"/>
    <w:rsid w:val="5B307ABF"/>
    <w:rsid w:val="5FEECDD4"/>
    <w:rsid w:val="60DB227B"/>
    <w:rsid w:val="62F6312E"/>
    <w:rsid w:val="62FF66F4"/>
    <w:rsid w:val="65D8322D"/>
    <w:rsid w:val="6758188D"/>
    <w:rsid w:val="67E376B5"/>
    <w:rsid w:val="6C3311BD"/>
    <w:rsid w:val="6F9B1553"/>
    <w:rsid w:val="6FEF189F"/>
    <w:rsid w:val="71237A52"/>
    <w:rsid w:val="71924BD7"/>
    <w:rsid w:val="720A29C0"/>
    <w:rsid w:val="72B91E0F"/>
    <w:rsid w:val="77E7C799"/>
    <w:rsid w:val="7B412C46"/>
    <w:rsid w:val="7DEB7B49"/>
    <w:rsid w:val="7F6A2CF0"/>
    <w:rsid w:val="7F7559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link w:val="13"/>
    <w:qFormat/>
    <w:uiPriority w:val="1"/>
    <w:pPr>
      <w:ind w:left="619" w:right="797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100" w:after="100" w:line="360" w:lineRule="auto"/>
      <w:outlineLvl w:val="1"/>
    </w:pPr>
    <w:rPr>
      <w:rFonts w:ascii="Cambria" w:hAnsi="Cambria"/>
      <w:bCs/>
      <w:szCs w:val="32"/>
    </w:rPr>
  </w:style>
  <w:style w:type="paragraph" w:styleId="5">
    <w:name w:val="heading 4"/>
    <w:basedOn w:val="4"/>
    <w:next w:val="1"/>
    <w:qFormat/>
    <w:uiPriority w:val="0"/>
    <w:pPr>
      <w:spacing w:before="280" w:after="290" w:line="377" w:lineRule="auto"/>
      <w:outlineLvl w:val="3"/>
    </w:pPr>
    <w:rPr>
      <w:rFonts w:eastAsia="宋体"/>
      <w:bCs w:val="0"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ody Text"/>
    <w:basedOn w:val="1"/>
    <w:link w:val="14"/>
    <w:qFormat/>
    <w:uiPriority w:val="1"/>
    <w:rPr>
      <w:sz w:val="32"/>
      <w:szCs w:val="32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"/>
    <w:basedOn w:val="7"/>
    <w:qFormat/>
    <w:uiPriority w:val="0"/>
    <w:pPr>
      <w:ind w:firstLine="100" w:firstLineChars="100"/>
    </w:pPr>
  </w:style>
  <w:style w:type="character" w:customStyle="1" w:styleId="13">
    <w:name w:val="标题 1 字符"/>
    <w:basedOn w:val="12"/>
    <w:link w:val="3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4">
    <w:name w:val="正文文本 字符"/>
    <w:basedOn w:val="12"/>
    <w:link w:val="7"/>
    <w:qFormat/>
    <w:uiPriority w:val="1"/>
    <w:rPr>
      <w:rFonts w:ascii="方正仿宋_GBK" w:hAnsi="方正仿宋_GBK" w:eastAsia="方正仿宋_GBK" w:cs="方正仿宋_GBK"/>
      <w:kern w:val="0"/>
      <w:sz w:val="32"/>
      <w:szCs w:val="32"/>
      <w:lang w:val="zh-CN" w:bidi="zh-CN"/>
    </w:rPr>
  </w:style>
  <w:style w:type="character" w:customStyle="1" w:styleId="15">
    <w:name w:val="页眉 字符"/>
    <w:basedOn w:val="12"/>
    <w:link w:val="9"/>
    <w:qFormat/>
    <w:uiPriority w:val="99"/>
    <w:rPr>
      <w:rFonts w:ascii="方正仿宋_GBK" w:hAnsi="方正仿宋_GBK" w:eastAsia="方正仿宋_GBK" w:cs="方正仿宋_GBK"/>
      <w:kern w:val="0"/>
      <w:sz w:val="18"/>
      <w:szCs w:val="18"/>
      <w:lang w:val="zh-CN" w:bidi="zh-CN"/>
    </w:rPr>
  </w:style>
  <w:style w:type="character" w:customStyle="1" w:styleId="16">
    <w:name w:val="页脚 字符"/>
    <w:basedOn w:val="12"/>
    <w:link w:val="8"/>
    <w:qFormat/>
    <w:uiPriority w:val="99"/>
    <w:rPr>
      <w:rFonts w:ascii="方正仿宋_GBK" w:hAnsi="方正仿宋_GBK" w:eastAsia="方正仿宋_GBK" w:cs="方正仿宋_GBK"/>
      <w:kern w:val="0"/>
      <w:sz w:val="18"/>
      <w:szCs w:val="18"/>
      <w:lang w:val="zh-CN" w:bidi="zh-CN"/>
    </w:rPr>
  </w:style>
  <w:style w:type="paragraph" w:customStyle="1" w:styleId="17">
    <w:name w:val="BodyText2"/>
    <w:basedOn w:val="1"/>
    <w:qFormat/>
    <w:uiPriority w:val="0"/>
    <w:pPr>
      <w:snapToGrid w:val="0"/>
      <w:spacing w:line="540" w:lineRule="exact"/>
      <w:jc w:val="both"/>
      <w:textAlignment w:val="baseline"/>
    </w:pPr>
    <w:rPr>
      <w:rFonts w:hAnsi="Calibri" w:eastAsia="方正仿宋_GBK"/>
      <w:color w:val="000000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5430</Words>
  <Characters>5641</Characters>
  <Lines>30</Lines>
  <Paragraphs>8</Paragraphs>
  <TotalTime>0</TotalTime>
  <ScaleCrop>false</ScaleCrop>
  <LinksUpToDate>false</LinksUpToDate>
  <CharactersWithSpaces>5651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2020-07-20T00:01:00Z</dcterms:created>
  <dc:creator>admin5</dc:creator>
  <cp:lastModifiedBy>qhtf</cp:lastModifiedBy>
  <cp:lastPrinted>2020-07-24T00:29:00Z</cp:lastPrinted>
  <dcterms:modified xsi:type="dcterms:W3CDTF">2023-03-14T11:46:10Z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commondata">
    <vt:lpwstr>eyJoZGlkIjoiNTJiOTYyMzU2ZmRiNWJjMDg1MTkxMzIxMDMxY2M4OWMifQ==</vt:lpwstr>
  </property>
  <property fmtid="{D5CDD505-2E9C-101B-9397-08002B2CF9AE}" pid="4" name="ICV">
    <vt:lpwstr>3D67580535E943749228303E1D2E3CEA</vt:lpwstr>
  </property>
</Properties>
</file>